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4E3D2">
      <w:pPr>
        <w:spacing w:before="169" w:line="219" w:lineRule="auto"/>
        <w:ind w:left="4784" w:firstLine="2016" w:firstLineChars="800"/>
        <w:rPr>
          <w:rFonts w:ascii="宋体" w:hAnsi="宋体" w:eastAsia="宋体" w:cs="宋体"/>
          <w:sz w:val="25"/>
          <w:szCs w:val="25"/>
        </w:rPr>
      </w:pPr>
      <w:r>
        <w:rPr>
          <w:rFonts w:ascii="宋体" w:hAnsi="宋体" w:eastAsia="宋体" w:cs="宋体"/>
          <w:spacing w:val="1"/>
          <w:sz w:val="25"/>
          <w:szCs w:val="25"/>
        </w:rPr>
        <w:t>合同编号：</w:t>
      </w:r>
    </w:p>
    <w:p w14:paraId="2D1AE8D1">
      <w:pPr>
        <w:spacing w:line="458" w:lineRule="auto"/>
        <w:rPr>
          <w:rFonts w:ascii="Arial"/>
          <w:sz w:val="21"/>
        </w:rPr>
      </w:pPr>
    </w:p>
    <w:p w14:paraId="72DE8024">
      <w:pPr>
        <w:spacing w:before="130" w:line="219" w:lineRule="auto"/>
        <w:ind w:left="370"/>
        <w:rPr>
          <w:rFonts w:hint="eastAsia" w:ascii="宋体" w:hAnsi="宋体" w:eastAsia="宋体" w:cs="宋体"/>
          <w:b/>
          <w:bCs/>
          <w:spacing w:val="1"/>
          <w:sz w:val="40"/>
          <w:szCs w:val="40"/>
        </w:rPr>
      </w:pPr>
    </w:p>
    <w:p w14:paraId="209AF945">
      <w:pPr>
        <w:spacing w:before="130" w:line="219" w:lineRule="auto"/>
        <w:ind w:left="370"/>
        <w:rPr>
          <w:rFonts w:hint="eastAsia" w:ascii="宋体" w:hAnsi="宋体" w:eastAsia="宋体" w:cs="宋体"/>
          <w:b/>
          <w:bCs/>
          <w:spacing w:val="1"/>
          <w:sz w:val="40"/>
          <w:szCs w:val="40"/>
        </w:rPr>
      </w:pPr>
      <w:r>
        <w:rPr>
          <w:rFonts w:hint="eastAsia" w:ascii="宋体" w:hAnsi="宋体" w:eastAsia="宋体" w:cs="宋体"/>
          <w:b/>
          <w:bCs/>
          <w:spacing w:val="1"/>
          <w:sz w:val="40"/>
          <w:szCs w:val="40"/>
        </w:rPr>
        <w:t>深圳工业软件园停车场鸿蒙化改造示范项目</w:t>
      </w:r>
    </w:p>
    <w:p w14:paraId="18C20937">
      <w:pPr>
        <w:spacing w:before="130" w:line="219" w:lineRule="auto"/>
        <w:ind w:left="370" w:firstLine="2825" w:firstLineChars="700"/>
        <w:jc w:val="both"/>
        <w:rPr>
          <w:rFonts w:ascii="宋体" w:hAnsi="宋体" w:eastAsia="宋体" w:cs="宋体"/>
          <w:sz w:val="40"/>
          <w:szCs w:val="40"/>
        </w:rPr>
      </w:pPr>
      <w:r>
        <w:rPr>
          <w:rFonts w:ascii="宋体" w:hAnsi="宋体" w:eastAsia="宋体" w:cs="宋体"/>
          <w:b/>
          <w:bCs/>
          <w:spacing w:val="1"/>
          <w:sz w:val="40"/>
          <w:szCs w:val="40"/>
        </w:rPr>
        <w:t>服务合同书</w:t>
      </w:r>
    </w:p>
    <w:p w14:paraId="0AC1E4ED">
      <w:pPr>
        <w:spacing w:line="246" w:lineRule="auto"/>
        <w:rPr>
          <w:rFonts w:ascii="Arial"/>
          <w:sz w:val="21"/>
        </w:rPr>
      </w:pPr>
    </w:p>
    <w:p w14:paraId="1E2242F0">
      <w:pPr>
        <w:spacing w:line="247" w:lineRule="auto"/>
        <w:rPr>
          <w:rFonts w:ascii="Arial"/>
          <w:sz w:val="21"/>
        </w:rPr>
      </w:pPr>
    </w:p>
    <w:p w14:paraId="08989CAD">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3D862F2C">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2903B7D1">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2811F43C">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06B1BDD7">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6DD5A520">
      <w:pPr>
        <w:widowControl w:val="0"/>
        <w:spacing w:line="500" w:lineRule="auto"/>
        <w:ind w:left="3366" w:leftChars="532" w:hanging="2249" w:hangingChars="700"/>
        <w:jc w:val="both"/>
        <w:rPr>
          <w:rFonts w:hint="eastAsia" w:ascii="仿宋_GB2312" w:hAnsi="仿宋_GB2312" w:eastAsia="仿宋_GB2312" w:cs="仿宋_GB2312"/>
          <w:b/>
          <w:sz w:val="32"/>
          <w:szCs w:val="32"/>
          <w:lang w:eastAsia="zh-CN"/>
        </w:rPr>
      </w:pPr>
    </w:p>
    <w:p w14:paraId="6A447401">
      <w:pPr>
        <w:pStyle w:val="3"/>
        <w:rPr>
          <w:rFonts w:hint="eastAsia" w:ascii="仿宋_GB2312" w:hAnsi="仿宋_GB2312" w:eastAsia="仿宋_GB2312" w:cs="仿宋_GB2312"/>
          <w:b/>
          <w:sz w:val="32"/>
          <w:szCs w:val="32"/>
          <w:lang w:eastAsia="zh-CN"/>
        </w:rPr>
      </w:pPr>
    </w:p>
    <w:p w14:paraId="635EF590">
      <w:pPr>
        <w:rPr>
          <w:rFonts w:hint="eastAsia"/>
          <w:lang w:eastAsia="zh-CN"/>
        </w:rPr>
      </w:pPr>
    </w:p>
    <w:p w14:paraId="00B0F846">
      <w:pPr>
        <w:keepNext w:val="0"/>
        <w:keepLines w:val="0"/>
        <w:pageBreakBefore w:val="0"/>
        <w:widowControl w:val="0"/>
        <w:kinsoku w:val="0"/>
        <w:wordWrap/>
        <w:overflowPunct/>
        <w:topLinePunct w:val="0"/>
        <w:autoSpaceDE w:val="0"/>
        <w:autoSpaceDN w:val="0"/>
        <w:bidi w:val="0"/>
        <w:adjustRightInd w:val="0"/>
        <w:snapToGrid w:val="0"/>
        <w:spacing w:line="360" w:lineRule="auto"/>
        <w:ind w:left="0"/>
        <w:jc w:val="both"/>
        <w:textAlignment w:val="baseline"/>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u w:val="single"/>
          <w:lang w:val="en-US" w:eastAsia="zh-CN"/>
        </w:rPr>
        <w:t>深圳市龙岗区城投高新技术产业投资开发有限公司</w:t>
      </w:r>
    </w:p>
    <w:p w14:paraId="0C745FD1">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r>
        <w:rPr>
          <w:rFonts w:hint="eastAsia" w:ascii="仿宋_GB2312" w:hAnsi="仿宋_GB2312" w:eastAsia="仿宋_GB2312" w:cs="仿宋_GB2312"/>
          <w:b/>
          <w:sz w:val="32"/>
          <w:szCs w:val="32"/>
          <w:lang w:eastAsia="zh-CN"/>
        </w:rPr>
        <w:t>乙方：</w:t>
      </w:r>
    </w:p>
    <w:p w14:paraId="0946A279">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r>
        <w:rPr>
          <w:rFonts w:hint="eastAsia" w:ascii="仿宋_GB2312" w:hAnsi="仿宋_GB2312" w:eastAsia="仿宋_GB2312" w:cs="仿宋_GB2312"/>
          <w:b/>
          <w:sz w:val="32"/>
          <w:szCs w:val="32"/>
          <w:lang w:eastAsia="zh-CN"/>
        </w:rPr>
        <w:t>签订地点：</w:t>
      </w:r>
      <w:r>
        <w:rPr>
          <w:rFonts w:hint="eastAsia" w:ascii="仿宋_GB2312" w:hAnsi="仿宋_GB2312" w:eastAsia="仿宋_GB2312" w:cs="仿宋_GB2312"/>
          <w:sz w:val="32"/>
          <w:szCs w:val="32"/>
          <w:u w:val="single"/>
          <w:lang w:val="en-US" w:eastAsia="zh-CN"/>
        </w:rPr>
        <w:t>广东</w:t>
      </w:r>
      <w:r>
        <w:rPr>
          <w:rFonts w:hint="eastAsia" w:ascii="仿宋_GB2312" w:hAnsi="仿宋_GB2312" w:eastAsia="仿宋_GB2312" w:cs="仿宋_GB2312"/>
          <w:sz w:val="32"/>
          <w:szCs w:val="32"/>
          <w:u w:val="single"/>
          <w:lang w:eastAsia="zh-CN"/>
        </w:rPr>
        <w:t>省</w:t>
      </w:r>
      <w:r>
        <w:rPr>
          <w:rFonts w:hint="eastAsia" w:ascii="仿宋_GB2312" w:hAnsi="仿宋_GB2312" w:eastAsia="仿宋_GB2312" w:cs="仿宋_GB2312"/>
          <w:sz w:val="32"/>
          <w:szCs w:val="32"/>
          <w:u w:val="single"/>
          <w:lang w:val="en-US" w:eastAsia="zh-CN"/>
        </w:rPr>
        <w:t>深圳</w:t>
      </w:r>
      <w:r>
        <w:rPr>
          <w:rFonts w:hint="eastAsia" w:ascii="仿宋_GB2312" w:hAnsi="仿宋_GB2312" w:eastAsia="仿宋_GB2312" w:cs="仿宋_GB2312"/>
          <w:sz w:val="32"/>
          <w:szCs w:val="32"/>
          <w:u w:val="single"/>
          <w:lang w:eastAsia="zh-CN"/>
        </w:rPr>
        <w:t>市</w:t>
      </w:r>
      <w:r>
        <w:rPr>
          <w:rFonts w:hint="eastAsia" w:ascii="仿宋_GB2312" w:hAnsi="仿宋_GB2312" w:eastAsia="仿宋_GB2312" w:cs="仿宋_GB2312"/>
          <w:sz w:val="32"/>
          <w:szCs w:val="32"/>
          <w:u w:val="single"/>
          <w:lang w:val="en-US" w:eastAsia="zh-CN"/>
        </w:rPr>
        <w:t>龙岗</w:t>
      </w:r>
      <w:r>
        <w:rPr>
          <w:rFonts w:hint="eastAsia" w:ascii="仿宋_GB2312" w:hAnsi="仿宋_GB2312" w:eastAsia="仿宋_GB2312" w:cs="仿宋_GB2312"/>
          <w:sz w:val="32"/>
          <w:szCs w:val="32"/>
          <w:u w:val="single"/>
          <w:lang w:eastAsia="zh-CN"/>
        </w:rPr>
        <w:t>区</w:t>
      </w:r>
    </w:p>
    <w:p w14:paraId="2B1BB672">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p>
    <w:p w14:paraId="11894610">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p>
    <w:p w14:paraId="7D1274CA">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p>
    <w:p w14:paraId="21531831">
      <w:pPr>
        <w:pStyle w:val="6"/>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spacing w:val="8"/>
        </w:rPr>
      </w:pPr>
    </w:p>
    <w:p w14:paraId="71D9FDE8">
      <w:pPr>
        <w:spacing w:line="254" w:lineRule="auto"/>
        <w:rPr>
          <w:rFonts w:ascii="Arial"/>
          <w:sz w:val="21"/>
        </w:rPr>
      </w:pPr>
    </w:p>
    <w:p w14:paraId="5580826A">
      <w:pPr>
        <w:pStyle w:val="6"/>
        <w:keepNext w:val="0"/>
        <w:keepLines w:val="0"/>
        <w:pageBreakBefore w:val="0"/>
        <w:widowControl/>
        <w:tabs>
          <w:tab w:val="left" w:pos="8347"/>
        </w:tabs>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spacing w:val="3"/>
          <w:sz w:val="26"/>
          <w:szCs w:val="26"/>
          <w:u w:val="none" w:color="auto"/>
        </w:rPr>
      </w:pPr>
      <w:r>
        <w:rPr>
          <w:spacing w:val="3"/>
          <w:sz w:val="26"/>
          <w:szCs w:val="26"/>
          <w:u w:val="none" w:color="auto"/>
        </w:rPr>
        <w:t>根据《中华人民共和国民法典》《中华人民共和国政府采购法》《中华人民共和国招标投标法》《深圳经济特区政府采购条例》和《深圳经济特区政府采购条例实施细则》等有关法律法规的规定，依据招标结果，就甲方委托乙方实施</w:t>
      </w:r>
      <w:r>
        <w:rPr>
          <w:rFonts w:hint="eastAsia"/>
          <w:spacing w:val="3"/>
          <w:sz w:val="26"/>
          <w:szCs w:val="26"/>
          <w:u w:val="single" w:color="auto"/>
        </w:rPr>
        <w:t>深圳工业软件园停车场鸿蒙化改造示范项目</w:t>
      </w:r>
      <w:r>
        <w:rPr>
          <w:spacing w:val="3"/>
          <w:sz w:val="26"/>
          <w:szCs w:val="26"/>
          <w:u w:val="none" w:color="auto"/>
        </w:rPr>
        <w:t>服务事宜，经甲乙双方协商一致，签订本合同。具体条款如下：</w:t>
      </w:r>
    </w:p>
    <w:p w14:paraId="2D9F0A7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26" w:firstLineChars="200"/>
        <w:textAlignment w:val="baseline"/>
        <w:outlineLvl w:val="3"/>
      </w:pPr>
      <w:r>
        <w:rPr>
          <w:b/>
          <w:bCs/>
          <w:spacing w:val="-4"/>
        </w:rPr>
        <w:t>第一条项目概况</w:t>
      </w:r>
    </w:p>
    <w:p w14:paraId="7B4A8A4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86" w:firstLineChars="200"/>
        <w:textAlignment w:val="baseline"/>
        <w:outlineLvl w:val="3"/>
      </w:pPr>
      <w:r>
        <w:rPr>
          <w:b/>
          <w:bCs/>
          <w:spacing w:val="11"/>
        </w:rPr>
        <w:t>(一)项目名称</w:t>
      </w:r>
    </w:p>
    <w:p w14:paraId="46D40E4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28" w:firstLineChars="200"/>
        <w:textAlignment w:val="baseline"/>
        <w:rPr>
          <w:sz w:val="25"/>
          <w:szCs w:val="25"/>
        </w:rPr>
      </w:pPr>
      <w:r>
        <w:rPr>
          <w:rFonts w:hint="eastAsia"/>
          <w:spacing w:val="7"/>
          <w:sz w:val="25"/>
          <w:szCs w:val="25"/>
          <w:u w:val="single"/>
        </w:rPr>
        <w:t>深圳工业软件园停车场鸿蒙化改造示范项目</w:t>
      </w:r>
      <w:r>
        <w:rPr>
          <w:spacing w:val="17"/>
          <w:sz w:val="25"/>
          <w:szCs w:val="25"/>
        </w:rPr>
        <w:t>。</w:t>
      </w:r>
    </w:p>
    <w:p w14:paraId="594793E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26" w:firstLineChars="200"/>
        <w:textAlignment w:val="baseline"/>
        <w:outlineLvl w:val="3"/>
      </w:pPr>
      <w:r>
        <w:rPr>
          <w:b/>
          <w:bCs/>
          <w:spacing w:val="21"/>
        </w:rPr>
        <w:t>(二)项目内容</w:t>
      </w:r>
    </w:p>
    <w:p w14:paraId="7728CEF4">
      <w:pPr>
        <w:pStyle w:val="6"/>
        <w:keepNext w:val="0"/>
        <w:keepLines w:val="0"/>
        <w:pageBreakBefore w:val="0"/>
        <w:widowControl/>
        <w:tabs>
          <w:tab w:val="left" w:pos="8347"/>
        </w:tabs>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spacing w:val="3"/>
          <w:sz w:val="26"/>
          <w:szCs w:val="26"/>
          <w:highlight w:val="none"/>
          <w:u w:val="none" w:color="auto"/>
        </w:rPr>
      </w:pPr>
      <w:r>
        <w:rPr>
          <w:spacing w:val="3"/>
          <w:sz w:val="26"/>
          <w:szCs w:val="26"/>
          <w:highlight w:val="none"/>
          <w:u w:val="none" w:color="auto"/>
        </w:rPr>
        <w:t>本项目为服务类项目，项目建设内容由招标文件规定、投标文件承诺以及双方约定的内容组成。项目建设内容主要包括：(一)软件建设。包括</w:t>
      </w:r>
      <w:r>
        <w:rPr>
          <w:rFonts w:hint="eastAsia"/>
          <w:spacing w:val="3"/>
          <w:sz w:val="26"/>
          <w:szCs w:val="26"/>
          <w:highlight w:val="none"/>
          <w:u w:val="none" w:color="auto"/>
          <w:lang w:val="en-US" w:eastAsia="zh-CN"/>
        </w:rPr>
        <w:t>超级设备管理平台、设备接入、超级设备管理、应用与服务、AI服务、数据管理、超级设备运维、超级设备配置应用、网络流量广播应用、云云对接、联动规则执行、联动规则界面、车锁接入插件开发、出入口车牌相机接入插件开发、车牌识别接入插件开发、车位视频探测器鸿蒙化适配、车牌识别机鸿蒙化适配、入口余位组合屏鸿蒙化适配、高速道闸鸿蒙化适配等</w:t>
      </w:r>
      <w:r>
        <w:rPr>
          <w:spacing w:val="3"/>
          <w:sz w:val="26"/>
          <w:szCs w:val="26"/>
          <w:highlight w:val="none"/>
          <w:u w:val="none" w:color="auto"/>
        </w:rPr>
        <w:t>；(二)硬件建设。包括</w:t>
      </w:r>
      <w:r>
        <w:rPr>
          <w:rFonts w:hint="eastAsia"/>
          <w:spacing w:val="3"/>
          <w:sz w:val="26"/>
          <w:szCs w:val="26"/>
          <w:highlight w:val="none"/>
          <w:u w:val="none" w:color="auto"/>
          <w:lang w:val="en-US" w:eastAsia="zh-CN"/>
        </w:rPr>
        <w:t>控制器、无线AP、智慧车位锁等：(三)管线及其他。包含管材、配线、车位管线开槽、地面恢复、</w:t>
      </w:r>
      <w:r>
        <w:rPr>
          <w:rFonts w:hint="eastAsia" w:cs="仿宋"/>
          <w:spacing w:val="3"/>
          <w:sz w:val="26"/>
          <w:szCs w:val="26"/>
          <w:highlight w:val="none"/>
          <w:u w:val="none" w:color="auto"/>
          <w:lang w:val="en-US" w:eastAsia="zh-CN"/>
        </w:rPr>
        <w:t>VIP车位标识指引</w:t>
      </w:r>
      <w:r>
        <w:rPr>
          <w:rFonts w:hint="eastAsia"/>
          <w:spacing w:val="3"/>
          <w:sz w:val="26"/>
          <w:szCs w:val="26"/>
          <w:highlight w:val="none"/>
          <w:u w:val="none" w:color="auto"/>
          <w:lang w:val="en-US" w:eastAsia="zh-CN"/>
        </w:rPr>
        <w:t>等</w:t>
      </w:r>
      <w:r>
        <w:rPr>
          <w:spacing w:val="3"/>
          <w:sz w:val="26"/>
          <w:szCs w:val="26"/>
          <w:highlight w:val="none"/>
          <w:u w:val="none" w:color="auto"/>
        </w:rPr>
        <w:t>。具体建设内容详见招投标文件以及附件一《项目</w:t>
      </w:r>
      <w:r>
        <w:rPr>
          <w:rFonts w:hint="eastAsia"/>
          <w:spacing w:val="3"/>
          <w:sz w:val="26"/>
          <w:szCs w:val="26"/>
          <w:highlight w:val="none"/>
          <w:u w:val="none" w:color="auto"/>
          <w:lang w:val="en-US" w:eastAsia="zh-CN"/>
        </w:rPr>
        <w:t>任务需求书</w:t>
      </w:r>
      <w:r>
        <w:rPr>
          <w:spacing w:val="3"/>
          <w:sz w:val="26"/>
          <w:szCs w:val="26"/>
          <w:highlight w:val="none"/>
          <w:u w:val="none" w:color="auto"/>
        </w:rPr>
        <w:t>》。</w:t>
      </w:r>
    </w:p>
    <w:p w14:paraId="00DCE61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26" w:firstLineChars="200"/>
        <w:textAlignment w:val="baseline"/>
        <w:outlineLvl w:val="3"/>
        <w:rPr>
          <w:b/>
          <w:bCs/>
          <w:spacing w:val="21"/>
        </w:rPr>
      </w:pPr>
      <w:r>
        <w:rPr>
          <w:b/>
          <w:bCs/>
          <w:spacing w:val="21"/>
        </w:rPr>
        <w:t>(三)项目工期</w:t>
      </w:r>
    </w:p>
    <w:p w14:paraId="3B91CACC">
      <w:pPr>
        <w:pStyle w:val="6"/>
        <w:keepNext w:val="0"/>
        <w:keepLines w:val="0"/>
        <w:pageBreakBefore w:val="0"/>
        <w:widowControl/>
        <w:tabs>
          <w:tab w:val="left" w:pos="8347"/>
        </w:tabs>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spacing w:val="3"/>
          <w:sz w:val="26"/>
          <w:szCs w:val="26"/>
          <w:highlight w:val="yellow"/>
          <w:u w:val="none" w:color="auto"/>
        </w:rPr>
      </w:pPr>
      <w:r>
        <w:rPr>
          <w:spacing w:val="3"/>
          <w:sz w:val="26"/>
          <w:szCs w:val="26"/>
          <w:highlight w:val="none"/>
          <w:u w:val="none" w:color="auto"/>
        </w:rPr>
        <w:t>本合同签订之日起</w:t>
      </w:r>
      <w:r>
        <w:rPr>
          <w:rFonts w:hint="eastAsia"/>
          <w:spacing w:val="3"/>
          <w:sz w:val="26"/>
          <w:szCs w:val="26"/>
          <w:highlight w:val="none"/>
          <w:u w:val="none" w:color="auto"/>
          <w:lang w:val="en-US" w:eastAsia="zh-CN"/>
        </w:rPr>
        <w:t>30</w:t>
      </w:r>
      <w:r>
        <w:rPr>
          <w:rFonts w:hint="default"/>
          <w:spacing w:val="3"/>
          <w:sz w:val="26"/>
          <w:szCs w:val="26"/>
          <w:highlight w:val="none"/>
          <w:u w:val="none" w:color="auto"/>
          <w:lang w:val="en-US" w:eastAsia="zh-CN"/>
        </w:rPr>
        <w:t>个</w:t>
      </w:r>
      <w:r>
        <w:rPr>
          <w:rFonts w:hint="eastAsia"/>
          <w:spacing w:val="3"/>
          <w:sz w:val="26"/>
          <w:szCs w:val="26"/>
          <w:highlight w:val="none"/>
          <w:u w:val="none" w:color="auto"/>
          <w:lang w:val="en-US" w:eastAsia="zh-CN"/>
        </w:rPr>
        <w:t>日历天</w:t>
      </w:r>
      <w:r>
        <w:rPr>
          <w:spacing w:val="3"/>
          <w:sz w:val="26"/>
          <w:szCs w:val="26"/>
          <w:highlight w:val="none"/>
          <w:u w:val="none" w:color="auto"/>
        </w:rPr>
        <w:t>内，乙方完成项目</w:t>
      </w:r>
      <w:r>
        <w:rPr>
          <w:rFonts w:hint="eastAsia"/>
          <w:spacing w:val="3"/>
          <w:sz w:val="26"/>
          <w:szCs w:val="26"/>
          <w:highlight w:val="none"/>
          <w:u w:val="none" w:color="auto"/>
          <w:lang w:val="en-US" w:eastAsia="zh-CN"/>
        </w:rPr>
        <w:t>详细需求调研分析、软件系统搭建及设备适配、深化设计</w:t>
      </w:r>
      <w:r>
        <w:rPr>
          <w:rFonts w:hint="default"/>
          <w:spacing w:val="3"/>
          <w:sz w:val="26"/>
          <w:szCs w:val="26"/>
          <w:highlight w:val="none"/>
          <w:u w:val="none" w:color="auto"/>
          <w:lang w:val="en-US" w:eastAsia="zh-CN"/>
        </w:rPr>
        <w:t>、设备备货送货、软硬件现场安装调试任务，使之具备用户培训和试运行条件</w:t>
      </w:r>
      <w:r>
        <w:rPr>
          <w:spacing w:val="3"/>
          <w:sz w:val="26"/>
          <w:szCs w:val="26"/>
          <w:highlight w:val="none"/>
          <w:u w:val="none" w:color="auto"/>
        </w:rPr>
        <w:t>，并完成项目初验(不含项目终验)。项目进度必须满足甲方对项目的总体计划和进度要求。</w:t>
      </w:r>
    </w:p>
    <w:p w14:paraId="7D904C7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26" w:firstLineChars="200"/>
        <w:textAlignment w:val="baseline"/>
        <w:outlineLvl w:val="3"/>
        <w:rPr>
          <w:b/>
          <w:bCs/>
          <w:spacing w:val="-4"/>
        </w:rPr>
      </w:pPr>
      <w:r>
        <w:rPr>
          <w:b/>
          <w:bCs/>
          <w:spacing w:val="-4"/>
        </w:rPr>
        <w:t>第二条合同价款及支付方式</w:t>
      </w:r>
    </w:p>
    <w:p w14:paraId="4353A7ED">
      <w:pPr>
        <w:pStyle w:val="6"/>
        <w:keepNext w:val="0"/>
        <w:keepLines w:val="0"/>
        <w:pageBreakBefore w:val="0"/>
        <w:widowControl/>
        <w:wordWrap/>
        <w:overflowPunct/>
        <w:topLinePunct w:val="0"/>
        <w:bidi w:val="0"/>
        <w:spacing w:before="2" w:line="440" w:lineRule="exact"/>
        <w:ind w:left="114" w:right="69" w:firstLine="510"/>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(一)合同总金额(含税)为¥</w:t>
      </w:r>
      <w:r>
        <w:rPr>
          <w:rFonts w:hint="eastAsia" w:ascii="仿宋" w:hAnsi="仿宋" w:eastAsia="仿宋" w:cs="仿宋"/>
          <w:spacing w:val="9"/>
          <w:sz w:val="26"/>
          <w:szCs w:val="26"/>
          <w:highlight w:val="none"/>
        </w:rPr>
        <w:t>(大写：人民币</w:t>
      </w:r>
      <w:r>
        <w:rPr>
          <w:rFonts w:hint="eastAsia" w:ascii="仿宋" w:hAnsi="仿宋" w:eastAsia="仿宋" w:cs="仿宋"/>
          <w:spacing w:val="-2"/>
          <w:sz w:val="26"/>
          <w:szCs w:val="26"/>
          <w:highlight w:val="none"/>
        </w:rPr>
        <w:t>)。包括</w:t>
      </w:r>
      <w:r>
        <w:rPr>
          <w:rFonts w:hint="eastAsia" w:ascii="仿宋" w:hAnsi="仿宋" w:eastAsia="仿宋" w:cs="仿宋"/>
          <w:spacing w:val="-2"/>
          <w:sz w:val="26"/>
          <w:szCs w:val="26"/>
          <w:highlight w:val="none"/>
          <w:lang w:val="en-US" w:eastAsia="zh-CN"/>
        </w:rPr>
        <w:t>深化设计费、</w:t>
      </w:r>
      <w:r>
        <w:rPr>
          <w:rFonts w:hint="eastAsia" w:ascii="仿宋" w:hAnsi="仿宋" w:eastAsia="仿宋" w:cs="仿宋"/>
          <w:spacing w:val="-2"/>
          <w:sz w:val="26"/>
          <w:szCs w:val="26"/>
          <w:highlight w:val="none"/>
        </w:rPr>
        <w:t>设备费、软件</w:t>
      </w:r>
      <w:r>
        <w:rPr>
          <w:rFonts w:hint="eastAsia" w:ascii="仿宋" w:hAnsi="仿宋" w:eastAsia="仿宋" w:cs="仿宋"/>
          <w:spacing w:val="-3"/>
          <w:sz w:val="26"/>
          <w:szCs w:val="26"/>
          <w:highlight w:val="none"/>
        </w:rPr>
        <w:t>费、税费、运输费、装卸费、安装费、调试费、培训费、计量及技术服务费</w:t>
      </w:r>
      <w:r>
        <w:rPr>
          <w:rFonts w:hint="eastAsia" w:ascii="仿宋" w:hAnsi="仿宋" w:eastAsia="仿宋" w:cs="仿宋"/>
          <w:spacing w:val="-3"/>
          <w:sz w:val="26"/>
          <w:szCs w:val="26"/>
          <w:highlight w:val="none"/>
          <w:lang w:eastAsia="zh-CN"/>
        </w:rPr>
        <w:t>、</w:t>
      </w:r>
      <w:r>
        <w:rPr>
          <w:rFonts w:hint="eastAsia" w:ascii="仿宋" w:hAnsi="仿宋" w:eastAsia="仿宋" w:cs="仿宋"/>
          <w:spacing w:val="-3"/>
          <w:sz w:val="26"/>
          <w:szCs w:val="26"/>
          <w:highlight w:val="none"/>
          <w:lang w:val="en-US" w:eastAsia="zh-CN"/>
        </w:rPr>
        <w:t>质保</w:t>
      </w:r>
      <w:r>
        <w:rPr>
          <w:rFonts w:hint="eastAsia" w:cs="仿宋"/>
          <w:spacing w:val="-3"/>
          <w:sz w:val="26"/>
          <w:szCs w:val="26"/>
          <w:highlight w:val="none"/>
          <w:lang w:val="en-US" w:eastAsia="zh-CN"/>
        </w:rPr>
        <w:t>维保</w:t>
      </w:r>
      <w:r>
        <w:rPr>
          <w:rFonts w:hint="eastAsia" w:ascii="仿宋" w:hAnsi="仿宋" w:eastAsia="仿宋" w:cs="仿宋"/>
          <w:spacing w:val="-3"/>
          <w:sz w:val="26"/>
          <w:szCs w:val="26"/>
          <w:highlight w:val="none"/>
        </w:rPr>
        <w:t>等一切费用</w:t>
      </w:r>
      <w:r>
        <w:rPr>
          <w:rFonts w:hint="eastAsia" w:ascii="仿宋" w:hAnsi="仿宋" w:eastAsia="仿宋" w:cs="仿宋"/>
          <w:spacing w:val="-9"/>
          <w:sz w:val="26"/>
          <w:szCs w:val="26"/>
          <w:highlight w:val="none"/>
        </w:rPr>
        <w:t>。</w:t>
      </w:r>
    </w:p>
    <w:p w14:paraId="747C81F5">
      <w:pPr>
        <w:pStyle w:val="6"/>
        <w:keepNext w:val="0"/>
        <w:keepLines w:val="0"/>
        <w:pageBreakBefore w:val="0"/>
        <w:widowControl/>
        <w:tabs>
          <w:tab w:val="left" w:pos="8347"/>
        </w:tabs>
        <w:wordWrap/>
        <w:overflowPunct/>
        <w:topLinePunct w:val="0"/>
        <w:bidi w:val="0"/>
        <w:spacing w:line="440" w:lineRule="exact"/>
        <w:ind w:left="114" w:right="76" w:firstLine="510"/>
        <w:jc w:val="both"/>
        <w:rPr>
          <w:rFonts w:hint="eastAsia" w:ascii="仿宋" w:hAnsi="仿宋" w:eastAsia="仿宋" w:cs="仿宋"/>
          <w:sz w:val="26"/>
          <w:szCs w:val="26"/>
          <w:highlight w:val="none"/>
          <w:lang w:eastAsia="zh-CN"/>
        </w:rPr>
      </w:pPr>
      <w:r>
        <w:rPr>
          <w:rFonts w:hint="eastAsia" w:ascii="仿宋" w:hAnsi="仿宋" w:eastAsia="仿宋" w:cs="仿宋"/>
          <w:spacing w:val="3"/>
          <w:sz w:val="26"/>
          <w:szCs w:val="26"/>
          <w:highlight w:val="none"/>
          <w:u w:val="single" w:color="auto"/>
        </w:rPr>
        <w:t>在项目实施过程中，根据实际需求，软件开发的功能点和硬件设备</w:t>
      </w:r>
      <w:r>
        <w:rPr>
          <w:rFonts w:hint="eastAsia" w:ascii="仿宋" w:hAnsi="仿宋" w:eastAsia="仿宋" w:cs="仿宋"/>
          <w:spacing w:val="4"/>
          <w:sz w:val="26"/>
          <w:szCs w:val="26"/>
          <w:highlight w:val="none"/>
          <w:u w:val="single" w:color="auto"/>
        </w:rPr>
        <w:t>的数量可能会有调整，如需要增加或减少设备或功能点的，乙方须无条</w:t>
      </w:r>
      <w:r>
        <w:rPr>
          <w:rFonts w:hint="eastAsia" w:ascii="仿宋" w:hAnsi="仿宋" w:eastAsia="仿宋" w:cs="仿宋"/>
          <w:spacing w:val="2"/>
          <w:sz w:val="26"/>
          <w:szCs w:val="26"/>
          <w:highlight w:val="none"/>
          <w:u w:val="single" w:color="auto"/>
        </w:rPr>
        <w:t>件配合。</w:t>
      </w:r>
      <w:r>
        <w:rPr>
          <w:rFonts w:hint="eastAsia" w:ascii="仿宋" w:hAnsi="仿宋" w:eastAsia="仿宋" w:cs="仿宋"/>
          <w:spacing w:val="3"/>
          <w:sz w:val="26"/>
          <w:szCs w:val="26"/>
          <w:highlight w:val="none"/>
          <w:u w:val="single" w:color="auto"/>
          <w:lang w:val="en-US" w:eastAsia="zh-CN"/>
        </w:rPr>
        <w:t>乙方调增调减工作量后，对冲后（调增+调减）减少的金额据实结算；对冲后（调增+调减）增加金额超出签约合同总金额5%以内的，结算不做调整，超出签约合同总金额5%以外的，对超过5%以外的部分予以增加。货物到货安装以后，甲方可根据实际工作需求调整安装位置，乙方须无条件配合，由此所增加的费用由乙方承担，合同总金额不作调整</w:t>
      </w:r>
      <w:r>
        <w:rPr>
          <w:rFonts w:hint="eastAsia" w:ascii="仿宋" w:hAnsi="仿宋" w:eastAsia="仿宋" w:cs="仿宋"/>
          <w:spacing w:val="-1"/>
          <w:sz w:val="26"/>
          <w:szCs w:val="26"/>
          <w:highlight w:val="none"/>
          <w:u w:val="single" w:color="auto"/>
        </w:rPr>
        <w:t>。</w:t>
      </w:r>
    </w:p>
    <w:p w14:paraId="17E73E2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仿宋" w:hAnsi="仿宋" w:eastAsia="仿宋" w:cs="仿宋"/>
          <w:spacing w:val="-3"/>
          <w:sz w:val="26"/>
          <w:szCs w:val="26"/>
          <w:highlight w:val="none"/>
        </w:rPr>
      </w:pPr>
      <w:r>
        <w:rPr>
          <w:rFonts w:hint="eastAsia" w:ascii="仿宋" w:hAnsi="仿宋" w:eastAsia="仿宋" w:cs="仿宋"/>
          <w:spacing w:val="-3"/>
          <w:sz w:val="26"/>
          <w:szCs w:val="26"/>
          <w:highlight w:val="none"/>
        </w:rPr>
        <w:t>(二)甲方按以下方式，以银行转账方式向乙方支付合同款项：</w:t>
      </w:r>
    </w:p>
    <w:p w14:paraId="52BDAB1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仿宋" w:hAnsi="仿宋" w:eastAsia="仿宋" w:cs="仿宋"/>
          <w:spacing w:val="-3"/>
          <w:sz w:val="26"/>
          <w:szCs w:val="26"/>
          <w:highlight w:val="none"/>
          <w:lang w:val="en-US" w:eastAsia="zh-CN"/>
        </w:rPr>
      </w:pPr>
      <w:r>
        <w:rPr>
          <w:rFonts w:hint="eastAsia" w:ascii="仿宋" w:hAnsi="仿宋" w:eastAsia="仿宋" w:cs="仿宋"/>
          <w:spacing w:val="-3"/>
          <w:sz w:val="26"/>
          <w:szCs w:val="26"/>
          <w:highlight w:val="none"/>
          <w:lang w:val="en-US" w:eastAsia="zh-CN"/>
        </w:rPr>
        <w:t>第一期：双方签订合同，乙方提供详细改造方案及深化设计成果，甲方向乙方支付本合同总额的30%。</w:t>
      </w:r>
    </w:p>
    <w:p w14:paraId="5EAACCB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ascii="仿宋" w:hAnsi="仿宋" w:eastAsia="仿宋" w:cs="仿宋"/>
          <w:spacing w:val="-3"/>
          <w:sz w:val="26"/>
          <w:szCs w:val="26"/>
          <w:highlight w:val="none"/>
          <w:lang w:val="en-US" w:eastAsia="zh-CN"/>
        </w:rPr>
      </w:pPr>
      <w:r>
        <w:rPr>
          <w:rFonts w:hint="eastAsia" w:ascii="仿宋" w:hAnsi="仿宋" w:eastAsia="仿宋" w:cs="仿宋"/>
          <w:spacing w:val="-3"/>
          <w:sz w:val="26"/>
          <w:szCs w:val="26"/>
          <w:highlight w:val="none"/>
          <w:lang w:val="en-US" w:eastAsia="zh-CN"/>
        </w:rPr>
        <w:t>第二期：乙方完成合同服务内容，经验收合格且完成结算后，甲方向乙方支付至结算金额的95%。</w:t>
      </w:r>
    </w:p>
    <w:p w14:paraId="09F5708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textAlignment w:val="baseline"/>
        <w:rPr>
          <w:rFonts w:hint="eastAsia"/>
          <w:spacing w:val="-3"/>
          <w:sz w:val="26"/>
          <w:szCs w:val="26"/>
          <w:highlight w:val="none"/>
          <w:lang w:val="en-US" w:eastAsia="zh-CN"/>
        </w:rPr>
      </w:pPr>
      <w:r>
        <w:rPr>
          <w:rFonts w:hint="eastAsia"/>
          <w:spacing w:val="-3"/>
          <w:sz w:val="26"/>
          <w:szCs w:val="26"/>
          <w:highlight w:val="none"/>
          <w:lang w:val="en-US" w:eastAsia="zh-CN"/>
        </w:rPr>
        <w:t>第三期：本工程保修金为结算金额的5%，待质保期限满，甲方收到乙方完整版请款资料后，甲方在30个工作内一次性无息支付至乙方（若有扣款，相应扣减）。</w:t>
      </w:r>
    </w:p>
    <w:p w14:paraId="529BC48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80" w:firstLineChars="200"/>
        <w:textAlignment w:val="baseline"/>
        <w:rPr>
          <w:sz w:val="26"/>
          <w:szCs w:val="26"/>
          <w:highlight w:val="none"/>
        </w:rPr>
      </w:pPr>
      <w:r>
        <w:rPr>
          <w:spacing w:val="15"/>
          <w:sz w:val="26"/>
          <w:szCs w:val="26"/>
          <w:highlight w:val="none"/>
        </w:rPr>
        <w:t>(三)乙方收款账户信息</w:t>
      </w:r>
    </w:p>
    <w:p w14:paraId="221144C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textAlignment w:val="baseline"/>
        <w:rPr>
          <w:sz w:val="26"/>
          <w:szCs w:val="26"/>
          <w:highlight w:val="none"/>
        </w:rPr>
      </w:pPr>
      <w:r>
        <w:rPr>
          <w:spacing w:val="5"/>
          <w:sz w:val="26"/>
          <w:szCs w:val="26"/>
          <w:highlight w:val="none"/>
        </w:rPr>
        <w:t>单位名称：</w:t>
      </w:r>
    </w:p>
    <w:p w14:paraId="71AF8D0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textAlignment w:val="baseline"/>
        <w:rPr>
          <w:sz w:val="26"/>
          <w:szCs w:val="26"/>
          <w:highlight w:val="none"/>
        </w:rPr>
      </w:pPr>
      <w:r>
        <w:rPr>
          <w:spacing w:val="5"/>
          <w:sz w:val="26"/>
          <w:szCs w:val="26"/>
          <w:highlight w:val="none"/>
        </w:rPr>
        <w:t>开户银行：</w:t>
      </w:r>
    </w:p>
    <w:p w14:paraId="13718FE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textAlignment w:val="baseline"/>
        <w:rPr>
          <w:rFonts w:ascii="Times New Roman" w:hAnsi="Times New Roman" w:eastAsia="Times New Roman" w:cs="Times New Roman"/>
          <w:sz w:val="26"/>
          <w:szCs w:val="26"/>
          <w:highlight w:val="none"/>
        </w:rPr>
      </w:pPr>
      <w:r>
        <w:rPr>
          <w:sz w:val="26"/>
          <w:szCs w:val="26"/>
          <w:highlight w:val="none"/>
        </w:rPr>
        <w:t>银行账号：</w:t>
      </w:r>
    </w:p>
    <w:p w14:paraId="06432C7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textAlignment w:val="baseline"/>
        <w:rPr>
          <w:sz w:val="26"/>
          <w:szCs w:val="26"/>
          <w:highlight w:val="none"/>
        </w:rPr>
      </w:pPr>
      <w:r>
        <w:rPr>
          <w:spacing w:val="5"/>
          <w:sz w:val="26"/>
          <w:szCs w:val="26"/>
          <w:highlight w:val="none"/>
        </w:rPr>
        <w:t>乙方保证和确认其收款账户的真实性和准确性，若其账户信息发生</w:t>
      </w:r>
      <w:r>
        <w:rPr>
          <w:spacing w:val="6"/>
          <w:sz w:val="26"/>
          <w:szCs w:val="26"/>
          <w:highlight w:val="none"/>
        </w:rPr>
        <w:t>变更应立即通知甲方。甲方付款时完全按照合同约定的账户信息进行</w:t>
      </w:r>
      <w:r>
        <w:rPr>
          <w:rFonts w:hint="eastAsia"/>
          <w:spacing w:val="6"/>
          <w:sz w:val="26"/>
          <w:szCs w:val="26"/>
          <w:highlight w:val="none"/>
          <w:lang w:val="en-US" w:eastAsia="zh-CN"/>
        </w:rPr>
        <w:t>付</w:t>
      </w:r>
      <w:r>
        <w:rPr>
          <w:spacing w:val="27"/>
          <w:sz w:val="26"/>
          <w:szCs w:val="26"/>
          <w:highlight w:val="none"/>
        </w:rPr>
        <w:t>款，如因乙方提供账号有误或变更后未通知甲方等原因导致付款出现问</w:t>
      </w:r>
      <w:r>
        <w:rPr>
          <w:spacing w:val="20"/>
          <w:sz w:val="26"/>
          <w:szCs w:val="26"/>
          <w:highlight w:val="none"/>
        </w:rPr>
        <w:t>题的，由乙方自行承担。</w:t>
      </w:r>
    </w:p>
    <w:p w14:paraId="550BD48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30" w:firstLineChars="200"/>
        <w:textAlignment w:val="baseline"/>
        <w:outlineLvl w:val="3"/>
        <w:rPr>
          <w:sz w:val="26"/>
          <w:szCs w:val="26"/>
          <w:highlight w:val="none"/>
        </w:rPr>
      </w:pPr>
      <w:r>
        <w:rPr>
          <w:b/>
          <w:bCs/>
          <w:spacing w:val="2"/>
          <w:sz w:val="26"/>
          <w:szCs w:val="26"/>
          <w:highlight w:val="none"/>
        </w:rPr>
        <w:t>第三条项目要求</w:t>
      </w:r>
    </w:p>
    <w:p w14:paraId="57BAFEF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78" w:firstLineChars="200"/>
        <w:textAlignment w:val="baseline"/>
        <w:outlineLvl w:val="3"/>
        <w:rPr>
          <w:sz w:val="26"/>
          <w:szCs w:val="26"/>
          <w:highlight w:val="none"/>
        </w:rPr>
      </w:pPr>
      <w:r>
        <w:rPr>
          <w:b/>
          <w:bCs/>
          <w:spacing w:val="14"/>
          <w:sz w:val="26"/>
          <w:szCs w:val="26"/>
          <w:highlight w:val="none"/>
        </w:rPr>
        <w:t>(一)项目人员</w:t>
      </w:r>
    </w:p>
    <w:p w14:paraId="68BDB2B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pacing w:val="6"/>
          <w:sz w:val="26"/>
          <w:szCs w:val="26"/>
          <w:highlight w:val="none"/>
        </w:rPr>
      </w:pPr>
      <w:r>
        <w:rPr>
          <w:rFonts w:hint="eastAsia" w:ascii="仿宋" w:hAnsi="仿宋" w:eastAsia="仿宋" w:cs="仿宋"/>
          <w:spacing w:val="6"/>
          <w:sz w:val="26"/>
          <w:szCs w:val="26"/>
          <w:highlight w:val="none"/>
        </w:rPr>
        <w:t>1</w:t>
      </w:r>
      <w:r>
        <w:rPr>
          <w:rFonts w:hint="eastAsia" w:cs="仿宋"/>
          <w:spacing w:val="6"/>
          <w:sz w:val="26"/>
          <w:szCs w:val="26"/>
          <w:highlight w:val="none"/>
          <w:lang w:val="en-US" w:eastAsia="zh-CN"/>
        </w:rPr>
        <w:t>.</w:t>
      </w:r>
      <w:r>
        <w:rPr>
          <w:rFonts w:hint="eastAsia" w:ascii="仿宋" w:hAnsi="仿宋" w:eastAsia="仿宋" w:cs="仿宋"/>
          <w:spacing w:val="6"/>
          <w:sz w:val="26"/>
          <w:szCs w:val="26"/>
          <w:highlight w:val="none"/>
        </w:rPr>
        <w:t>乙方应成立专门的项目服务团队，选派项目组成员不少于</w:t>
      </w:r>
      <w:r>
        <w:rPr>
          <w:rFonts w:hint="eastAsia" w:ascii="仿宋" w:hAnsi="仿宋" w:eastAsia="仿宋" w:cs="仿宋"/>
          <w:spacing w:val="6"/>
          <w:sz w:val="26"/>
          <w:szCs w:val="26"/>
          <w:highlight w:val="none"/>
          <w:u w:val="single"/>
          <w:lang w:val="en-US" w:eastAsia="zh-CN"/>
        </w:rPr>
        <w:t>5</w:t>
      </w:r>
      <w:r>
        <w:rPr>
          <w:rFonts w:hint="eastAsia" w:ascii="仿宋" w:hAnsi="仿宋" w:eastAsia="仿宋" w:cs="仿宋"/>
          <w:spacing w:val="6"/>
          <w:sz w:val="26"/>
          <w:szCs w:val="26"/>
          <w:highlight w:val="none"/>
        </w:rPr>
        <w:t>人(其中项目负责人1人，详见附件二《项目组人员名单》)。乙方</w:t>
      </w:r>
      <w:r>
        <w:rPr>
          <w:rFonts w:hint="eastAsia" w:ascii="仿宋" w:hAnsi="仿宋" w:eastAsia="仿宋" w:cs="仿宋"/>
          <w:spacing w:val="6"/>
          <w:sz w:val="26"/>
          <w:szCs w:val="26"/>
          <w:highlight w:val="none"/>
          <w:lang w:eastAsia="zh-CN"/>
        </w:rPr>
        <w:t>的</w:t>
      </w:r>
      <w:r>
        <w:rPr>
          <w:rFonts w:hint="eastAsia" w:ascii="仿宋" w:hAnsi="仿宋" w:eastAsia="仿宋" w:cs="仿宋"/>
          <w:spacing w:val="6"/>
          <w:sz w:val="26"/>
          <w:szCs w:val="26"/>
          <w:highlight w:val="none"/>
        </w:rPr>
        <w:t>项目服务团队应按甲方要求开展项目服务的各项工作，且安排的服务人员需经甲方审核同意。</w:t>
      </w:r>
    </w:p>
    <w:p w14:paraId="2E755F4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2.乙方应保证项目服务人员的稳定，保证工作的连贯性。在本合</w:t>
      </w:r>
      <w:r>
        <w:rPr>
          <w:rFonts w:hint="eastAsia" w:cs="仿宋"/>
          <w:spacing w:val="6"/>
          <w:sz w:val="26"/>
          <w:szCs w:val="26"/>
          <w:highlight w:val="none"/>
          <w:lang w:val="en-US" w:eastAsia="zh-CN"/>
        </w:rPr>
        <w:t>同</w:t>
      </w:r>
      <w:r>
        <w:rPr>
          <w:rFonts w:hint="eastAsia" w:ascii="仿宋" w:hAnsi="仿宋" w:eastAsia="仿宋" w:cs="仿宋"/>
          <w:spacing w:val="7"/>
          <w:sz w:val="26"/>
          <w:szCs w:val="26"/>
          <w:highlight w:val="none"/>
        </w:rPr>
        <w:t>履行过程中，如乙方需要变更项目组成员，须提前一周书面征得甲方同</w:t>
      </w:r>
      <w:r>
        <w:rPr>
          <w:rFonts w:hint="eastAsia" w:ascii="仿宋" w:hAnsi="仿宋" w:eastAsia="仿宋" w:cs="仿宋"/>
          <w:spacing w:val="6"/>
          <w:sz w:val="26"/>
          <w:szCs w:val="26"/>
          <w:highlight w:val="none"/>
        </w:rPr>
        <w:t>意，未经同意擅自变更的，甲方有权解除合同，且造成的损失均由乙方负责。因紧急情况无法提前通知的，乙方应当在合理时间内通知，甲方</w:t>
      </w:r>
      <w:r>
        <w:rPr>
          <w:rFonts w:hint="eastAsia" w:ascii="仿宋" w:hAnsi="仿宋" w:eastAsia="仿宋" w:cs="仿宋"/>
          <w:spacing w:val="7"/>
          <w:sz w:val="26"/>
          <w:szCs w:val="26"/>
          <w:highlight w:val="none"/>
        </w:rPr>
        <w:t>未接到乙方关于更换项目组项目负责人及其他成员的通知之前，乙方承</w:t>
      </w:r>
      <w:r>
        <w:rPr>
          <w:rFonts w:hint="eastAsia" w:ascii="仿宋" w:hAnsi="仿宋" w:eastAsia="仿宋" w:cs="仿宋"/>
          <w:spacing w:val="5"/>
          <w:sz w:val="26"/>
          <w:szCs w:val="26"/>
          <w:highlight w:val="none"/>
        </w:rPr>
        <w:t>认该合同约定的项目组项目负责人及其他成员作出的行为均代表乙方</w:t>
      </w:r>
      <w:r>
        <w:rPr>
          <w:rFonts w:hint="eastAsia" w:cs="仿宋"/>
          <w:spacing w:val="5"/>
          <w:sz w:val="26"/>
          <w:szCs w:val="26"/>
          <w:highlight w:val="none"/>
          <w:lang w:eastAsia="zh-CN"/>
        </w:rPr>
        <w:t>。</w:t>
      </w:r>
      <w:r>
        <w:rPr>
          <w:rFonts w:hint="eastAsia" w:ascii="仿宋" w:hAnsi="仿宋" w:eastAsia="仿宋" w:cs="仿宋"/>
          <w:spacing w:val="6"/>
          <w:sz w:val="26"/>
          <w:szCs w:val="26"/>
          <w:highlight w:val="none"/>
        </w:rPr>
        <w:t>同时，更换后的项目负责人或项目组其他成员对前项目负责人或项目组</w:t>
      </w:r>
      <w:r>
        <w:rPr>
          <w:rFonts w:hint="eastAsia" w:ascii="仿宋" w:hAnsi="仿宋" w:eastAsia="仿宋" w:cs="仿宋"/>
          <w:spacing w:val="4"/>
          <w:sz w:val="26"/>
          <w:szCs w:val="26"/>
          <w:highlight w:val="none"/>
        </w:rPr>
        <w:t>其他成员在更换前所作出的行为予以承认和接受。</w:t>
      </w:r>
    </w:p>
    <w:p w14:paraId="2CE1547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6"/>
          <w:sz w:val="26"/>
          <w:szCs w:val="26"/>
          <w:highlight w:val="none"/>
        </w:rPr>
        <w:t>3.乙方选派到甲方的项目服务人员应服从甲方服务场所的管</w:t>
      </w:r>
      <w:r>
        <w:rPr>
          <w:rFonts w:hint="eastAsia" w:ascii="仿宋" w:hAnsi="仿宋" w:eastAsia="仿宋" w:cs="仿宋"/>
          <w:spacing w:val="15"/>
          <w:sz w:val="26"/>
          <w:szCs w:val="26"/>
          <w:highlight w:val="none"/>
        </w:rPr>
        <w:t>理，甲</w:t>
      </w:r>
      <w:r>
        <w:rPr>
          <w:rFonts w:hint="eastAsia" w:ascii="仿宋" w:hAnsi="仿宋" w:eastAsia="仿宋" w:cs="仿宋"/>
          <w:spacing w:val="17"/>
          <w:sz w:val="26"/>
          <w:szCs w:val="26"/>
          <w:highlight w:val="none"/>
        </w:rPr>
        <w:t>方对乙方服务人员具有监督权，并可根据监督情况要求乙方对其服务人</w:t>
      </w:r>
      <w:r>
        <w:rPr>
          <w:rFonts w:hint="eastAsia" w:ascii="仿宋" w:hAnsi="仿宋" w:eastAsia="仿宋" w:cs="仿宋"/>
          <w:spacing w:val="16"/>
          <w:sz w:val="26"/>
          <w:szCs w:val="26"/>
          <w:highlight w:val="none"/>
        </w:rPr>
        <w:t>员进行调换。如乙方项目服务人员不符合甲方要求或合同约定的，乙方</w:t>
      </w:r>
      <w:r>
        <w:rPr>
          <w:rFonts w:hint="eastAsia" w:ascii="仿宋" w:hAnsi="仿宋" w:eastAsia="仿宋" w:cs="仿宋"/>
          <w:spacing w:val="12"/>
          <w:sz w:val="26"/>
          <w:szCs w:val="26"/>
          <w:highlight w:val="none"/>
        </w:rPr>
        <w:t>应在收到甲方整改通知后</w:t>
      </w:r>
      <w:r>
        <w:rPr>
          <w:rFonts w:hint="eastAsia" w:ascii="仿宋" w:hAnsi="仿宋" w:eastAsia="仿宋" w:cs="仿宋"/>
          <w:spacing w:val="12"/>
          <w:sz w:val="26"/>
          <w:szCs w:val="26"/>
          <w:highlight w:val="none"/>
          <w:u w:val="single" w:color="auto"/>
        </w:rPr>
        <w:t>5</w:t>
      </w:r>
      <w:r>
        <w:rPr>
          <w:rFonts w:hint="eastAsia" w:ascii="仿宋" w:hAnsi="仿宋" w:eastAsia="仿宋" w:cs="仿宋"/>
          <w:spacing w:val="12"/>
          <w:sz w:val="26"/>
          <w:szCs w:val="26"/>
          <w:highlight w:val="none"/>
        </w:rPr>
        <w:t>个工作日之内，按要求</w:t>
      </w:r>
      <w:r>
        <w:rPr>
          <w:rFonts w:hint="eastAsia" w:ascii="仿宋" w:hAnsi="仿宋" w:eastAsia="仿宋" w:cs="仿宋"/>
          <w:spacing w:val="11"/>
          <w:sz w:val="26"/>
          <w:szCs w:val="26"/>
          <w:highlight w:val="none"/>
        </w:rPr>
        <w:t>重新选派项目服务人</w:t>
      </w:r>
      <w:r>
        <w:rPr>
          <w:rFonts w:hint="eastAsia" w:ascii="仿宋" w:hAnsi="仿宋" w:eastAsia="仿宋" w:cs="仿宋"/>
          <w:spacing w:val="12"/>
          <w:sz w:val="26"/>
          <w:szCs w:val="26"/>
          <w:highlight w:val="none"/>
        </w:rPr>
        <w:t>员，由此产生的相关费用由乙方承担。</w:t>
      </w:r>
    </w:p>
    <w:p w14:paraId="11A82E0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8"/>
          <w:sz w:val="26"/>
          <w:szCs w:val="26"/>
          <w:highlight w:val="none"/>
        </w:rPr>
        <w:t>4.甲方与乙方项目服务人员非劳动关系或劳动合同关系，不适用《中</w:t>
      </w:r>
      <w:r>
        <w:rPr>
          <w:rFonts w:hint="eastAsia" w:ascii="仿宋" w:hAnsi="仿宋" w:eastAsia="仿宋" w:cs="仿宋"/>
          <w:spacing w:val="10"/>
          <w:sz w:val="26"/>
          <w:szCs w:val="26"/>
          <w:highlight w:val="none"/>
        </w:rPr>
        <w:t>华人民共和国劳动法》《中华人民共和国劳动合同法》及相关法律法规。</w:t>
      </w:r>
      <w:r>
        <w:rPr>
          <w:rFonts w:hint="eastAsia" w:ascii="仿宋" w:hAnsi="仿宋" w:eastAsia="仿宋" w:cs="仿宋"/>
          <w:spacing w:val="11"/>
          <w:sz w:val="26"/>
          <w:szCs w:val="26"/>
          <w:highlight w:val="none"/>
        </w:rPr>
        <w:t>乙方项目服务人员的薪资、社保、公积金及食宿等问</w:t>
      </w:r>
      <w:r>
        <w:rPr>
          <w:rFonts w:hint="eastAsia" w:ascii="仿宋" w:hAnsi="仿宋" w:eastAsia="仿宋" w:cs="仿宋"/>
          <w:spacing w:val="10"/>
          <w:sz w:val="26"/>
          <w:szCs w:val="26"/>
          <w:highlight w:val="none"/>
        </w:rPr>
        <w:t>题由乙方自行解决。</w:t>
      </w:r>
      <w:r>
        <w:rPr>
          <w:rFonts w:hint="eastAsia" w:ascii="仿宋" w:hAnsi="仿宋" w:eastAsia="仿宋" w:cs="仿宋"/>
          <w:spacing w:val="16"/>
          <w:sz w:val="26"/>
          <w:szCs w:val="26"/>
          <w:highlight w:val="none"/>
        </w:rPr>
        <w:t>乙方应根据有关法律规定，为其项目服务人员办理用工、劳动保险和居</w:t>
      </w:r>
      <w:r>
        <w:rPr>
          <w:rFonts w:hint="eastAsia" w:ascii="仿宋" w:hAnsi="仿宋" w:eastAsia="仿宋" w:cs="仿宋"/>
          <w:spacing w:val="17"/>
          <w:sz w:val="26"/>
          <w:szCs w:val="26"/>
          <w:highlight w:val="none"/>
        </w:rPr>
        <w:t>住证等有关手续。乙方项目服务人员在本合同有效期内受到的或造成的</w:t>
      </w:r>
      <w:r>
        <w:rPr>
          <w:rFonts w:hint="eastAsia" w:ascii="仿宋" w:hAnsi="仿宋" w:eastAsia="仿宋" w:cs="仿宋"/>
          <w:spacing w:val="11"/>
          <w:sz w:val="26"/>
          <w:szCs w:val="26"/>
          <w:highlight w:val="none"/>
        </w:rPr>
        <w:t>人身、财产损失由乙方及乙方项目服务人员承担全部责任，与甲方无关，</w:t>
      </w:r>
      <w:r>
        <w:rPr>
          <w:rFonts w:hint="eastAsia" w:ascii="仿宋" w:hAnsi="仿宋" w:eastAsia="仿宋" w:cs="仿宋"/>
          <w:spacing w:val="7"/>
          <w:sz w:val="26"/>
          <w:szCs w:val="26"/>
          <w:highlight w:val="none"/>
        </w:rPr>
        <w:t>乙方应及时妥善处理。</w:t>
      </w:r>
    </w:p>
    <w:p w14:paraId="46F653F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26" w:firstLineChars="200"/>
        <w:textAlignment w:val="baseline"/>
        <w:outlineLvl w:val="3"/>
        <w:rPr>
          <w:sz w:val="26"/>
          <w:szCs w:val="26"/>
          <w:highlight w:val="none"/>
        </w:rPr>
      </w:pPr>
      <w:r>
        <w:rPr>
          <w:b/>
          <w:bCs/>
          <w:spacing w:val="26"/>
          <w:sz w:val="26"/>
          <w:szCs w:val="26"/>
          <w:highlight w:val="none"/>
        </w:rPr>
        <w:t>(二)项目进度</w:t>
      </w:r>
    </w:p>
    <w:p w14:paraId="274DE23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2" w:firstLineChars="200"/>
        <w:jc w:val="both"/>
        <w:textAlignment w:val="baseline"/>
        <w:rPr>
          <w:sz w:val="26"/>
          <w:szCs w:val="26"/>
          <w:highlight w:val="none"/>
        </w:rPr>
      </w:pPr>
      <w:r>
        <w:rPr>
          <w:spacing w:val="8"/>
          <w:sz w:val="26"/>
          <w:szCs w:val="26"/>
          <w:highlight w:val="none"/>
        </w:rPr>
        <w:t>第一阶段：初步建立起项目实施相关信息管理、</w:t>
      </w:r>
      <w:r>
        <w:rPr>
          <w:spacing w:val="7"/>
          <w:sz w:val="26"/>
          <w:szCs w:val="26"/>
          <w:highlight w:val="none"/>
        </w:rPr>
        <w:t>系统应用与运行机</w:t>
      </w:r>
      <w:r>
        <w:rPr>
          <w:spacing w:val="4"/>
          <w:sz w:val="26"/>
          <w:szCs w:val="26"/>
          <w:highlight w:val="none"/>
        </w:rPr>
        <w:t>制，完成业务梳理，完成前期需求调研、需求分析、方案设计。</w:t>
      </w:r>
    </w:p>
    <w:p w14:paraId="24EF421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sz w:val="26"/>
          <w:szCs w:val="26"/>
          <w:highlight w:val="none"/>
        </w:rPr>
      </w:pPr>
      <w:r>
        <w:rPr>
          <w:spacing w:val="6"/>
          <w:sz w:val="26"/>
          <w:szCs w:val="26"/>
          <w:highlight w:val="none"/>
        </w:rPr>
        <w:t>第二阶段：在</w:t>
      </w:r>
      <w:r>
        <w:rPr>
          <w:rFonts w:hint="eastAsia"/>
          <w:spacing w:val="6"/>
          <w:sz w:val="26"/>
          <w:szCs w:val="26"/>
          <w:highlight w:val="none"/>
          <w:lang w:val="en-US" w:eastAsia="zh-CN"/>
        </w:rPr>
        <w:t>深化</w:t>
      </w:r>
      <w:r>
        <w:rPr>
          <w:spacing w:val="6"/>
          <w:sz w:val="26"/>
          <w:szCs w:val="26"/>
          <w:highlight w:val="none"/>
        </w:rPr>
        <w:t>设计的基础上，进行项目实施，完成</w:t>
      </w:r>
      <w:r>
        <w:rPr>
          <w:rFonts w:hint="eastAsia"/>
          <w:spacing w:val="6"/>
          <w:sz w:val="26"/>
          <w:szCs w:val="26"/>
          <w:highlight w:val="none"/>
          <w:lang w:val="en-US" w:eastAsia="zh-CN"/>
        </w:rPr>
        <w:t>硬件采购</w:t>
      </w:r>
      <w:r>
        <w:rPr>
          <w:spacing w:val="6"/>
          <w:sz w:val="26"/>
          <w:szCs w:val="26"/>
          <w:highlight w:val="none"/>
        </w:rPr>
        <w:t>、</w:t>
      </w:r>
      <w:r>
        <w:rPr>
          <w:spacing w:val="2"/>
          <w:sz w:val="26"/>
          <w:szCs w:val="26"/>
          <w:highlight w:val="none"/>
        </w:rPr>
        <w:t>软件开发、软硬件安装调试，将开发完成的系统在指定环境上进行部署，</w:t>
      </w:r>
      <w:r>
        <w:rPr>
          <w:spacing w:val="8"/>
          <w:sz w:val="26"/>
          <w:szCs w:val="26"/>
          <w:highlight w:val="none"/>
        </w:rPr>
        <w:t>完成</w:t>
      </w:r>
      <w:r>
        <w:rPr>
          <w:rFonts w:hint="eastAsia"/>
          <w:spacing w:val="8"/>
          <w:sz w:val="26"/>
          <w:szCs w:val="26"/>
          <w:highlight w:val="none"/>
          <w:lang w:val="en-US" w:eastAsia="zh-CN"/>
        </w:rPr>
        <w:t>超级设备管理平台搭建并</w:t>
      </w:r>
      <w:r>
        <w:rPr>
          <w:spacing w:val="8"/>
          <w:sz w:val="26"/>
          <w:szCs w:val="26"/>
          <w:highlight w:val="none"/>
        </w:rPr>
        <w:t>和</w:t>
      </w:r>
      <w:r>
        <w:rPr>
          <w:rFonts w:hint="eastAsia"/>
          <w:spacing w:val="8"/>
          <w:sz w:val="26"/>
          <w:szCs w:val="26"/>
          <w:highlight w:val="none"/>
          <w:lang w:val="en-US" w:eastAsia="zh-CN"/>
        </w:rPr>
        <w:t>上层停车场管理</w:t>
      </w:r>
      <w:r>
        <w:rPr>
          <w:spacing w:val="8"/>
          <w:sz w:val="26"/>
          <w:szCs w:val="26"/>
          <w:highlight w:val="none"/>
        </w:rPr>
        <w:t>平台对接；并通过有</w:t>
      </w:r>
      <w:r>
        <w:rPr>
          <w:spacing w:val="7"/>
          <w:sz w:val="26"/>
          <w:szCs w:val="26"/>
          <w:highlight w:val="none"/>
        </w:rPr>
        <w:t>效的系统集成，通过</w:t>
      </w:r>
      <w:r>
        <w:rPr>
          <w:rFonts w:hint="eastAsia"/>
          <w:spacing w:val="7"/>
          <w:sz w:val="26"/>
          <w:szCs w:val="26"/>
          <w:highlight w:val="none"/>
          <w:lang w:val="en-US" w:eastAsia="zh-CN"/>
        </w:rPr>
        <w:t>甲方</w:t>
      </w:r>
      <w:r>
        <w:rPr>
          <w:spacing w:val="4"/>
          <w:sz w:val="26"/>
          <w:szCs w:val="26"/>
          <w:highlight w:val="none"/>
        </w:rPr>
        <w:t>初验评测，完成初步验收，开始步入试运行阶段。</w:t>
      </w:r>
    </w:p>
    <w:p w14:paraId="7B25AD7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2" w:firstLineChars="200"/>
        <w:jc w:val="both"/>
        <w:textAlignment w:val="baseline"/>
        <w:rPr>
          <w:sz w:val="26"/>
          <w:szCs w:val="26"/>
          <w:highlight w:val="none"/>
        </w:rPr>
      </w:pPr>
      <w:r>
        <w:rPr>
          <w:spacing w:val="8"/>
          <w:sz w:val="26"/>
          <w:szCs w:val="26"/>
          <w:highlight w:val="none"/>
        </w:rPr>
        <w:t>第三阶段：初步验收合格后，启动项目系统试运</w:t>
      </w:r>
      <w:r>
        <w:rPr>
          <w:spacing w:val="7"/>
          <w:sz w:val="26"/>
          <w:szCs w:val="26"/>
          <w:highlight w:val="none"/>
        </w:rPr>
        <w:t>行，提供技术支持</w:t>
      </w:r>
      <w:r>
        <w:rPr>
          <w:spacing w:val="8"/>
          <w:sz w:val="26"/>
          <w:szCs w:val="26"/>
          <w:highlight w:val="none"/>
        </w:rPr>
        <w:t>维护及持续培训等相关服务，在系统稳定正常运</w:t>
      </w:r>
      <w:r>
        <w:rPr>
          <w:spacing w:val="7"/>
          <w:sz w:val="26"/>
          <w:szCs w:val="26"/>
          <w:highlight w:val="none"/>
        </w:rPr>
        <w:t>行，且乙方全面完成项</w:t>
      </w:r>
      <w:r>
        <w:rPr>
          <w:spacing w:val="4"/>
          <w:sz w:val="26"/>
          <w:szCs w:val="26"/>
          <w:highlight w:val="none"/>
        </w:rPr>
        <w:t>目系统建设的情况下，通过</w:t>
      </w:r>
      <w:r>
        <w:rPr>
          <w:rFonts w:hint="eastAsia"/>
          <w:spacing w:val="4"/>
          <w:sz w:val="26"/>
          <w:szCs w:val="26"/>
          <w:highlight w:val="none"/>
          <w:lang w:val="en-US" w:eastAsia="zh-CN"/>
        </w:rPr>
        <w:t>甲方</w:t>
      </w:r>
      <w:r>
        <w:rPr>
          <w:spacing w:val="4"/>
          <w:sz w:val="26"/>
          <w:szCs w:val="26"/>
          <w:highlight w:val="none"/>
        </w:rPr>
        <w:t>终验评测并完成项目终验工作。</w:t>
      </w:r>
    </w:p>
    <w:p w14:paraId="6380DCC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28" w:firstLineChars="200"/>
        <w:jc w:val="both"/>
        <w:textAlignment w:val="baseline"/>
        <w:rPr>
          <w:sz w:val="26"/>
          <w:szCs w:val="26"/>
          <w:highlight w:val="none"/>
        </w:rPr>
      </w:pPr>
      <w:r>
        <w:rPr>
          <w:spacing w:val="27"/>
          <w:sz w:val="26"/>
          <w:szCs w:val="26"/>
          <w:highlight w:val="none"/>
        </w:rPr>
        <w:t>第四阶段：项目涉及系统正式投入运行后，乙方提供技术支持、维</w:t>
      </w:r>
      <w:r>
        <w:rPr>
          <w:spacing w:val="19"/>
          <w:sz w:val="26"/>
          <w:szCs w:val="26"/>
          <w:highlight w:val="none"/>
        </w:rPr>
        <w:t>护、培训等相关服务。</w:t>
      </w:r>
    </w:p>
    <w:p w14:paraId="774DD25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02" w:firstLineChars="200"/>
        <w:textAlignment w:val="baseline"/>
        <w:outlineLvl w:val="3"/>
        <w:rPr>
          <w:rFonts w:hint="default" w:eastAsia="仿宋"/>
          <w:sz w:val="26"/>
          <w:szCs w:val="26"/>
          <w:highlight w:val="none"/>
          <w:lang w:val="en-US" w:eastAsia="zh-CN"/>
        </w:rPr>
      </w:pPr>
      <w:r>
        <w:rPr>
          <w:b/>
          <w:bCs/>
          <w:spacing w:val="20"/>
          <w:sz w:val="26"/>
          <w:szCs w:val="26"/>
          <w:highlight w:val="none"/>
        </w:rPr>
        <w:t>(三)设计</w:t>
      </w:r>
      <w:r>
        <w:rPr>
          <w:rFonts w:hint="eastAsia"/>
          <w:b/>
          <w:bCs/>
          <w:spacing w:val="20"/>
          <w:sz w:val="26"/>
          <w:szCs w:val="26"/>
          <w:highlight w:val="none"/>
          <w:lang w:val="en-US" w:eastAsia="zh-CN"/>
        </w:rPr>
        <w:t>及施工要求</w:t>
      </w:r>
    </w:p>
    <w:p w14:paraId="45C6467C">
      <w:pPr>
        <w:pStyle w:val="6"/>
        <w:keepNext w:val="0"/>
        <w:keepLines w:val="0"/>
        <w:pageBreakBefore w:val="0"/>
        <w:widowControl/>
        <w:wordWrap/>
        <w:overflowPunct/>
        <w:topLinePunct w:val="0"/>
        <w:bidi w:val="0"/>
        <w:adjustRightInd/>
        <w:snapToGrid/>
        <w:spacing w:line="440" w:lineRule="exact"/>
        <w:ind w:left="0" w:firstLine="544" w:firstLineChars="200"/>
        <w:rPr>
          <w:rFonts w:hint="eastAsia" w:ascii="仿宋" w:hAnsi="仿宋" w:eastAsia="仿宋" w:cs="仿宋"/>
          <w:sz w:val="26"/>
          <w:szCs w:val="26"/>
          <w:highlight w:val="none"/>
          <w:lang w:val="en-US" w:eastAsia="zh-CN"/>
        </w:rPr>
      </w:pPr>
      <w:r>
        <w:rPr>
          <w:rFonts w:hint="eastAsia" w:ascii="仿宋" w:hAnsi="仿宋" w:eastAsia="仿宋" w:cs="仿宋"/>
          <w:spacing w:val="6"/>
          <w:sz w:val="26"/>
          <w:szCs w:val="26"/>
          <w:highlight w:val="none"/>
        </w:rPr>
        <w:t>1.设计</w:t>
      </w:r>
      <w:r>
        <w:rPr>
          <w:rFonts w:hint="eastAsia" w:ascii="仿宋" w:hAnsi="仿宋" w:eastAsia="仿宋" w:cs="仿宋"/>
          <w:spacing w:val="6"/>
          <w:sz w:val="26"/>
          <w:szCs w:val="26"/>
          <w:highlight w:val="none"/>
          <w:lang w:val="en-US" w:eastAsia="zh-CN"/>
        </w:rPr>
        <w:t>总体要求</w:t>
      </w:r>
    </w:p>
    <w:p w14:paraId="7EFB4F4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firstLine="516" w:firstLineChars="200"/>
        <w:jc w:val="both"/>
        <w:textAlignment w:val="auto"/>
        <w:rPr>
          <w:rFonts w:hint="eastAsia" w:ascii="仿宋" w:hAnsi="仿宋" w:eastAsia="仿宋" w:cs="仿宋"/>
          <w:snapToGrid w:val="0"/>
          <w:color w:val="000000"/>
          <w:spacing w:val="-1"/>
          <w:kern w:val="0"/>
          <w:sz w:val="26"/>
          <w:szCs w:val="26"/>
          <w:highlight w:val="none"/>
          <w:u w:val="none" w:color="auto"/>
          <w:lang w:val="zh-Hans" w:eastAsia="zh-Hans" w:bidi="ar-SA"/>
        </w:rPr>
      </w:pPr>
      <w:r>
        <w:rPr>
          <w:rFonts w:hint="eastAsia" w:ascii="仿宋" w:hAnsi="仿宋" w:eastAsia="仿宋" w:cs="仿宋"/>
          <w:snapToGrid w:val="0"/>
          <w:color w:val="000000"/>
          <w:spacing w:val="-1"/>
          <w:kern w:val="0"/>
          <w:sz w:val="26"/>
          <w:szCs w:val="26"/>
          <w:highlight w:val="none"/>
          <w:u w:val="none" w:color="auto"/>
          <w:lang w:val="en-US" w:eastAsia="zh-CN" w:bidi="ar-SA"/>
        </w:rPr>
        <w:t>系统总体</w:t>
      </w:r>
      <w:r>
        <w:rPr>
          <w:rFonts w:hint="eastAsia" w:ascii="仿宋" w:hAnsi="仿宋" w:eastAsia="仿宋" w:cs="仿宋"/>
          <w:snapToGrid w:val="0"/>
          <w:color w:val="000000"/>
          <w:spacing w:val="-1"/>
          <w:kern w:val="0"/>
          <w:sz w:val="26"/>
          <w:szCs w:val="26"/>
          <w:highlight w:val="none"/>
          <w:u w:val="none" w:color="auto"/>
          <w:lang w:val="zh-Hans" w:eastAsia="zh-Hans" w:bidi="ar-SA"/>
        </w:rPr>
        <w:t>设计要求聚焦以下核心原则：</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en-US" w:eastAsia="zh-CN" w:bidi="ar-SA"/>
        </w:rPr>
        <w:t>1</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zh-Hans" w:eastAsia="zh-Hans" w:bidi="ar-SA"/>
        </w:rPr>
        <w:t>技术先进性：采用鸿蒙化智能设备及</w:t>
      </w:r>
      <w:r>
        <w:rPr>
          <w:rFonts w:hint="eastAsia" w:ascii="仿宋" w:hAnsi="仿宋" w:eastAsia="仿宋" w:cs="仿宋"/>
          <w:snapToGrid w:val="0"/>
          <w:color w:val="000000"/>
          <w:spacing w:val="-1"/>
          <w:kern w:val="0"/>
          <w:sz w:val="26"/>
          <w:szCs w:val="26"/>
          <w:highlight w:val="none"/>
          <w:u w:val="none" w:color="auto"/>
          <w:lang w:val="zh-Hans" w:eastAsia="zh-CN" w:bidi="ar-SA"/>
        </w:rPr>
        <w:t>超级设备</w:t>
      </w:r>
      <w:bookmarkStart w:id="0" w:name="_GoBack"/>
      <w:bookmarkEnd w:id="0"/>
      <w:r>
        <w:rPr>
          <w:rFonts w:hint="eastAsia" w:ascii="仿宋" w:hAnsi="仿宋" w:eastAsia="仿宋" w:cs="仿宋"/>
          <w:snapToGrid w:val="0"/>
          <w:color w:val="000000"/>
          <w:spacing w:val="-1"/>
          <w:kern w:val="0"/>
          <w:sz w:val="26"/>
          <w:szCs w:val="26"/>
          <w:highlight w:val="none"/>
          <w:u w:val="none" w:color="auto"/>
          <w:lang w:val="zh-Hans" w:eastAsia="zh-Hans" w:bidi="ar-SA"/>
        </w:rPr>
        <w:t>管理平台，确保系统具备高可靠性、低延迟及强扩展性，满足园区未来数字化发展的长期需求。</w:t>
      </w:r>
      <w:r>
        <w:rPr>
          <w:rFonts w:hint="eastAsia" w:ascii="仿宋" w:hAnsi="仿宋" w:eastAsia="仿宋" w:cs="仿宋"/>
          <w:snapToGrid w:val="0"/>
          <w:color w:val="000000"/>
          <w:spacing w:val="-1"/>
          <w:kern w:val="0"/>
          <w:sz w:val="26"/>
          <w:szCs w:val="26"/>
          <w:highlight w:val="none"/>
          <w:u w:val="none" w:color="auto"/>
          <w:lang w:val="en-US" w:eastAsia="zh-CN" w:bidi="ar-SA"/>
        </w:rPr>
        <w:t>（2）</w:t>
      </w:r>
      <w:r>
        <w:rPr>
          <w:rFonts w:hint="eastAsia" w:ascii="仿宋" w:hAnsi="仿宋" w:eastAsia="仿宋" w:cs="仿宋"/>
          <w:snapToGrid w:val="0"/>
          <w:color w:val="000000"/>
          <w:spacing w:val="-1"/>
          <w:kern w:val="0"/>
          <w:sz w:val="26"/>
          <w:szCs w:val="26"/>
          <w:highlight w:val="none"/>
          <w:u w:val="none" w:color="auto"/>
          <w:lang w:val="zh-Hans" w:eastAsia="zh-Hans" w:bidi="ar-SA"/>
        </w:rPr>
        <w:t>功能完备性：需实现车位相机与智能车锁的实时联动、出入口无人化管控等功能，全面提升停车效率与用户体验。</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en-US" w:eastAsia="zh-CN" w:bidi="ar-SA"/>
        </w:rPr>
        <w:t>3</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zh-Hans" w:eastAsia="zh-Hans" w:bidi="ar-SA"/>
        </w:rPr>
        <w:t>系统兼容性：所有软硬件需严格遵循开放接口标准，确保与园区现有停车场管理平台、物联网平台无缝对接，避免信息孤岛。</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en-US" w:eastAsia="zh-CN" w:bidi="ar-SA"/>
        </w:rPr>
        <w:t>4</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zh-Hans" w:eastAsia="zh-Hans" w:bidi="ar-SA"/>
        </w:rPr>
        <w:t>安全与可靠性：系统需具备数据加密传输、</w:t>
      </w:r>
      <w:r>
        <w:rPr>
          <w:rFonts w:hint="eastAsia" w:ascii="仿宋" w:hAnsi="仿宋" w:eastAsia="仿宋" w:cs="仿宋"/>
          <w:snapToGrid w:val="0"/>
          <w:color w:val="000000"/>
          <w:spacing w:val="-1"/>
          <w:kern w:val="0"/>
          <w:sz w:val="26"/>
          <w:szCs w:val="26"/>
          <w:highlight w:val="none"/>
          <w:u w:val="none" w:color="auto"/>
          <w:lang w:val="en-US" w:eastAsia="zh-CN" w:bidi="ar-SA"/>
        </w:rPr>
        <w:t>系统防篡改及入侵、</w:t>
      </w:r>
      <w:r>
        <w:rPr>
          <w:rFonts w:hint="eastAsia" w:ascii="仿宋" w:hAnsi="仿宋" w:eastAsia="仿宋" w:cs="仿宋"/>
          <w:snapToGrid w:val="0"/>
          <w:color w:val="000000"/>
          <w:spacing w:val="-1"/>
          <w:kern w:val="0"/>
          <w:sz w:val="26"/>
          <w:szCs w:val="26"/>
          <w:highlight w:val="none"/>
          <w:u w:val="none" w:color="auto"/>
          <w:lang w:val="zh-Hans" w:eastAsia="zh-Hans" w:bidi="ar-SA"/>
        </w:rPr>
        <w:t>设备抗干扰、故障快速恢复等能力，保障停车业务连续性和隐私安全性。</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en-US" w:eastAsia="zh-CN" w:bidi="ar-SA"/>
        </w:rPr>
        <w:t>5</w:t>
      </w:r>
      <w:r>
        <w:rPr>
          <w:rFonts w:hint="eastAsia" w:ascii="仿宋" w:hAnsi="仿宋" w:eastAsia="仿宋" w:cs="仿宋"/>
          <w:snapToGrid w:val="0"/>
          <w:color w:val="000000"/>
          <w:spacing w:val="-1"/>
          <w:kern w:val="0"/>
          <w:sz w:val="26"/>
          <w:szCs w:val="26"/>
          <w:highlight w:val="none"/>
          <w:u w:val="none" w:color="auto"/>
          <w:lang w:val="zh-Hans" w:eastAsia="zh-CN" w:bidi="ar-SA"/>
        </w:rPr>
        <w:t>）</w:t>
      </w:r>
      <w:r>
        <w:rPr>
          <w:rFonts w:hint="eastAsia" w:ascii="仿宋" w:hAnsi="仿宋" w:eastAsia="仿宋" w:cs="仿宋"/>
          <w:snapToGrid w:val="0"/>
          <w:color w:val="000000"/>
          <w:spacing w:val="-1"/>
          <w:kern w:val="0"/>
          <w:sz w:val="26"/>
          <w:szCs w:val="26"/>
          <w:highlight w:val="none"/>
          <w:u w:val="none" w:color="auto"/>
          <w:lang w:val="zh-Hans" w:eastAsia="zh-Hans" w:bidi="ar-SA"/>
        </w:rPr>
        <w:t>经济与实用性：在保证性能的前提下优化成本，采用模块化设计以降低后期运维复杂度，确保项目投入产出比最优化。</w:t>
      </w:r>
    </w:p>
    <w:p w14:paraId="11B294B5">
      <w:pPr>
        <w:pStyle w:val="6"/>
        <w:keepNext w:val="0"/>
        <w:keepLines w:val="0"/>
        <w:pageBreakBefore w:val="0"/>
        <w:widowControl/>
        <w:wordWrap/>
        <w:overflowPunct/>
        <w:topLinePunct w:val="0"/>
        <w:bidi w:val="0"/>
        <w:adjustRightInd/>
        <w:snapToGrid/>
        <w:spacing w:line="440" w:lineRule="exact"/>
        <w:ind w:left="0" w:firstLine="544" w:firstLineChars="200"/>
        <w:jc w:val="both"/>
        <w:rPr>
          <w:rFonts w:hint="eastAsia" w:ascii="仿宋" w:hAnsi="仿宋" w:eastAsia="仿宋" w:cs="仿宋"/>
          <w:spacing w:val="6"/>
          <w:sz w:val="26"/>
          <w:szCs w:val="26"/>
          <w:highlight w:val="none"/>
          <w:lang w:val="en-US" w:eastAsia="zh-CN"/>
        </w:rPr>
      </w:pPr>
      <w:r>
        <w:rPr>
          <w:rFonts w:hint="eastAsia" w:ascii="仿宋" w:hAnsi="仿宋" w:eastAsia="仿宋" w:cs="仿宋"/>
          <w:spacing w:val="6"/>
          <w:sz w:val="26"/>
          <w:szCs w:val="26"/>
          <w:highlight w:val="none"/>
          <w:lang w:val="en-US" w:eastAsia="zh-CN"/>
        </w:rPr>
        <w:t>2.施工总体要求</w:t>
      </w:r>
    </w:p>
    <w:p w14:paraId="58D06BFE">
      <w:pPr>
        <w:pStyle w:val="6"/>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left="0" w:leftChars="0" w:firstLine="516" w:firstLineChars="200"/>
        <w:jc w:val="both"/>
        <w:textAlignment w:val="baseline"/>
        <w:rPr>
          <w:rFonts w:hint="eastAsia" w:ascii="仿宋" w:hAnsi="仿宋" w:eastAsia="仿宋" w:cs="仿宋"/>
          <w:snapToGrid w:val="0"/>
          <w:color w:val="000000"/>
          <w:spacing w:val="-1"/>
          <w:kern w:val="0"/>
          <w:sz w:val="26"/>
          <w:szCs w:val="26"/>
          <w:highlight w:val="none"/>
          <w:u w:val="none" w:color="auto"/>
          <w:lang w:val="en-US" w:eastAsia="zh-CN" w:bidi="ar-SA"/>
        </w:rPr>
      </w:pPr>
      <w:r>
        <w:rPr>
          <w:rFonts w:hint="eastAsia" w:ascii="仿宋" w:hAnsi="仿宋" w:eastAsia="仿宋" w:cs="仿宋"/>
          <w:snapToGrid w:val="0"/>
          <w:color w:val="000000"/>
          <w:spacing w:val="-1"/>
          <w:kern w:val="0"/>
          <w:sz w:val="26"/>
          <w:szCs w:val="26"/>
          <w:highlight w:val="none"/>
          <w:u w:val="none" w:color="auto"/>
          <w:lang w:val="en-US" w:eastAsia="zh-CN" w:bidi="ar-SA"/>
        </w:rPr>
        <w:t>一是需根据深圳市住建房和建设局相关要求做好建筑工地扬尘污染防治，保证良好的现场施工环境。二是布线要求采用标准化接口，所有线缆需进行隐蔽处理，并做好标识管理；车位施工完毕后需恢复至原状态，要求地面平整、无明显色差。三是提供的全部设备、材料、配件须提供产品检验合格证，进场前样品或质量证明材料需报甲方审核。</w:t>
      </w:r>
    </w:p>
    <w:p w14:paraId="22C00C28">
      <w:pPr>
        <w:pStyle w:val="6"/>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left="0" w:leftChars="0" w:firstLine="516" w:firstLineChars="200"/>
        <w:jc w:val="both"/>
        <w:textAlignment w:val="baseline"/>
        <w:rPr>
          <w:rFonts w:hint="eastAsia" w:ascii="仿宋" w:hAnsi="仿宋" w:eastAsia="仿宋" w:cs="仿宋"/>
          <w:snapToGrid w:val="0"/>
          <w:color w:val="000000"/>
          <w:spacing w:val="-1"/>
          <w:kern w:val="0"/>
          <w:sz w:val="26"/>
          <w:szCs w:val="26"/>
          <w:highlight w:val="none"/>
          <w:u w:val="none" w:color="auto"/>
          <w:lang w:val="en-US" w:eastAsia="zh-CN" w:bidi="ar-SA"/>
        </w:rPr>
      </w:pPr>
      <w:r>
        <w:rPr>
          <w:rFonts w:hint="eastAsia" w:ascii="仿宋" w:hAnsi="仿宋" w:eastAsia="仿宋" w:cs="仿宋"/>
          <w:snapToGrid w:val="0"/>
          <w:color w:val="000000"/>
          <w:spacing w:val="-1"/>
          <w:kern w:val="0"/>
          <w:sz w:val="26"/>
          <w:szCs w:val="26"/>
          <w:highlight w:val="none"/>
          <w:u w:val="none" w:color="auto"/>
          <w:lang w:val="en-US" w:eastAsia="zh-CN" w:bidi="ar-SA"/>
        </w:rPr>
        <w:t>具体设计及施工要求详见</w:t>
      </w:r>
      <w:r>
        <w:rPr>
          <w:rFonts w:hint="eastAsia" w:cs="仿宋"/>
          <w:snapToGrid w:val="0"/>
          <w:color w:val="000000"/>
          <w:spacing w:val="-1"/>
          <w:kern w:val="0"/>
          <w:sz w:val="26"/>
          <w:szCs w:val="26"/>
          <w:highlight w:val="none"/>
          <w:u w:val="none" w:color="auto"/>
          <w:lang w:val="en-US" w:eastAsia="zh-CN" w:bidi="ar-SA"/>
        </w:rPr>
        <w:t>附件一</w:t>
      </w:r>
      <w:r>
        <w:rPr>
          <w:rFonts w:hint="eastAsia" w:ascii="仿宋" w:hAnsi="仿宋" w:eastAsia="仿宋" w:cs="仿宋"/>
          <w:snapToGrid w:val="0"/>
          <w:color w:val="000000"/>
          <w:spacing w:val="-1"/>
          <w:kern w:val="0"/>
          <w:sz w:val="26"/>
          <w:szCs w:val="26"/>
          <w:highlight w:val="none"/>
          <w:u w:val="none" w:color="auto"/>
          <w:lang w:val="en-US" w:eastAsia="zh-CN" w:bidi="ar-SA"/>
        </w:rPr>
        <w:t>《</w:t>
      </w:r>
      <w:r>
        <w:rPr>
          <w:rFonts w:hint="eastAsia" w:cs="仿宋"/>
          <w:snapToGrid w:val="0"/>
          <w:color w:val="000000"/>
          <w:spacing w:val="-1"/>
          <w:kern w:val="0"/>
          <w:sz w:val="26"/>
          <w:szCs w:val="26"/>
          <w:highlight w:val="none"/>
          <w:u w:val="none" w:color="auto"/>
          <w:lang w:val="en-US" w:eastAsia="zh-CN" w:bidi="ar-SA"/>
        </w:rPr>
        <w:t>项目</w:t>
      </w:r>
      <w:r>
        <w:rPr>
          <w:rFonts w:hint="eastAsia" w:ascii="仿宋" w:hAnsi="仿宋" w:eastAsia="仿宋" w:cs="仿宋"/>
          <w:snapToGrid w:val="0"/>
          <w:color w:val="000000"/>
          <w:spacing w:val="-1"/>
          <w:kern w:val="0"/>
          <w:sz w:val="26"/>
          <w:szCs w:val="26"/>
          <w:highlight w:val="none"/>
          <w:u w:val="none" w:color="auto"/>
          <w:lang w:val="en-US" w:eastAsia="zh-CN" w:bidi="ar-SA"/>
        </w:rPr>
        <w:t>任务需求书》。</w:t>
      </w:r>
    </w:p>
    <w:p w14:paraId="40173391">
      <w:pPr>
        <w:pStyle w:val="6"/>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left="0" w:leftChars="0" w:firstLine="516" w:firstLineChars="200"/>
        <w:jc w:val="both"/>
        <w:textAlignment w:val="baseline"/>
        <w:rPr>
          <w:rFonts w:hint="eastAsia" w:ascii="仿宋" w:hAnsi="仿宋" w:eastAsia="仿宋" w:cs="仿宋"/>
          <w:snapToGrid w:val="0"/>
          <w:color w:val="000000"/>
          <w:spacing w:val="-1"/>
          <w:kern w:val="0"/>
          <w:sz w:val="26"/>
          <w:szCs w:val="26"/>
          <w:highlight w:val="none"/>
          <w:u w:val="none" w:color="auto"/>
          <w:lang w:val="en-US" w:eastAsia="zh-CN" w:bidi="ar-SA"/>
        </w:rPr>
      </w:pPr>
      <w:r>
        <w:rPr>
          <w:rFonts w:hint="eastAsia" w:ascii="仿宋" w:hAnsi="仿宋" w:eastAsia="仿宋" w:cs="仿宋"/>
          <w:snapToGrid w:val="0"/>
          <w:color w:val="000000"/>
          <w:spacing w:val="-1"/>
          <w:kern w:val="0"/>
          <w:sz w:val="26"/>
          <w:szCs w:val="26"/>
          <w:highlight w:val="none"/>
          <w:u w:val="none" w:color="auto"/>
          <w:lang w:val="en-US" w:eastAsia="zh-CN" w:bidi="ar-SA"/>
        </w:rPr>
        <w:t>3.软件技术</w:t>
      </w:r>
    </w:p>
    <w:p w14:paraId="1479E34B">
      <w:pPr>
        <w:pStyle w:val="6"/>
        <w:keepNext w:val="0"/>
        <w:keepLines w:val="0"/>
        <w:pageBreakBefore w:val="0"/>
        <w:widowControl/>
        <w:numPr>
          <w:ilvl w:val="0"/>
          <w:numId w:val="0"/>
        </w:numPr>
        <w:kinsoku w:val="0"/>
        <w:wordWrap/>
        <w:overflowPunct/>
        <w:topLinePunct w:val="0"/>
        <w:autoSpaceDE w:val="0"/>
        <w:autoSpaceDN w:val="0"/>
        <w:bidi w:val="0"/>
        <w:adjustRightInd/>
        <w:snapToGrid/>
        <w:spacing w:line="440" w:lineRule="exact"/>
        <w:ind w:left="0" w:leftChars="0" w:firstLine="516" w:firstLineChars="200"/>
        <w:jc w:val="both"/>
        <w:textAlignment w:val="baseline"/>
        <w:rPr>
          <w:rFonts w:hint="eastAsia" w:ascii="仿宋" w:hAnsi="仿宋" w:eastAsia="仿宋" w:cs="仿宋"/>
          <w:snapToGrid w:val="0"/>
          <w:color w:val="000000"/>
          <w:spacing w:val="-1"/>
          <w:kern w:val="0"/>
          <w:sz w:val="26"/>
          <w:szCs w:val="26"/>
          <w:highlight w:val="none"/>
          <w:u w:val="none" w:color="auto"/>
          <w:lang w:val="en-US" w:eastAsia="zh-CN" w:bidi="ar-SA"/>
        </w:rPr>
      </w:pPr>
      <w:r>
        <w:rPr>
          <w:rFonts w:hint="eastAsia" w:ascii="仿宋" w:hAnsi="仿宋" w:eastAsia="仿宋" w:cs="仿宋"/>
          <w:snapToGrid w:val="0"/>
          <w:color w:val="000000"/>
          <w:spacing w:val="-1"/>
          <w:kern w:val="0"/>
          <w:sz w:val="26"/>
          <w:szCs w:val="26"/>
          <w:highlight w:val="none"/>
          <w:u w:val="none" w:color="auto"/>
          <w:lang w:val="en-US" w:eastAsia="zh-CN" w:bidi="ar-SA"/>
        </w:rPr>
        <w:t>系统深度集成OpenHarmony技术栈，基于分布式软总线、分布式设备虚拟化、分布式数据管理等核心能力，构建面向万物智联场景的智能中枢。基于</w:t>
      </w:r>
      <w:r>
        <w:rPr>
          <w:rFonts w:hint="default" w:ascii="仿宋" w:hAnsi="仿宋" w:eastAsia="仿宋" w:cs="仿宋"/>
          <w:snapToGrid w:val="0"/>
          <w:color w:val="000000"/>
          <w:spacing w:val="-1"/>
          <w:kern w:val="0"/>
          <w:sz w:val="26"/>
          <w:szCs w:val="26"/>
          <w:highlight w:val="none"/>
          <w:u w:val="none" w:color="auto"/>
          <w:lang w:val="en-US" w:eastAsia="zh-CN" w:bidi="ar-SA"/>
        </w:rPr>
        <w:t>微服务架构构建，各功能模块松耦合、独立部署、可独立扩展，提升系统灵活性和可维护性</w:t>
      </w:r>
      <w:r>
        <w:rPr>
          <w:rFonts w:hint="eastAsia" w:ascii="仿宋" w:hAnsi="仿宋" w:eastAsia="仿宋" w:cs="仿宋"/>
          <w:snapToGrid w:val="0"/>
          <w:color w:val="000000"/>
          <w:spacing w:val="-1"/>
          <w:kern w:val="0"/>
          <w:sz w:val="26"/>
          <w:szCs w:val="26"/>
          <w:highlight w:val="none"/>
          <w:u w:val="none" w:color="auto"/>
          <w:lang w:val="en-US" w:eastAsia="zh-CN" w:bidi="ar-SA"/>
        </w:rPr>
        <w:t>，兼容并支持</w:t>
      </w:r>
      <w:r>
        <w:rPr>
          <w:rFonts w:hint="default" w:ascii="仿宋" w:hAnsi="仿宋" w:eastAsia="仿宋" w:cs="仿宋"/>
          <w:snapToGrid w:val="0"/>
          <w:color w:val="000000"/>
          <w:spacing w:val="-1"/>
          <w:kern w:val="0"/>
          <w:sz w:val="26"/>
          <w:szCs w:val="26"/>
          <w:highlight w:val="none"/>
          <w:u w:val="none" w:color="auto"/>
          <w:lang w:val="en-US" w:eastAsia="zh-CN" w:bidi="ar-SA"/>
        </w:rPr>
        <w:t>主流数据库系统，满足不同业务场景的数据存储需求。</w:t>
      </w:r>
      <w:r>
        <w:rPr>
          <w:rFonts w:hint="eastAsia" w:ascii="仿宋" w:hAnsi="仿宋" w:eastAsia="仿宋" w:cs="仿宋"/>
          <w:snapToGrid w:val="0"/>
          <w:color w:val="000000"/>
          <w:spacing w:val="-1"/>
          <w:kern w:val="0"/>
          <w:sz w:val="26"/>
          <w:szCs w:val="26"/>
          <w:highlight w:val="none"/>
          <w:u w:val="none" w:color="auto"/>
          <w:lang w:val="en-US" w:eastAsia="zh-CN" w:bidi="ar-SA"/>
        </w:rPr>
        <w:t>支持负载均衡和群集技术，提供良好的可扩展性和容错性；平台</w:t>
      </w:r>
      <w:r>
        <w:rPr>
          <w:rFonts w:hint="default" w:ascii="仿宋" w:hAnsi="仿宋" w:eastAsia="仿宋" w:cs="仿宋"/>
          <w:snapToGrid w:val="0"/>
          <w:color w:val="000000"/>
          <w:spacing w:val="-1"/>
          <w:kern w:val="0"/>
          <w:sz w:val="26"/>
          <w:szCs w:val="26"/>
          <w:highlight w:val="none"/>
          <w:u w:val="none" w:color="auto"/>
          <w:lang w:val="en-US" w:eastAsia="zh-CN" w:bidi="ar-SA"/>
        </w:rPr>
        <w:t>能够高效处理海量设备连接、数据上报和指令下发</w:t>
      </w:r>
      <w:r>
        <w:rPr>
          <w:rFonts w:hint="eastAsia" w:ascii="仿宋" w:hAnsi="仿宋" w:eastAsia="仿宋" w:cs="仿宋"/>
          <w:snapToGrid w:val="0"/>
          <w:color w:val="000000"/>
          <w:spacing w:val="-1"/>
          <w:kern w:val="0"/>
          <w:sz w:val="26"/>
          <w:szCs w:val="26"/>
          <w:highlight w:val="none"/>
          <w:u w:val="none" w:color="auto"/>
          <w:lang w:val="en-US" w:eastAsia="zh-CN" w:bidi="ar-SA"/>
        </w:rPr>
        <w:t>，充分考虑</w:t>
      </w:r>
      <w:r>
        <w:rPr>
          <w:rFonts w:hint="default" w:ascii="仿宋" w:hAnsi="仿宋" w:eastAsia="仿宋" w:cs="仿宋"/>
          <w:snapToGrid w:val="0"/>
          <w:color w:val="000000"/>
          <w:spacing w:val="-1"/>
          <w:kern w:val="0"/>
          <w:sz w:val="26"/>
          <w:szCs w:val="26"/>
          <w:highlight w:val="none"/>
          <w:u w:val="none" w:color="auto"/>
          <w:lang w:val="en-US" w:eastAsia="zh-CN" w:bidi="ar-SA"/>
        </w:rPr>
        <w:t>系统结构复杂、吞吐量高的应用环境</w:t>
      </w:r>
      <w:r>
        <w:rPr>
          <w:rFonts w:hint="eastAsia" w:ascii="仿宋" w:hAnsi="仿宋" w:eastAsia="仿宋" w:cs="仿宋"/>
          <w:snapToGrid w:val="0"/>
          <w:color w:val="000000"/>
          <w:spacing w:val="-1"/>
          <w:kern w:val="0"/>
          <w:sz w:val="26"/>
          <w:szCs w:val="26"/>
          <w:highlight w:val="none"/>
          <w:u w:val="none" w:color="auto"/>
          <w:lang w:val="en-US" w:eastAsia="zh-CN" w:bidi="ar-SA"/>
        </w:rPr>
        <w:t>。需要具备良好的安全性、可靠性、开放性和可扩展性的技术框架。</w:t>
      </w:r>
    </w:p>
    <w:p w14:paraId="326738E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4.系统安全</w:t>
      </w:r>
    </w:p>
    <w:p w14:paraId="763CC4D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本项目所建系统应符合《中华人民共和国网络安全法》等国家</w:t>
      </w:r>
      <w:r>
        <w:rPr>
          <w:rFonts w:hint="eastAsia" w:ascii="仿宋" w:hAnsi="仿宋" w:eastAsia="仿宋" w:cs="仿宋"/>
          <w:spacing w:val="5"/>
          <w:sz w:val="26"/>
          <w:szCs w:val="26"/>
          <w:highlight w:val="none"/>
        </w:rPr>
        <w:t>现行网络安全法律法规及网络安全等级保护制度标准等文件要求。本项</w:t>
      </w:r>
      <w:r>
        <w:rPr>
          <w:rFonts w:hint="eastAsia" w:ascii="仿宋" w:hAnsi="仿宋" w:eastAsia="仿宋" w:cs="仿宋"/>
          <w:spacing w:val="-2"/>
          <w:sz w:val="26"/>
          <w:szCs w:val="26"/>
          <w:highlight w:val="none"/>
        </w:rPr>
        <w:t>目安全等级保护为</w:t>
      </w:r>
      <w:r>
        <w:rPr>
          <w:rFonts w:hint="eastAsia" w:ascii="仿宋" w:hAnsi="仿宋" w:eastAsia="仿宋" w:cs="仿宋"/>
          <w:color w:val="auto"/>
          <w:spacing w:val="-2"/>
          <w:sz w:val="26"/>
          <w:szCs w:val="26"/>
          <w:highlight w:val="none"/>
          <w:u w:val="single" w:color="auto"/>
        </w:rPr>
        <w:t>三级。</w:t>
      </w:r>
    </w:p>
    <w:p w14:paraId="0A2B571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38" w:firstLineChars="200"/>
        <w:textAlignment w:val="baseline"/>
        <w:outlineLvl w:val="0"/>
        <w:rPr>
          <w:sz w:val="26"/>
          <w:szCs w:val="26"/>
          <w:highlight w:val="none"/>
        </w:rPr>
      </w:pPr>
      <w:r>
        <w:rPr>
          <w:b/>
          <w:bCs/>
          <w:spacing w:val="29"/>
          <w:sz w:val="26"/>
          <w:szCs w:val="26"/>
          <w:highlight w:val="none"/>
        </w:rPr>
        <w:t>(四)设备交货</w:t>
      </w:r>
    </w:p>
    <w:p w14:paraId="77C04A7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00" w:firstLineChars="200"/>
        <w:jc w:val="both"/>
        <w:textAlignment w:val="baseline"/>
        <w:rPr>
          <w:rFonts w:hint="eastAsia" w:ascii="仿宋" w:hAnsi="仿宋" w:eastAsia="仿宋" w:cs="仿宋"/>
          <w:color w:val="auto"/>
          <w:sz w:val="26"/>
          <w:szCs w:val="26"/>
          <w:highlight w:val="none"/>
        </w:rPr>
      </w:pPr>
      <w:r>
        <w:rPr>
          <w:rFonts w:hint="eastAsia" w:ascii="仿宋" w:hAnsi="仿宋" w:eastAsia="仿宋" w:cs="仿宋"/>
          <w:spacing w:val="20"/>
          <w:sz w:val="26"/>
          <w:szCs w:val="26"/>
          <w:highlight w:val="none"/>
        </w:rPr>
        <w:t>1.硬件设备归属权：本项目中所采购的硬件设备所有权归甲方所有。</w:t>
      </w:r>
      <w:r>
        <w:rPr>
          <w:rFonts w:hint="eastAsia" w:ascii="仿宋" w:hAnsi="仿宋" w:eastAsia="仿宋" w:cs="仿宋"/>
          <w:color w:val="auto"/>
          <w:spacing w:val="24"/>
          <w:sz w:val="26"/>
          <w:szCs w:val="26"/>
          <w:highlight w:val="none"/>
        </w:rPr>
        <w:t>乙方提供项目硬件设备原厂售后服务，并提供原厂售后服务承诺</w:t>
      </w:r>
      <w:r>
        <w:rPr>
          <w:rFonts w:hint="eastAsia" w:ascii="仿宋" w:hAnsi="仿宋" w:eastAsia="仿宋" w:cs="仿宋"/>
          <w:color w:val="auto"/>
          <w:spacing w:val="23"/>
          <w:sz w:val="26"/>
          <w:szCs w:val="26"/>
          <w:highlight w:val="none"/>
        </w:rPr>
        <w:t>函。</w:t>
      </w:r>
    </w:p>
    <w:p w14:paraId="0021D9B9">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5"/>
          <w:sz w:val="26"/>
          <w:szCs w:val="26"/>
          <w:highlight w:val="none"/>
        </w:rPr>
        <w:t>2.质量要求：乙方保证提供的货物为全新、未使用的原装合格正品</w:t>
      </w:r>
      <w:r>
        <w:rPr>
          <w:rFonts w:hint="eastAsia" w:ascii="仿宋" w:hAnsi="仿宋" w:eastAsia="仿宋" w:cs="仿宋"/>
          <w:spacing w:val="30"/>
          <w:sz w:val="26"/>
          <w:szCs w:val="26"/>
          <w:highlight w:val="none"/>
        </w:rPr>
        <w:t>(如货物安装或配置有软件，应是正版软件),符合招标文件规定、投标</w:t>
      </w:r>
      <w:r>
        <w:rPr>
          <w:rFonts w:hint="eastAsia" w:ascii="仿宋" w:hAnsi="仿宋" w:eastAsia="仿宋" w:cs="仿宋"/>
          <w:spacing w:val="28"/>
          <w:sz w:val="26"/>
          <w:szCs w:val="26"/>
          <w:highlight w:val="none"/>
        </w:rPr>
        <w:t>文件承诺及本合同约定的质量标准、技术规格及性能</w:t>
      </w:r>
      <w:r>
        <w:rPr>
          <w:rFonts w:hint="eastAsia" w:cs="仿宋"/>
          <w:spacing w:val="28"/>
          <w:sz w:val="26"/>
          <w:szCs w:val="26"/>
          <w:highlight w:val="none"/>
          <w:lang w:val="en-US" w:eastAsia="zh-CN"/>
        </w:rPr>
        <w:t>要</w:t>
      </w:r>
      <w:r>
        <w:rPr>
          <w:rFonts w:hint="eastAsia" w:ascii="仿宋" w:hAnsi="仿宋" w:eastAsia="仿宋" w:cs="仿宋"/>
          <w:spacing w:val="28"/>
          <w:sz w:val="26"/>
          <w:szCs w:val="26"/>
          <w:highlight w:val="none"/>
        </w:rPr>
        <w:t>求，符合相关国</w:t>
      </w:r>
      <w:r>
        <w:rPr>
          <w:rFonts w:hint="eastAsia" w:ascii="仿宋" w:hAnsi="仿宋" w:eastAsia="仿宋" w:cs="仿宋"/>
          <w:spacing w:val="21"/>
          <w:sz w:val="26"/>
          <w:szCs w:val="26"/>
          <w:highlight w:val="none"/>
        </w:rPr>
        <w:t>家或行业标准、规范要求。</w:t>
      </w:r>
    </w:p>
    <w:p w14:paraId="4166714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2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6"/>
          <w:sz w:val="26"/>
          <w:szCs w:val="26"/>
          <w:highlight w:val="none"/>
        </w:rPr>
        <w:t>3.包装要求：乙方保证货物的包装符合运输的要求，足以保护货物</w:t>
      </w:r>
      <w:r>
        <w:rPr>
          <w:rFonts w:hint="eastAsia" w:ascii="仿宋" w:hAnsi="仿宋" w:eastAsia="仿宋" w:cs="仿宋"/>
          <w:spacing w:val="24"/>
          <w:sz w:val="26"/>
          <w:szCs w:val="26"/>
          <w:highlight w:val="none"/>
        </w:rPr>
        <w:t>在运输过程中不受锈蚀、损坏或灭失。</w:t>
      </w:r>
    </w:p>
    <w:p w14:paraId="620B6C7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4.安装标准：符合我国国家有关技术规范和技术标准；验收标</w:t>
      </w:r>
      <w:r>
        <w:rPr>
          <w:rFonts w:hint="eastAsia" w:ascii="仿宋" w:hAnsi="仿宋" w:eastAsia="仿宋" w:cs="仿宋"/>
          <w:spacing w:val="5"/>
          <w:sz w:val="26"/>
          <w:szCs w:val="26"/>
          <w:highlight w:val="none"/>
        </w:rPr>
        <w:t>准：应与投标文件技术标准一致，并符合我国有关技术规范和技术标准。如因甲方原因无法安装时，待甲方安装准备工作就绪后，乙方需在接到通</w:t>
      </w:r>
      <w:r>
        <w:rPr>
          <w:rFonts w:hint="eastAsia" w:ascii="仿宋" w:hAnsi="仿宋" w:eastAsia="仿宋" w:cs="仿宋"/>
          <w:spacing w:val="12"/>
          <w:sz w:val="26"/>
          <w:szCs w:val="26"/>
          <w:highlight w:val="none"/>
        </w:rPr>
        <w:t>知后7天内上门安装调试。</w:t>
      </w:r>
    </w:p>
    <w:p w14:paraId="0B3A611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5.交货要求：(1)</w:t>
      </w:r>
      <w:r>
        <w:rPr>
          <w:rFonts w:hint="eastAsia" w:ascii="仿宋" w:hAnsi="仿宋" w:eastAsia="仿宋" w:cs="仿宋"/>
          <w:spacing w:val="10"/>
          <w:sz w:val="26"/>
          <w:szCs w:val="26"/>
          <w:highlight w:val="none"/>
          <w:u w:val="single" w:color="auto"/>
        </w:rPr>
        <w:t>本项目涉及的硬件货物，自合同签订之日起</w:t>
      </w:r>
      <w:r>
        <w:rPr>
          <w:rFonts w:hint="eastAsia" w:ascii="仿宋" w:hAnsi="仿宋" w:eastAsia="仿宋" w:cs="仿宋"/>
          <w:spacing w:val="10"/>
          <w:sz w:val="26"/>
          <w:szCs w:val="26"/>
          <w:highlight w:val="none"/>
          <w:u w:val="single" w:color="auto"/>
          <w:lang w:val="en-US" w:eastAsia="zh-CN"/>
        </w:rPr>
        <w:t>30日日历天</w:t>
      </w:r>
      <w:r>
        <w:rPr>
          <w:rFonts w:hint="eastAsia" w:ascii="仿宋" w:hAnsi="仿宋" w:eastAsia="仿宋" w:cs="仿宋"/>
          <w:spacing w:val="12"/>
          <w:sz w:val="26"/>
          <w:szCs w:val="26"/>
          <w:highlight w:val="none"/>
          <w:u w:val="single" w:color="auto"/>
        </w:rPr>
        <w:t>完成交付。</w:t>
      </w:r>
      <w:r>
        <w:rPr>
          <w:rFonts w:hint="eastAsia" w:ascii="仿宋" w:hAnsi="仿宋" w:eastAsia="仿宋" w:cs="仿宋"/>
          <w:spacing w:val="12"/>
          <w:sz w:val="26"/>
          <w:szCs w:val="26"/>
          <w:highlight w:val="none"/>
        </w:rPr>
        <w:t>(2)乙方提供货物的装箱清单、用户手册、</w:t>
      </w:r>
      <w:r>
        <w:rPr>
          <w:rFonts w:hint="eastAsia" w:ascii="仿宋" w:hAnsi="仿宋" w:eastAsia="仿宋" w:cs="仿宋"/>
          <w:spacing w:val="5"/>
          <w:sz w:val="26"/>
          <w:szCs w:val="26"/>
          <w:highlight w:val="none"/>
        </w:rPr>
        <w:t>原厂保修卡、产品合格证、随机技术资料、配件及工具等应随同交付，</w:t>
      </w:r>
      <w:r>
        <w:rPr>
          <w:rFonts w:hint="eastAsia" w:ascii="仿宋" w:hAnsi="仿宋" w:eastAsia="仿宋" w:cs="仿宋"/>
          <w:spacing w:val="9"/>
          <w:sz w:val="26"/>
          <w:szCs w:val="26"/>
          <w:highlight w:val="none"/>
        </w:rPr>
        <w:t>否则视同未按照合同约定交货，由乙方负责补齐</w:t>
      </w:r>
      <w:r>
        <w:rPr>
          <w:rFonts w:hint="eastAsia" w:ascii="仿宋" w:hAnsi="仿宋" w:eastAsia="仿宋" w:cs="仿宋"/>
          <w:spacing w:val="8"/>
          <w:sz w:val="26"/>
          <w:szCs w:val="26"/>
          <w:highlight w:val="none"/>
        </w:rPr>
        <w:t>，且项目工期不顺延。</w:t>
      </w:r>
      <w:r>
        <w:rPr>
          <w:rFonts w:hint="eastAsia" w:ascii="仿宋" w:hAnsi="仿宋" w:eastAsia="仿宋" w:cs="仿宋"/>
          <w:spacing w:val="6"/>
          <w:sz w:val="26"/>
          <w:szCs w:val="26"/>
          <w:highlight w:val="none"/>
        </w:rPr>
        <w:t>(3)乙方所交付的设备品种、型号、规格</w:t>
      </w:r>
      <w:r>
        <w:rPr>
          <w:rFonts w:hint="eastAsia" w:ascii="仿宋" w:hAnsi="仿宋" w:eastAsia="仿宋" w:cs="仿宋"/>
          <w:spacing w:val="5"/>
          <w:sz w:val="26"/>
          <w:szCs w:val="26"/>
          <w:highlight w:val="none"/>
        </w:rPr>
        <w:t>、质量、数量等与合同约定要</w:t>
      </w:r>
      <w:r>
        <w:rPr>
          <w:rFonts w:hint="eastAsia" w:ascii="仿宋" w:hAnsi="仿宋" w:eastAsia="仿宋" w:cs="仿宋"/>
          <w:sz w:val="26"/>
          <w:szCs w:val="26"/>
          <w:highlight w:val="none"/>
        </w:rPr>
        <w:t>求不符合的，甲方有权拒绝收货，由乙方负责</w:t>
      </w:r>
      <w:r>
        <w:rPr>
          <w:rFonts w:hint="eastAsia" w:ascii="仿宋" w:hAnsi="仿宋" w:eastAsia="仿宋" w:cs="仿宋"/>
          <w:spacing w:val="-1"/>
          <w:sz w:val="26"/>
          <w:szCs w:val="26"/>
          <w:highlight w:val="none"/>
        </w:rPr>
        <w:t>整改，且项目工期不顺延。</w:t>
      </w:r>
    </w:p>
    <w:p w14:paraId="258C773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
          <w:sz w:val="26"/>
          <w:szCs w:val="26"/>
          <w:highlight w:val="none"/>
        </w:rPr>
        <w:t>6.交货地点：甲方指定地点。</w:t>
      </w:r>
    </w:p>
    <w:p w14:paraId="1A10E58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pacing w:val="6"/>
          <w:sz w:val="26"/>
          <w:szCs w:val="26"/>
          <w:highlight w:val="none"/>
        </w:rPr>
      </w:pPr>
      <w:r>
        <w:rPr>
          <w:rFonts w:hint="eastAsia" w:ascii="仿宋" w:hAnsi="仿宋" w:eastAsia="仿宋" w:cs="仿宋"/>
          <w:sz w:val="26"/>
          <w:szCs w:val="26"/>
          <w:highlight w:val="none"/>
        </w:rPr>
        <w:t>7.交货方式：乙方送货上门，并承担因运</w:t>
      </w:r>
      <w:r>
        <w:rPr>
          <w:rFonts w:hint="eastAsia" w:ascii="仿宋" w:hAnsi="仿宋" w:eastAsia="仿宋" w:cs="仿宋"/>
          <w:spacing w:val="-1"/>
          <w:sz w:val="26"/>
          <w:szCs w:val="26"/>
          <w:highlight w:val="none"/>
        </w:rPr>
        <w:t>输货物所发生的一切费用，</w:t>
      </w:r>
      <w:r>
        <w:rPr>
          <w:rFonts w:hint="eastAsia" w:ascii="仿宋" w:hAnsi="仿宋" w:eastAsia="仿宋" w:cs="仿宋"/>
          <w:spacing w:val="6"/>
          <w:sz w:val="26"/>
          <w:szCs w:val="26"/>
          <w:highlight w:val="none"/>
        </w:rPr>
        <w:t>包括但不限于运输费、保险费、装卸费等。</w:t>
      </w:r>
    </w:p>
    <w:p w14:paraId="1124A36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8.开箱验货：乙方根据设备清单，负责运输货物到达甲方指定地点。</w:t>
      </w:r>
      <w:r>
        <w:rPr>
          <w:rFonts w:hint="eastAsia" w:ascii="仿宋" w:hAnsi="仿宋" w:eastAsia="仿宋" w:cs="仿宋"/>
          <w:spacing w:val="2"/>
          <w:sz w:val="26"/>
          <w:szCs w:val="26"/>
          <w:highlight w:val="none"/>
        </w:rPr>
        <w:t>根据有关规定，甲方实施开箱验货。</w:t>
      </w:r>
    </w:p>
    <w:p w14:paraId="1FE636F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9.货物正式交付使用前毁损、灭失的风险由乙方承担。</w:t>
      </w:r>
    </w:p>
    <w:p w14:paraId="0F2C523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
          <w:sz w:val="26"/>
          <w:szCs w:val="26"/>
          <w:highlight w:val="none"/>
        </w:rPr>
        <w:t>10.乙方需承担设备运输、安装调试、验收检测和提供设备操作说明</w:t>
      </w:r>
      <w:r>
        <w:rPr>
          <w:rFonts w:hint="eastAsia" w:ascii="仿宋" w:hAnsi="仿宋" w:eastAsia="仿宋" w:cs="仿宋"/>
          <w:spacing w:val="3"/>
          <w:sz w:val="26"/>
          <w:szCs w:val="26"/>
          <w:highlight w:val="none"/>
        </w:rPr>
        <w:t>书等其他类似的义务。所有设备安装调试经甲方验收合格后方</w:t>
      </w:r>
      <w:r>
        <w:rPr>
          <w:rFonts w:hint="eastAsia" w:ascii="仿宋" w:hAnsi="仿宋" w:eastAsia="仿宋" w:cs="仿宋"/>
          <w:spacing w:val="2"/>
          <w:sz w:val="26"/>
          <w:szCs w:val="26"/>
          <w:highlight w:val="none"/>
        </w:rPr>
        <w:t>可完成。</w:t>
      </w:r>
    </w:p>
    <w:p w14:paraId="376A8E8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22" w:firstLineChars="200"/>
        <w:textAlignment w:val="baseline"/>
        <w:outlineLvl w:val="3"/>
        <w:rPr>
          <w:sz w:val="26"/>
          <w:szCs w:val="26"/>
          <w:highlight w:val="none"/>
        </w:rPr>
      </w:pPr>
      <w:r>
        <w:rPr>
          <w:b/>
          <w:bCs/>
          <w:spacing w:val="25"/>
          <w:sz w:val="26"/>
          <w:szCs w:val="26"/>
          <w:highlight w:val="none"/>
        </w:rPr>
        <w:t>(</w:t>
      </w:r>
      <w:r>
        <w:rPr>
          <w:rFonts w:hint="eastAsia"/>
          <w:b/>
          <w:bCs/>
          <w:spacing w:val="25"/>
          <w:sz w:val="26"/>
          <w:szCs w:val="26"/>
          <w:highlight w:val="none"/>
          <w:lang w:val="en-US" w:eastAsia="zh-CN"/>
        </w:rPr>
        <w:t>五</w:t>
      </w:r>
      <w:r>
        <w:rPr>
          <w:b/>
          <w:bCs/>
          <w:spacing w:val="25"/>
          <w:sz w:val="26"/>
          <w:szCs w:val="26"/>
          <w:highlight w:val="none"/>
        </w:rPr>
        <w:t>)项目验收</w:t>
      </w:r>
    </w:p>
    <w:p w14:paraId="1DE7EDD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1.项目验收前，乙方将系统及软硬件安装调试至甲方</w:t>
      </w:r>
      <w:r>
        <w:rPr>
          <w:rFonts w:hint="eastAsia" w:ascii="仿宋" w:hAnsi="仿宋" w:eastAsia="仿宋" w:cs="仿宋"/>
          <w:spacing w:val="4"/>
          <w:sz w:val="26"/>
          <w:szCs w:val="26"/>
          <w:highlight w:val="none"/>
        </w:rPr>
        <w:t>指定地点及部</w:t>
      </w:r>
      <w:r>
        <w:rPr>
          <w:rFonts w:hint="eastAsia" w:ascii="仿宋" w:hAnsi="仿宋" w:eastAsia="仿宋" w:cs="仿宋"/>
          <w:spacing w:val="1"/>
          <w:sz w:val="26"/>
          <w:szCs w:val="26"/>
          <w:highlight w:val="none"/>
        </w:rPr>
        <w:t>署环境，将服务有关的技术文件、资料、</w:t>
      </w:r>
      <w:r>
        <w:rPr>
          <w:rFonts w:hint="eastAsia" w:ascii="仿宋" w:hAnsi="仿宋" w:eastAsia="仿宋" w:cs="仿宋"/>
          <w:sz w:val="26"/>
          <w:szCs w:val="26"/>
          <w:highlight w:val="none"/>
        </w:rPr>
        <w:t>验收报告等文档交付甲方。</w:t>
      </w:r>
    </w:p>
    <w:p w14:paraId="2E59DCB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2.各阶段任务达到可验收状态后，乙方应及时提交甲方验收。验收</w:t>
      </w:r>
      <w:r>
        <w:rPr>
          <w:rFonts w:hint="eastAsia" w:ascii="仿宋" w:hAnsi="仿宋" w:eastAsia="仿宋" w:cs="仿宋"/>
          <w:spacing w:val="10"/>
          <w:sz w:val="26"/>
          <w:szCs w:val="26"/>
          <w:highlight w:val="none"/>
        </w:rPr>
        <w:t>合格的，出具初步/最终验收报告；验收不合格的，乙方应在</w:t>
      </w:r>
      <w:r>
        <w:rPr>
          <w:rFonts w:hint="eastAsia" w:ascii="仿宋" w:hAnsi="仿宋" w:eastAsia="仿宋" w:cs="仿宋"/>
          <w:spacing w:val="10"/>
          <w:sz w:val="26"/>
          <w:szCs w:val="26"/>
          <w:highlight w:val="none"/>
          <w:lang w:val="en-US" w:eastAsia="zh-CN"/>
        </w:rPr>
        <w:t>15</w:t>
      </w:r>
      <w:r>
        <w:rPr>
          <w:rFonts w:hint="eastAsia" w:ascii="仿宋" w:hAnsi="仿宋" w:eastAsia="仿宋" w:cs="仿宋"/>
          <w:spacing w:val="10"/>
          <w:sz w:val="26"/>
          <w:szCs w:val="26"/>
          <w:highlight w:val="none"/>
        </w:rPr>
        <w:t>个工作</w:t>
      </w:r>
      <w:r>
        <w:rPr>
          <w:rFonts w:hint="eastAsia" w:ascii="仿宋" w:hAnsi="仿宋" w:eastAsia="仿宋" w:cs="仿宋"/>
          <w:spacing w:val="2"/>
          <w:sz w:val="26"/>
          <w:szCs w:val="26"/>
          <w:highlight w:val="none"/>
        </w:rPr>
        <w:t>日内按甲方反馈要求进行整改，直至甲方验收合格，且乙方工期</w:t>
      </w:r>
      <w:r>
        <w:rPr>
          <w:rFonts w:hint="eastAsia" w:cs="仿宋"/>
          <w:spacing w:val="2"/>
          <w:sz w:val="26"/>
          <w:szCs w:val="26"/>
          <w:highlight w:val="none"/>
          <w:lang w:val="en-US" w:eastAsia="zh-CN"/>
        </w:rPr>
        <w:t>不予</w:t>
      </w:r>
      <w:r>
        <w:rPr>
          <w:rFonts w:hint="eastAsia" w:ascii="仿宋" w:hAnsi="仿宋" w:eastAsia="仿宋" w:cs="仿宋"/>
          <w:spacing w:val="1"/>
          <w:sz w:val="26"/>
          <w:szCs w:val="26"/>
          <w:highlight w:val="none"/>
        </w:rPr>
        <w:t>顺延。</w:t>
      </w:r>
    </w:p>
    <w:p w14:paraId="76691E8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3.当满足以下条件时，甲方向乙方签发项目验收报告：</w:t>
      </w:r>
    </w:p>
    <w:p w14:paraId="6E01927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00" w:firstLineChars="200"/>
        <w:jc w:val="both"/>
        <w:textAlignment w:val="baseline"/>
        <w:rPr>
          <w:rFonts w:hint="default" w:ascii="仿宋" w:hAnsi="仿宋" w:eastAsia="仿宋" w:cs="仿宋"/>
          <w:sz w:val="26"/>
          <w:szCs w:val="26"/>
          <w:highlight w:val="none"/>
          <w:lang w:val="en-US" w:eastAsia="zh-CN"/>
        </w:rPr>
      </w:pPr>
      <w:r>
        <w:rPr>
          <w:rFonts w:hint="eastAsia" w:ascii="仿宋" w:hAnsi="仿宋" w:eastAsia="仿宋" w:cs="仿宋"/>
          <w:spacing w:val="20"/>
          <w:sz w:val="26"/>
          <w:szCs w:val="26"/>
          <w:highlight w:val="none"/>
        </w:rPr>
        <w:t>(1)软件开发服务</w:t>
      </w:r>
      <w:r>
        <w:rPr>
          <w:rFonts w:hint="eastAsia"/>
          <w:spacing w:val="20"/>
          <w:sz w:val="26"/>
          <w:szCs w:val="26"/>
          <w:highlight w:val="none"/>
          <w:lang w:val="en-US" w:eastAsia="zh-CN"/>
        </w:rPr>
        <w:t>及硬件安装</w:t>
      </w:r>
    </w:p>
    <w:p w14:paraId="2BF69B7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乙方已按照合同规定为项目服务配备了项目初验阶段规定的交</w:t>
      </w:r>
      <w:r>
        <w:rPr>
          <w:rFonts w:hint="eastAsia" w:ascii="仿宋" w:hAnsi="仿宋" w:eastAsia="仿宋" w:cs="仿宋"/>
          <w:spacing w:val="6"/>
          <w:sz w:val="26"/>
          <w:szCs w:val="26"/>
          <w:highlight w:val="none"/>
        </w:rPr>
        <w:t>付全部产品及提供了完整的技术资料，完成项目系统的安装调试，并交</w:t>
      </w:r>
      <w:r>
        <w:rPr>
          <w:rFonts w:hint="eastAsia" w:ascii="仿宋" w:hAnsi="仿宋" w:eastAsia="仿宋" w:cs="仿宋"/>
          <w:sz w:val="26"/>
          <w:szCs w:val="26"/>
          <w:highlight w:val="none"/>
        </w:rPr>
        <w:t>付使用</w:t>
      </w:r>
      <w:r>
        <w:rPr>
          <w:rFonts w:hint="eastAsia" w:ascii="仿宋" w:hAnsi="仿宋" w:eastAsia="仿宋" w:cs="仿宋"/>
          <w:spacing w:val="-1"/>
          <w:sz w:val="26"/>
          <w:szCs w:val="26"/>
          <w:highlight w:val="none"/>
        </w:rPr>
        <w:t>。由乙方提出书面申请，</w:t>
      </w:r>
      <w:r>
        <w:rPr>
          <w:rFonts w:hint="eastAsia" w:ascii="仿宋" w:hAnsi="仿宋" w:eastAsia="仿宋" w:cs="仿宋"/>
          <w:spacing w:val="5"/>
          <w:sz w:val="26"/>
          <w:szCs w:val="26"/>
          <w:highlight w:val="none"/>
        </w:rPr>
        <w:t>甲方组织验收</w:t>
      </w:r>
      <w:r>
        <w:rPr>
          <w:rFonts w:hint="eastAsia" w:ascii="仿宋" w:hAnsi="仿宋" w:eastAsia="仿宋" w:cs="仿宋"/>
          <w:spacing w:val="5"/>
          <w:sz w:val="26"/>
          <w:szCs w:val="26"/>
          <w:highlight w:val="none"/>
          <w:lang w:val="en-US" w:eastAsia="zh-CN"/>
        </w:rPr>
        <w:t>并</w:t>
      </w:r>
      <w:r>
        <w:rPr>
          <w:rFonts w:hint="eastAsia" w:ascii="仿宋" w:hAnsi="仿宋" w:eastAsia="仿宋" w:cs="仿宋"/>
          <w:spacing w:val="5"/>
          <w:sz w:val="26"/>
          <w:szCs w:val="26"/>
          <w:highlight w:val="none"/>
        </w:rPr>
        <w:t>出具相应的</w:t>
      </w:r>
      <w:r>
        <w:rPr>
          <w:rFonts w:hint="eastAsia" w:ascii="仿宋" w:hAnsi="仿宋" w:eastAsia="仿宋" w:cs="仿宋"/>
          <w:spacing w:val="5"/>
          <w:sz w:val="26"/>
          <w:szCs w:val="26"/>
          <w:highlight w:val="none"/>
          <w:u w:val="single" w:color="auto"/>
        </w:rPr>
        <w:t>项目初步验</w:t>
      </w:r>
      <w:r>
        <w:rPr>
          <w:rFonts w:hint="eastAsia" w:ascii="仿宋" w:hAnsi="仿宋" w:eastAsia="仿宋" w:cs="仿宋"/>
          <w:spacing w:val="-1"/>
          <w:sz w:val="26"/>
          <w:szCs w:val="26"/>
          <w:highlight w:val="none"/>
          <w:u w:val="single" w:color="auto"/>
        </w:rPr>
        <w:t>收报告</w:t>
      </w:r>
      <w:r>
        <w:rPr>
          <w:rFonts w:hint="eastAsia" w:ascii="仿宋" w:hAnsi="仿宋" w:eastAsia="仿宋" w:cs="仿宋"/>
          <w:spacing w:val="-1"/>
          <w:sz w:val="26"/>
          <w:szCs w:val="26"/>
          <w:highlight w:val="none"/>
        </w:rPr>
        <w:t>，完成项目初验。</w:t>
      </w:r>
    </w:p>
    <w:p w14:paraId="36DEA02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9"/>
          <w:sz w:val="26"/>
          <w:szCs w:val="26"/>
          <w:highlight w:val="none"/>
        </w:rPr>
        <w:t>乙方完成项目建设、试运行，并保障系统整体性能、稳定</w:t>
      </w:r>
      <w:r>
        <w:rPr>
          <w:rFonts w:hint="eastAsia" w:ascii="仿宋" w:hAnsi="仿宋" w:eastAsia="仿宋" w:cs="仿宋"/>
          <w:spacing w:val="8"/>
          <w:sz w:val="26"/>
          <w:szCs w:val="26"/>
          <w:highlight w:val="none"/>
        </w:rPr>
        <w:t>性、</w:t>
      </w:r>
      <w:r>
        <w:rPr>
          <w:rFonts w:hint="eastAsia" w:ascii="仿宋" w:hAnsi="仿宋" w:eastAsia="仿宋" w:cs="仿宋"/>
          <w:spacing w:val="5"/>
          <w:sz w:val="26"/>
          <w:szCs w:val="26"/>
          <w:highlight w:val="none"/>
        </w:rPr>
        <w:t>可靠性以及准备系统建设文档，</w:t>
      </w:r>
      <w:r>
        <w:rPr>
          <w:rFonts w:hint="eastAsia" w:ascii="仿宋" w:hAnsi="仿宋" w:eastAsia="仿宋" w:cs="仿宋"/>
          <w:spacing w:val="8"/>
          <w:sz w:val="26"/>
          <w:szCs w:val="26"/>
          <w:highlight w:val="none"/>
        </w:rPr>
        <w:t>由乙方提出书面申请，甲方组织</w:t>
      </w:r>
      <w:r>
        <w:rPr>
          <w:rFonts w:hint="eastAsia" w:ascii="仿宋" w:hAnsi="仿宋" w:eastAsia="仿宋" w:cs="仿宋"/>
          <w:spacing w:val="8"/>
          <w:sz w:val="26"/>
          <w:szCs w:val="26"/>
          <w:highlight w:val="none"/>
          <w:lang w:val="en-US" w:eastAsia="zh-CN"/>
        </w:rPr>
        <w:t>验收并</w:t>
      </w:r>
      <w:r>
        <w:rPr>
          <w:rFonts w:hint="eastAsia" w:ascii="仿宋" w:hAnsi="仿宋" w:eastAsia="仿宋" w:cs="仿宋"/>
          <w:spacing w:val="3"/>
          <w:sz w:val="26"/>
          <w:szCs w:val="26"/>
          <w:highlight w:val="none"/>
        </w:rPr>
        <w:t>出具</w:t>
      </w:r>
      <w:r>
        <w:rPr>
          <w:rFonts w:hint="eastAsia" w:ascii="仿宋" w:hAnsi="仿宋" w:eastAsia="仿宋" w:cs="仿宋"/>
          <w:spacing w:val="3"/>
          <w:sz w:val="26"/>
          <w:szCs w:val="26"/>
          <w:highlight w:val="none"/>
          <w:u w:val="single" w:color="auto"/>
        </w:rPr>
        <w:t>项目最终验收报告</w:t>
      </w:r>
      <w:r>
        <w:rPr>
          <w:rFonts w:hint="eastAsia" w:ascii="仿宋" w:hAnsi="仿宋" w:eastAsia="仿宋" w:cs="仿宋"/>
          <w:spacing w:val="3"/>
          <w:sz w:val="26"/>
          <w:szCs w:val="26"/>
          <w:highlight w:val="none"/>
        </w:rPr>
        <w:t>，完成项目终验。</w:t>
      </w:r>
    </w:p>
    <w:p w14:paraId="63B0D34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9"/>
          <w:sz w:val="26"/>
          <w:szCs w:val="26"/>
          <w:highlight w:val="none"/>
        </w:rPr>
        <w:t>(2)硬件设备</w:t>
      </w:r>
    </w:p>
    <w:p w14:paraId="21E1DB39">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乙方提供的货物经过甲</w:t>
      </w:r>
      <w:r>
        <w:rPr>
          <w:rFonts w:hint="eastAsia" w:ascii="仿宋" w:hAnsi="仿宋" w:eastAsia="仿宋" w:cs="仿宋"/>
          <w:sz w:val="26"/>
          <w:szCs w:val="26"/>
          <w:highlight w:val="none"/>
          <w:lang w:val="en-US" w:eastAsia="zh-CN"/>
        </w:rPr>
        <w:t>乙双</w:t>
      </w:r>
      <w:r>
        <w:rPr>
          <w:rFonts w:hint="eastAsia" w:ascii="仿宋" w:hAnsi="仿宋" w:eastAsia="仿宋" w:cs="仿宋"/>
          <w:sz w:val="26"/>
          <w:szCs w:val="26"/>
          <w:highlight w:val="none"/>
        </w:rPr>
        <w:t>方共同检验合格后，</w:t>
      </w:r>
      <w:r>
        <w:rPr>
          <w:rFonts w:hint="eastAsia" w:ascii="仿宋" w:hAnsi="仿宋" w:eastAsia="仿宋" w:cs="仿宋"/>
          <w:spacing w:val="7"/>
          <w:sz w:val="26"/>
          <w:szCs w:val="26"/>
          <w:highlight w:val="none"/>
        </w:rPr>
        <w:t>共同签署验收报告，产品保修期自验收合格之日起算，由乙方提供产品</w:t>
      </w:r>
      <w:r>
        <w:rPr>
          <w:rFonts w:hint="eastAsia" w:ascii="仿宋" w:hAnsi="仿宋" w:eastAsia="仿宋" w:cs="仿宋"/>
          <w:sz w:val="26"/>
          <w:szCs w:val="26"/>
          <w:highlight w:val="none"/>
        </w:rPr>
        <w:t>保修文件。</w:t>
      </w:r>
    </w:p>
    <w:p w14:paraId="52839BA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当满足以下条件时，甲方向乙方出具货物验收报告</w:t>
      </w:r>
      <w:r>
        <w:rPr>
          <w:rFonts w:hint="eastAsia" w:ascii="仿宋" w:hAnsi="仿宋" w:eastAsia="仿宋" w:cs="仿宋"/>
          <w:spacing w:val="5"/>
          <w:sz w:val="26"/>
          <w:szCs w:val="26"/>
          <w:highlight w:val="none"/>
        </w:rPr>
        <w:t>：乙方已按</w:t>
      </w:r>
      <w:r>
        <w:rPr>
          <w:rFonts w:hint="eastAsia" w:ascii="仿宋" w:hAnsi="仿宋" w:eastAsia="仿宋" w:cs="仿宋"/>
          <w:spacing w:val="6"/>
          <w:sz w:val="26"/>
          <w:szCs w:val="26"/>
          <w:highlight w:val="none"/>
        </w:rPr>
        <w:t>照合同规定提供了全部硬件产品及完整的技术资</w:t>
      </w:r>
      <w:r>
        <w:rPr>
          <w:rFonts w:hint="eastAsia" w:ascii="仿宋" w:hAnsi="仿宋" w:eastAsia="仿宋" w:cs="仿宋"/>
          <w:spacing w:val="5"/>
          <w:sz w:val="26"/>
          <w:szCs w:val="26"/>
          <w:highlight w:val="none"/>
        </w:rPr>
        <w:t>料，货物符合招标文件</w:t>
      </w:r>
      <w:r>
        <w:rPr>
          <w:rFonts w:hint="eastAsia" w:ascii="仿宋" w:hAnsi="仿宋" w:eastAsia="仿宋" w:cs="仿宋"/>
          <w:spacing w:val="2"/>
          <w:sz w:val="26"/>
          <w:szCs w:val="26"/>
          <w:highlight w:val="none"/>
        </w:rPr>
        <w:t>和投标文件的要求，性能满足要求。</w:t>
      </w:r>
    </w:p>
    <w:p w14:paraId="595F33B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自项目终验合格</w:t>
      </w:r>
      <w:r>
        <w:rPr>
          <w:rFonts w:hint="eastAsia" w:ascii="仿宋" w:hAnsi="仿宋" w:eastAsia="仿宋" w:cs="仿宋"/>
          <w:spacing w:val="2"/>
          <w:sz w:val="26"/>
          <w:szCs w:val="26"/>
          <w:highlight w:val="none"/>
        </w:rPr>
        <w:t>之日起，项目免费售后服务期开始计算。</w:t>
      </w:r>
    </w:p>
    <w:p w14:paraId="7DF3EC7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30" w:firstLineChars="200"/>
        <w:textAlignment w:val="baseline"/>
        <w:outlineLvl w:val="0"/>
        <w:rPr>
          <w:sz w:val="26"/>
          <w:szCs w:val="26"/>
          <w:highlight w:val="none"/>
        </w:rPr>
      </w:pPr>
      <w:r>
        <w:rPr>
          <w:b/>
          <w:bCs/>
          <w:spacing w:val="27"/>
          <w:sz w:val="26"/>
          <w:szCs w:val="26"/>
          <w:highlight w:val="none"/>
        </w:rPr>
        <w:t>(</w:t>
      </w:r>
      <w:r>
        <w:rPr>
          <w:rFonts w:hint="eastAsia"/>
          <w:b/>
          <w:bCs/>
          <w:spacing w:val="27"/>
          <w:sz w:val="26"/>
          <w:szCs w:val="26"/>
          <w:highlight w:val="none"/>
          <w:lang w:val="en-US" w:eastAsia="zh-CN"/>
        </w:rPr>
        <w:t>六</w:t>
      </w:r>
      <w:r>
        <w:rPr>
          <w:b/>
          <w:bCs/>
          <w:spacing w:val="27"/>
          <w:sz w:val="26"/>
          <w:szCs w:val="26"/>
          <w:highlight w:val="none"/>
        </w:rPr>
        <w:t>)培训服务</w:t>
      </w:r>
    </w:p>
    <w:p w14:paraId="49E992E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1.培训目标</w:t>
      </w:r>
    </w:p>
    <w:p w14:paraId="230A801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为了使项目平台使用单位人员掌握项目系统的操作、配置</w:t>
      </w:r>
      <w:r>
        <w:rPr>
          <w:rFonts w:hint="eastAsia" w:ascii="仿宋" w:hAnsi="仿宋" w:eastAsia="仿宋" w:cs="仿宋"/>
          <w:spacing w:val="6"/>
          <w:sz w:val="26"/>
          <w:szCs w:val="26"/>
          <w:highlight w:val="none"/>
        </w:rPr>
        <w:t>、运营、</w:t>
      </w:r>
      <w:r>
        <w:rPr>
          <w:rFonts w:hint="eastAsia" w:ascii="仿宋" w:hAnsi="仿宋" w:eastAsia="仿宋" w:cs="仿宋"/>
          <w:sz w:val="26"/>
          <w:szCs w:val="26"/>
          <w:highlight w:val="none"/>
        </w:rPr>
        <w:t>故障处理及日常测试维护，确保项目系统整体正常安全的运行，乙方负责</w:t>
      </w:r>
      <w:r>
        <w:rPr>
          <w:rFonts w:hint="eastAsia" w:ascii="仿宋" w:hAnsi="仿宋" w:eastAsia="仿宋" w:cs="仿宋"/>
          <w:spacing w:val="13"/>
          <w:sz w:val="26"/>
          <w:szCs w:val="26"/>
          <w:highlight w:val="none"/>
        </w:rPr>
        <w:t>提供相关技术培训服务。(1)系统管理员培训</w:t>
      </w:r>
      <w:r>
        <w:rPr>
          <w:rFonts w:hint="eastAsia" w:ascii="仿宋" w:hAnsi="仿宋" w:eastAsia="仿宋" w:cs="仿宋"/>
          <w:spacing w:val="12"/>
          <w:sz w:val="26"/>
          <w:szCs w:val="26"/>
          <w:highlight w:val="none"/>
        </w:rPr>
        <w:t>目标。掌握软件系统工具</w:t>
      </w:r>
      <w:r>
        <w:rPr>
          <w:rFonts w:hint="eastAsia" w:ascii="仿宋" w:hAnsi="仿宋" w:eastAsia="仿宋" w:cs="仿宋"/>
          <w:spacing w:val="9"/>
          <w:sz w:val="26"/>
          <w:szCs w:val="26"/>
          <w:highlight w:val="none"/>
        </w:rPr>
        <w:t>的使用；掌握系统的初始化和主要参数的设定方法；熟悉数据备份的多种方法；对一般性故障进行诊断、定位和排除；掌握系统故障后的</w:t>
      </w:r>
      <w:r>
        <w:rPr>
          <w:rFonts w:hint="eastAsia" w:ascii="仿宋" w:hAnsi="仿宋" w:eastAsia="仿宋" w:cs="仿宋"/>
          <w:spacing w:val="8"/>
          <w:sz w:val="26"/>
          <w:szCs w:val="26"/>
          <w:highlight w:val="none"/>
        </w:rPr>
        <w:t>恢复</w:t>
      </w:r>
      <w:r>
        <w:rPr>
          <w:rFonts w:hint="eastAsia" w:ascii="仿宋" w:hAnsi="仿宋" w:eastAsia="仿宋" w:cs="仿宋"/>
          <w:spacing w:val="13"/>
          <w:sz w:val="26"/>
          <w:szCs w:val="26"/>
          <w:highlight w:val="none"/>
        </w:rPr>
        <w:t>方法；熟练查阅各种系统操作和维护手册等。</w:t>
      </w:r>
      <w:r>
        <w:rPr>
          <w:rFonts w:hint="eastAsia" w:ascii="仿宋" w:hAnsi="仿宋" w:eastAsia="仿宋" w:cs="仿宋"/>
          <w:spacing w:val="12"/>
          <w:sz w:val="26"/>
          <w:szCs w:val="26"/>
          <w:highlight w:val="none"/>
        </w:rPr>
        <w:t>(2)日常运营维护人员培</w:t>
      </w:r>
      <w:r>
        <w:rPr>
          <w:rFonts w:hint="eastAsia" w:ascii="仿宋" w:hAnsi="仿宋" w:eastAsia="仿宋" w:cs="仿宋"/>
          <w:spacing w:val="9"/>
          <w:sz w:val="26"/>
          <w:szCs w:val="26"/>
          <w:highlight w:val="none"/>
        </w:rPr>
        <w:t>训目标。掌握网络运行情况，能够及时排除大部分系统故障</w:t>
      </w:r>
      <w:r>
        <w:rPr>
          <w:rFonts w:hint="eastAsia" w:ascii="仿宋" w:hAnsi="仿宋" w:eastAsia="仿宋" w:cs="仿宋"/>
          <w:spacing w:val="8"/>
          <w:sz w:val="26"/>
          <w:szCs w:val="26"/>
          <w:highlight w:val="none"/>
        </w:rPr>
        <w:t>；熟练掌握系统软件和应用软件的使用；熟悉系统整体结构；掌握系统内部和外部</w:t>
      </w:r>
      <w:r>
        <w:rPr>
          <w:rFonts w:hint="eastAsia" w:ascii="仿宋" w:hAnsi="仿宋" w:eastAsia="仿宋" w:cs="仿宋"/>
          <w:spacing w:val="13"/>
          <w:sz w:val="26"/>
          <w:szCs w:val="26"/>
          <w:highlight w:val="none"/>
        </w:rPr>
        <w:t>接口；掌握系统管理、系统扩建和升级等。(3)业务人员培训目</w:t>
      </w:r>
      <w:r>
        <w:rPr>
          <w:rFonts w:hint="eastAsia" w:ascii="仿宋" w:hAnsi="仿宋" w:eastAsia="仿宋" w:cs="仿宋"/>
          <w:spacing w:val="12"/>
          <w:sz w:val="26"/>
          <w:szCs w:val="26"/>
          <w:highlight w:val="none"/>
        </w:rPr>
        <w:t>标。掌</w:t>
      </w:r>
      <w:r>
        <w:rPr>
          <w:rFonts w:hint="eastAsia" w:ascii="仿宋" w:hAnsi="仿宋" w:eastAsia="仿宋" w:cs="仿宋"/>
          <w:spacing w:val="9"/>
          <w:sz w:val="26"/>
          <w:szCs w:val="26"/>
          <w:highlight w:val="none"/>
        </w:rPr>
        <w:t>握各软件功能模块的使用、系统组成和功能简介、修改和查询、</w:t>
      </w:r>
      <w:r>
        <w:rPr>
          <w:rFonts w:hint="eastAsia" w:ascii="仿宋" w:hAnsi="仿宋" w:eastAsia="仿宋" w:cs="仿宋"/>
          <w:spacing w:val="8"/>
          <w:sz w:val="26"/>
          <w:szCs w:val="26"/>
          <w:highlight w:val="none"/>
        </w:rPr>
        <w:t>报表使</w:t>
      </w:r>
      <w:r>
        <w:rPr>
          <w:rFonts w:hint="eastAsia" w:ascii="仿宋" w:hAnsi="仿宋" w:eastAsia="仿宋" w:cs="仿宋"/>
          <w:spacing w:val="5"/>
          <w:sz w:val="26"/>
          <w:szCs w:val="26"/>
          <w:highlight w:val="none"/>
        </w:rPr>
        <w:t>用、流程操作、系统配置、功能模块使用等。</w:t>
      </w:r>
    </w:p>
    <w:p w14:paraId="1D2E3E2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2.培训对象</w:t>
      </w:r>
    </w:p>
    <w:p w14:paraId="5A76FEE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3"/>
          <w:sz w:val="26"/>
          <w:szCs w:val="26"/>
          <w:highlight w:val="none"/>
        </w:rPr>
        <w:t>(1)系统管理员培训。培训对象为对整个系统中的配置、系统软件、</w:t>
      </w:r>
      <w:r>
        <w:rPr>
          <w:rFonts w:hint="eastAsia" w:ascii="仿宋" w:hAnsi="仿宋" w:eastAsia="仿宋" w:cs="仿宋"/>
          <w:spacing w:val="6"/>
          <w:sz w:val="26"/>
          <w:szCs w:val="26"/>
          <w:highlight w:val="none"/>
        </w:rPr>
        <w:t>数据库、应用系统以及网络通信软件进行管理和维</w:t>
      </w:r>
      <w:r>
        <w:rPr>
          <w:rFonts w:hint="eastAsia" w:ascii="仿宋" w:hAnsi="仿宋" w:eastAsia="仿宋" w:cs="仿宋"/>
          <w:spacing w:val="5"/>
          <w:sz w:val="26"/>
          <w:szCs w:val="26"/>
          <w:highlight w:val="none"/>
        </w:rPr>
        <w:t>护的人员或甲方认为</w:t>
      </w:r>
      <w:r>
        <w:rPr>
          <w:rFonts w:hint="eastAsia" w:ascii="仿宋" w:hAnsi="仿宋" w:eastAsia="仿宋" w:cs="仿宋"/>
          <w:spacing w:val="10"/>
          <w:sz w:val="26"/>
          <w:szCs w:val="26"/>
          <w:highlight w:val="none"/>
        </w:rPr>
        <w:t>需要培训的其他人员；(2)日常运营维护人员培训。培训对象为对项目</w:t>
      </w:r>
      <w:r>
        <w:rPr>
          <w:rFonts w:hint="eastAsia" w:ascii="仿宋" w:hAnsi="仿宋" w:eastAsia="仿宋" w:cs="仿宋"/>
          <w:sz w:val="26"/>
          <w:szCs w:val="26"/>
          <w:highlight w:val="none"/>
        </w:rPr>
        <w:t>平台的软件进行安装、运行维护的人员或甲方认为需要培训的其他人员。</w:t>
      </w:r>
    </w:p>
    <w:p w14:paraId="3FE88F9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(3)业务人员培训。培训对象为项目平台的普通操作使用</w:t>
      </w:r>
      <w:r>
        <w:rPr>
          <w:rFonts w:hint="eastAsia" w:ascii="仿宋" w:hAnsi="仿宋" w:eastAsia="仿宋" w:cs="仿宋"/>
          <w:spacing w:val="6"/>
          <w:sz w:val="26"/>
          <w:szCs w:val="26"/>
          <w:highlight w:val="none"/>
        </w:rPr>
        <w:t>人员或甲方认</w:t>
      </w:r>
      <w:r>
        <w:rPr>
          <w:rFonts w:hint="eastAsia" w:ascii="仿宋" w:hAnsi="仿宋" w:eastAsia="仿宋" w:cs="仿宋"/>
          <w:spacing w:val="-1"/>
          <w:sz w:val="26"/>
          <w:szCs w:val="26"/>
          <w:highlight w:val="none"/>
        </w:rPr>
        <w:t>为需要培训的其他人员。</w:t>
      </w:r>
    </w:p>
    <w:p w14:paraId="601E285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3.培训内容</w:t>
      </w:r>
    </w:p>
    <w:p w14:paraId="66A8B53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0"/>
          <w:szCs w:val="20"/>
          <w:highlight w:val="none"/>
        </w:rPr>
      </w:pPr>
      <w:r>
        <w:rPr>
          <w:rFonts w:hint="eastAsia" w:ascii="仿宋" w:hAnsi="仿宋" w:eastAsia="仿宋" w:cs="仿宋"/>
          <w:spacing w:val="6"/>
          <w:sz w:val="26"/>
          <w:szCs w:val="26"/>
          <w:highlight w:val="none"/>
        </w:rPr>
        <w:t>(1)平台管理培训。介绍系统组成与原理、软件系统工具操作、数据备份、通用系统维护管理知识、故障的诊断与处理办法、系统日常维</w:t>
      </w:r>
      <w:r>
        <w:rPr>
          <w:rFonts w:hint="eastAsia" w:ascii="仿宋" w:hAnsi="仿宋" w:eastAsia="仿宋" w:cs="仿宋"/>
          <w:spacing w:val="9"/>
          <w:sz w:val="26"/>
          <w:szCs w:val="26"/>
          <w:highlight w:val="none"/>
        </w:rPr>
        <w:t>护流程等。(2)平台运维培训。介绍平台网络架构、常见系统故障诊断</w:t>
      </w:r>
      <w:r>
        <w:rPr>
          <w:rFonts w:hint="eastAsia" w:ascii="仿宋" w:hAnsi="仿宋" w:eastAsia="仿宋" w:cs="仿宋"/>
          <w:spacing w:val="11"/>
          <w:sz w:val="26"/>
          <w:szCs w:val="26"/>
          <w:highlight w:val="none"/>
        </w:rPr>
        <w:t>和排除、通用系统软件操作、系统扩建和升级等。(3)平台使用</w:t>
      </w:r>
      <w:r>
        <w:rPr>
          <w:rFonts w:hint="eastAsia" w:ascii="仿宋" w:hAnsi="仿宋" w:eastAsia="仿宋" w:cs="仿宋"/>
          <w:spacing w:val="10"/>
          <w:sz w:val="26"/>
          <w:szCs w:val="26"/>
          <w:highlight w:val="none"/>
        </w:rPr>
        <w:t>培训</w:t>
      </w:r>
      <w:r>
        <w:rPr>
          <w:rFonts w:hint="eastAsia" w:cs="仿宋"/>
          <w:spacing w:val="10"/>
          <w:sz w:val="26"/>
          <w:szCs w:val="26"/>
          <w:highlight w:val="none"/>
          <w:lang w:eastAsia="zh-CN"/>
        </w:rPr>
        <w:t>。</w:t>
      </w:r>
      <w:r>
        <w:rPr>
          <w:rFonts w:hint="eastAsia" w:ascii="仿宋" w:hAnsi="仿宋" w:eastAsia="仿宋" w:cs="仿宋"/>
          <w:spacing w:val="6"/>
          <w:sz w:val="26"/>
          <w:szCs w:val="26"/>
          <w:highlight w:val="none"/>
        </w:rPr>
        <w:t>介绍平台系统、基本工作原理、操作及故障处理、平台实操疑难问题解答等。</w:t>
      </w:r>
    </w:p>
    <w:p w14:paraId="1C16F6B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3"/>
          <w:sz w:val="26"/>
          <w:szCs w:val="26"/>
          <w:highlight w:val="none"/>
        </w:rPr>
        <w:t>4.培训要求</w:t>
      </w:r>
    </w:p>
    <w:p w14:paraId="539748C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乙方提供培训中文文档及培训</w:t>
      </w:r>
      <w:r>
        <w:rPr>
          <w:rFonts w:hint="eastAsia" w:ascii="仿宋" w:hAnsi="仿宋" w:eastAsia="仿宋" w:cs="仿宋"/>
          <w:sz w:val="26"/>
          <w:szCs w:val="26"/>
          <w:highlight w:val="none"/>
        </w:rPr>
        <w:t>PPT</w:t>
      </w:r>
      <w:r>
        <w:rPr>
          <w:rFonts w:hint="eastAsia" w:ascii="仿宋" w:hAnsi="仿宋" w:eastAsia="仿宋" w:cs="仿宋"/>
          <w:spacing w:val="2"/>
          <w:sz w:val="26"/>
          <w:szCs w:val="26"/>
          <w:highlight w:val="none"/>
        </w:rPr>
        <w:t>,</w:t>
      </w:r>
      <w:r>
        <w:rPr>
          <w:rFonts w:hint="eastAsia" w:ascii="仿宋" w:hAnsi="仿宋" w:eastAsia="仿宋" w:cs="仿宋"/>
          <w:sz w:val="26"/>
          <w:szCs w:val="26"/>
          <w:highlight w:val="none"/>
        </w:rPr>
        <w:t>负责培训讲师的相关费用支出。</w:t>
      </w:r>
    </w:p>
    <w:p w14:paraId="3FE7ED9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18" w:firstLineChars="200"/>
        <w:textAlignment w:val="baseline"/>
        <w:outlineLvl w:val="3"/>
        <w:rPr>
          <w:sz w:val="26"/>
          <w:szCs w:val="26"/>
          <w:highlight w:val="none"/>
        </w:rPr>
      </w:pPr>
      <w:r>
        <w:rPr>
          <w:b/>
          <w:bCs/>
          <w:spacing w:val="24"/>
          <w:sz w:val="26"/>
          <w:szCs w:val="26"/>
          <w:highlight w:val="none"/>
        </w:rPr>
        <w:t>(</w:t>
      </w:r>
      <w:r>
        <w:rPr>
          <w:rFonts w:hint="eastAsia"/>
          <w:b/>
          <w:bCs/>
          <w:spacing w:val="24"/>
          <w:sz w:val="26"/>
          <w:szCs w:val="26"/>
          <w:highlight w:val="none"/>
          <w:lang w:val="en-US" w:eastAsia="zh-CN"/>
        </w:rPr>
        <w:t>七</w:t>
      </w:r>
      <w:r>
        <w:rPr>
          <w:b/>
          <w:bCs/>
          <w:spacing w:val="24"/>
          <w:sz w:val="26"/>
          <w:szCs w:val="26"/>
          <w:highlight w:val="none"/>
        </w:rPr>
        <w:t>)配套服务</w:t>
      </w:r>
    </w:p>
    <w:p w14:paraId="1D06202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1.平台配置服务。乙方提供包括平台部署服务、</w:t>
      </w:r>
      <w:r>
        <w:rPr>
          <w:rFonts w:hint="eastAsia" w:ascii="仿宋" w:hAnsi="仿宋" w:eastAsia="仿宋" w:cs="仿宋"/>
          <w:spacing w:val="2"/>
          <w:sz w:val="26"/>
          <w:szCs w:val="26"/>
          <w:highlight w:val="none"/>
        </w:rPr>
        <w:t>用户权限配置、平台从开发环境/测试环境迁移到正式运</w:t>
      </w:r>
      <w:r>
        <w:rPr>
          <w:rFonts w:hint="eastAsia" w:ascii="仿宋" w:hAnsi="仿宋" w:eastAsia="仿宋" w:cs="仿宋"/>
          <w:spacing w:val="1"/>
          <w:sz w:val="26"/>
          <w:szCs w:val="26"/>
          <w:highlight w:val="none"/>
        </w:rPr>
        <w:t>行环境等平台配</w:t>
      </w:r>
      <w:r>
        <w:rPr>
          <w:rFonts w:hint="eastAsia" w:ascii="仿宋" w:hAnsi="仿宋" w:eastAsia="仿宋" w:cs="仿宋"/>
          <w:spacing w:val="-11"/>
          <w:sz w:val="26"/>
          <w:szCs w:val="26"/>
          <w:highlight w:val="none"/>
        </w:rPr>
        <w:t>置服务。</w:t>
      </w:r>
    </w:p>
    <w:p w14:paraId="6528E56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cs="仿宋"/>
          <w:spacing w:val="2"/>
          <w:sz w:val="26"/>
          <w:szCs w:val="26"/>
          <w:highlight w:val="none"/>
          <w:lang w:val="en-US" w:eastAsia="zh-CN"/>
        </w:rPr>
        <w:t>2</w:t>
      </w:r>
      <w:r>
        <w:rPr>
          <w:rFonts w:hint="eastAsia" w:ascii="仿宋" w:hAnsi="仿宋" w:eastAsia="仿宋" w:cs="仿宋"/>
          <w:spacing w:val="2"/>
          <w:sz w:val="26"/>
          <w:szCs w:val="26"/>
          <w:highlight w:val="none"/>
        </w:rPr>
        <w:t>.项目验收服务。乙方依据服务内容整理各项验</w:t>
      </w:r>
      <w:r>
        <w:rPr>
          <w:rFonts w:hint="eastAsia" w:ascii="仿宋" w:hAnsi="仿宋" w:eastAsia="仿宋" w:cs="仿宋"/>
          <w:spacing w:val="1"/>
          <w:sz w:val="26"/>
          <w:szCs w:val="26"/>
          <w:highlight w:val="none"/>
        </w:rPr>
        <w:t>收材料。</w:t>
      </w:r>
    </w:p>
    <w:p w14:paraId="0872F82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618" w:firstLineChars="200"/>
        <w:textAlignment w:val="baseline"/>
        <w:outlineLvl w:val="3"/>
        <w:rPr>
          <w:sz w:val="26"/>
          <w:szCs w:val="26"/>
          <w:highlight w:val="none"/>
        </w:rPr>
      </w:pPr>
      <w:r>
        <w:rPr>
          <w:b/>
          <w:bCs/>
          <w:spacing w:val="24"/>
          <w:sz w:val="26"/>
          <w:szCs w:val="26"/>
          <w:highlight w:val="none"/>
        </w:rPr>
        <w:t>(</w:t>
      </w:r>
      <w:r>
        <w:rPr>
          <w:rFonts w:hint="eastAsia"/>
          <w:b/>
          <w:bCs/>
          <w:spacing w:val="24"/>
          <w:sz w:val="26"/>
          <w:szCs w:val="26"/>
          <w:highlight w:val="none"/>
          <w:lang w:val="en-US" w:eastAsia="zh-CN"/>
        </w:rPr>
        <w:t>八</w:t>
      </w:r>
      <w:r>
        <w:rPr>
          <w:b/>
          <w:bCs/>
          <w:spacing w:val="24"/>
          <w:sz w:val="26"/>
          <w:szCs w:val="26"/>
          <w:highlight w:val="none"/>
        </w:rPr>
        <w:t>)运维服务</w:t>
      </w:r>
    </w:p>
    <w:p w14:paraId="402FEA0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5"/>
          <w:sz w:val="26"/>
          <w:szCs w:val="26"/>
          <w:highlight w:val="none"/>
        </w:rPr>
        <w:t>1.项目终验合格之日起，乙方须为</w:t>
      </w:r>
      <w:r>
        <w:rPr>
          <w:rFonts w:hint="eastAsia" w:ascii="仿宋" w:hAnsi="仿宋" w:eastAsia="仿宋" w:cs="仿宋"/>
          <w:b w:val="0"/>
          <w:bCs w:val="0"/>
          <w:spacing w:val="-3"/>
          <w:sz w:val="26"/>
          <w:szCs w:val="26"/>
          <w:highlight w:val="none"/>
        </w:rPr>
        <w:t>成品软件及硬件购置提供</w:t>
      </w:r>
      <w:r>
        <w:rPr>
          <w:rFonts w:hint="eastAsia" w:cs="仿宋"/>
          <w:b w:val="0"/>
          <w:bCs w:val="0"/>
          <w:spacing w:val="-3"/>
          <w:sz w:val="26"/>
          <w:szCs w:val="26"/>
          <w:highlight w:val="none"/>
          <w:u w:val="single"/>
          <w:lang w:val="en-US" w:eastAsia="zh-CN"/>
        </w:rPr>
        <w:t xml:space="preserve">  </w:t>
      </w:r>
      <w:r>
        <w:rPr>
          <w:rFonts w:hint="eastAsia" w:ascii="仿宋" w:hAnsi="仿宋" w:eastAsia="仿宋" w:cs="仿宋"/>
          <w:b w:val="0"/>
          <w:bCs w:val="0"/>
          <w:spacing w:val="-3"/>
          <w:sz w:val="26"/>
          <w:szCs w:val="26"/>
          <w:highlight w:val="none"/>
          <w:u w:val="single" w:color="auto"/>
        </w:rPr>
        <w:t>年</w:t>
      </w:r>
      <w:r>
        <w:rPr>
          <w:rFonts w:hint="eastAsia" w:ascii="仿宋" w:hAnsi="仿宋" w:eastAsia="仿宋" w:cs="仿宋"/>
          <w:b w:val="0"/>
          <w:bCs w:val="0"/>
          <w:spacing w:val="-3"/>
          <w:sz w:val="26"/>
          <w:szCs w:val="26"/>
          <w:highlight w:val="none"/>
        </w:rPr>
        <w:t>免费</w:t>
      </w:r>
      <w:r>
        <w:rPr>
          <w:rFonts w:hint="eastAsia" w:ascii="仿宋" w:hAnsi="仿宋" w:eastAsia="仿宋" w:cs="仿宋"/>
          <w:b w:val="0"/>
          <w:bCs w:val="0"/>
          <w:spacing w:val="-4"/>
          <w:sz w:val="26"/>
          <w:szCs w:val="26"/>
          <w:highlight w:val="none"/>
        </w:rPr>
        <w:t>维保(含</w:t>
      </w:r>
      <w:r>
        <w:rPr>
          <w:rFonts w:hint="eastAsia" w:ascii="仿宋" w:hAnsi="仿宋" w:eastAsia="仿宋" w:cs="仿宋"/>
          <w:b w:val="0"/>
          <w:bCs w:val="0"/>
          <w:sz w:val="26"/>
          <w:szCs w:val="26"/>
          <w:highlight w:val="none"/>
        </w:rPr>
        <w:t>附件)</w:t>
      </w:r>
      <w:r>
        <w:rPr>
          <w:rFonts w:hint="eastAsia" w:ascii="仿宋" w:hAnsi="仿宋" w:eastAsia="仿宋" w:cs="仿宋"/>
          <w:b w:val="0"/>
          <w:bCs w:val="0"/>
          <w:spacing w:val="6"/>
          <w:sz w:val="26"/>
          <w:szCs w:val="26"/>
          <w:highlight w:val="none"/>
        </w:rPr>
        <w:t>。免费维护期内，乙方须按甲方要求制定完</w:t>
      </w:r>
      <w:r>
        <w:rPr>
          <w:rFonts w:hint="eastAsia" w:ascii="仿宋" w:hAnsi="仿宋" w:eastAsia="仿宋" w:cs="仿宋"/>
          <w:b w:val="0"/>
          <w:bCs w:val="0"/>
          <w:spacing w:val="4"/>
          <w:sz w:val="26"/>
          <w:szCs w:val="26"/>
          <w:highlight w:val="none"/>
        </w:rPr>
        <w:t>善、可实施和操作性强的售后服务方案，指定维护服务人员不少于1人，</w:t>
      </w:r>
      <w:r>
        <w:rPr>
          <w:rFonts w:hint="eastAsia" w:ascii="仿宋" w:hAnsi="仿宋" w:eastAsia="仿宋" w:cs="仿宋"/>
          <w:b w:val="0"/>
          <w:bCs w:val="0"/>
          <w:spacing w:val="3"/>
          <w:sz w:val="26"/>
          <w:szCs w:val="26"/>
          <w:highlight w:val="none"/>
        </w:rPr>
        <w:t>提供现场维护服务，且未经甲方书面同意，中途不得</w:t>
      </w:r>
      <w:r>
        <w:rPr>
          <w:rFonts w:hint="eastAsia" w:ascii="仿宋" w:hAnsi="仿宋" w:eastAsia="仿宋" w:cs="仿宋"/>
          <w:b w:val="0"/>
          <w:bCs w:val="0"/>
          <w:spacing w:val="2"/>
          <w:sz w:val="26"/>
          <w:szCs w:val="26"/>
          <w:highlight w:val="none"/>
        </w:rPr>
        <w:t>更换人员。</w:t>
      </w:r>
    </w:p>
    <w:p w14:paraId="4CDB5A4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z w:val="26"/>
          <w:szCs w:val="26"/>
          <w:highlight w:val="none"/>
        </w:rPr>
        <w:t>2.乙方提供需求反馈服务、软件故障诊断、7*24小时电话支持服务、</w:t>
      </w:r>
      <w:r>
        <w:rPr>
          <w:rFonts w:hint="eastAsia" w:ascii="仿宋" w:hAnsi="仿宋" w:eastAsia="仿宋" w:cs="仿宋"/>
          <w:b w:val="0"/>
          <w:bCs w:val="0"/>
          <w:spacing w:val="11"/>
          <w:sz w:val="26"/>
          <w:szCs w:val="26"/>
          <w:highlight w:val="none"/>
        </w:rPr>
        <w:t>7*24小时</w:t>
      </w:r>
      <w:r>
        <w:rPr>
          <w:rFonts w:hint="eastAsia" w:ascii="仿宋" w:hAnsi="仿宋" w:eastAsia="仿宋" w:cs="仿宋"/>
          <w:b w:val="0"/>
          <w:bCs w:val="0"/>
          <w:sz w:val="26"/>
          <w:szCs w:val="26"/>
          <w:highlight w:val="none"/>
        </w:rPr>
        <w:t>QQ</w:t>
      </w:r>
      <w:r>
        <w:rPr>
          <w:rFonts w:hint="eastAsia" w:cs="仿宋"/>
          <w:b w:val="0"/>
          <w:bCs w:val="0"/>
          <w:sz w:val="26"/>
          <w:szCs w:val="26"/>
          <w:highlight w:val="none"/>
          <w:lang w:val="en-US" w:eastAsia="zh-CN"/>
        </w:rPr>
        <w:t>/微信</w:t>
      </w:r>
      <w:r>
        <w:rPr>
          <w:rFonts w:hint="eastAsia" w:ascii="仿宋" w:hAnsi="仿宋" w:eastAsia="仿宋" w:cs="仿宋"/>
          <w:b w:val="0"/>
          <w:bCs w:val="0"/>
          <w:spacing w:val="11"/>
          <w:sz w:val="26"/>
          <w:szCs w:val="26"/>
          <w:highlight w:val="none"/>
        </w:rPr>
        <w:t>在线服务、软件应用指导、数据备份服务、操作手册维护</w:t>
      </w:r>
      <w:r>
        <w:rPr>
          <w:rFonts w:hint="eastAsia" w:ascii="仿宋" w:hAnsi="仿宋" w:eastAsia="仿宋" w:cs="仿宋"/>
          <w:b w:val="0"/>
          <w:bCs w:val="0"/>
          <w:spacing w:val="1"/>
          <w:sz w:val="26"/>
          <w:szCs w:val="26"/>
          <w:highlight w:val="none"/>
        </w:rPr>
        <w:t>更新服务以及本项目系统的免费升级服务。</w:t>
      </w:r>
    </w:p>
    <w:p w14:paraId="075992A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b w:val="0"/>
          <w:bCs w:val="0"/>
          <w:spacing w:val="10"/>
          <w:sz w:val="26"/>
          <w:szCs w:val="26"/>
          <w:highlight w:val="none"/>
        </w:rPr>
      </w:pPr>
      <w:r>
        <w:rPr>
          <w:rFonts w:hint="eastAsia" w:ascii="仿宋" w:hAnsi="仿宋" w:eastAsia="仿宋" w:cs="仿宋"/>
          <w:b w:val="0"/>
          <w:bCs w:val="0"/>
          <w:spacing w:val="5"/>
          <w:sz w:val="26"/>
          <w:szCs w:val="26"/>
          <w:highlight w:val="none"/>
        </w:rPr>
        <w:t>3.技术支持和故障响应。乙方必须组建专业的维护队伍，提供7*24</w:t>
      </w:r>
      <w:r>
        <w:rPr>
          <w:rFonts w:hint="eastAsia" w:ascii="仿宋" w:hAnsi="仿宋" w:eastAsia="仿宋" w:cs="仿宋"/>
          <w:b w:val="0"/>
          <w:bCs w:val="0"/>
          <w:spacing w:val="14"/>
          <w:sz w:val="26"/>
          <w:szCs w:val="26"/>
          <w:highlight w:val="none"/>
        </w:rPr>
        <w:t>小时售后服务，在接到甲方相关人员报障后1小时内响应，2小时内安</w:t>
      </w:r>
      <w:r>
        <w:rPr>
          <w:rFonts w:hint="eastAsia" w:ascii="仿宋" w:hAnsi="仿宋" w:eastAsia="仿宋" w:cs="仿宋"/>
          <w:b w:val="0"/>
          <w:bCs w:val="0"/>
          <w:spacing w:val="10"/>
          <w:sz w:val="26"/>
          <w:szCs w:val="26"/>
          <w:highlight w:val="none"/>
        </w:rPr>
        <w:t>排技术人员到达现场提供不间断的服务直到故障排除(如电话响应无法解决)。要求在24小时内排除故障或者用备件更换故障设备，保证系统能正常运转。若主要设备的故障在24小时内仍未处理完毕，则提供部件冗余服务或采取应急措施，确保设备在24小时内恢复正常运行不得影响甲方的正常工作业务。</w:t>
      </w:r>
    </w:p>
    <w:p w14:paraId="6513E2B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6"/>
          <w:sz w:val="26"/>
          <w:szCs w:val="26"/>
          <w:highlight w:val="none"/>
        </w:rPr>
        <w:t>4.工作评估分析服务。乙方提供工作评估分析服务，定期统</w:t>
      </w:r>
      <w:r>
        <w:rPr>
          <w:rFonts w:hint="eastAsia" w:ascii="仿宋" w:hAnsi="仿宋" w:eastAsia="仿宋" w:cs="仿宋"/>
          <w:b w:val="0"/>
          <w:bCs w:val="0"/>
          <w:spacing w:val="5"/>
          <w:sz w:val="26"/>
          <w:szCs w:val="26"/>
          <w:highlight w:val="none"/>
        </w:rPr>
        <w:t>计运行</w:t>
      </w:r>
      <w:r>
        <w:rPr>
          <w:rFonts w:hint="eastAsia" w:ascii="仿宋" w:hAnsi="仿宋" w:eastAsia="仿宋" w:cs="仿宋"/>
          <w:b w:val="0"/>
          <w:bCs w:val="0"/>
          <w:spacing w:val="6"/>
          <w:sz w:val="26"/>
          <w:szCs w:val="26"/>
          <w:highlight w:val="none"/>
        </w:rPr>
        <w:t>数据，整理系统运行情况及向甲方指定的相关负责人汇报实施过程中遇</w:t>
      </w:r>
      <w:r>
        <w:rPr>
          <w:rFonts w:hint="eastAsia" w:ascii="仿宋" w:hAnsi="仿宋" w:eastAsia="仿宋" w:cs="仿宋"/>
          <w:b w:val="0"/>
          <w:bCs w:val="0"/>
          <w:sz w:val="26"/>
          <w:szCs w:val="26"/>
          <w:highlight w:val="none"/>
        </w:rPr>
        <w:t>到的需要协助解决的问题。</w:t>
      </w:r>
    </w:p>
    <w:p w14:paraId="654F029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1"/>
          <w:sz w:val="26"/>
          <w:szCs w:val="26"/>
          <w:highlight w:val="none"/>
        </w:rPr>
        <w:t>5.应用系统维护。</w:t>
      </w:r>
      <w:r>
        <w:rPr>
          <w:rFonts w:hint="eastAsia" w:cs="仿宋"/>
          <w:b w:val="0"/>
          <w:bCs w:val="0"/>
          <w:spacing w:val="1"/>
          <w:sz w:val="26"/>
          <w:szCs w:val="26"/>
          <w:highlight w:val="none"/>
          <w:u w:val="single"/>
          <w:lang w:val="en-US" w:eastAsia="zh-CN"/>
        </w:rPr>
        <w:t xml:space="preserve">  </w:t>
      </w:r>
      <w:r>
        <w:rPr>
          <w:rFonts w:hint="eastAsia" w:ascii="仿宋" w:hAnsi="仿宋" w:eastAsia="仿宋" w:cs="仿宋"/>
          <w:b w:val="0"/>
          <w:bCs w:val="0"/>
          <w:spacing w:val="1"/>
          <w:sz w:val="26"/>
          <w:szCs w:val="26"/>
          <w:highlight w:val="none"/>
          <w:u w:val="single" w:color="auto"/>
        </w:rPr>
        <w:t>年</w:t>
      </w:r>
      <w:r>
        <w:rPr>
          <w:rFonts w:hint="eastAsia" w:ascii="仿宋" w:hAnsi="仿宋" w:eastAsia="仿宋" w:cs="仿宋"/>
          <w:b w:val="0"/>
          <w:bCs w:val="0"/>
          <w:spacing w:val="1"/>
          <w:sz w:val="26"/>
          <w:szCs w:val="26"/>
          <w:highlight w:val="none"/>
        </w:rPr>
        <w:t>软件维护期内提供免费软件维护升级服务，</w:t>
      </w:r>
      <w:r>
        <w:rPr>
          <w:rFonts w:hint="eastAsia" w:ascii="仿宋" w:hAnsi="仿宋" w:eastAsia="仿宋" w:cs="仿宋"/>
          <w:b w:val="0"/>
          <w:bCs w:val="0"/>
          <w:spacing w:val="6"/>
          <w:sz w:val="26"/>
          <w:szCs w:val="26"/>
          <w:highlight w:val="none"/>
        </w:rPr>
        <w:t>服务内容包括但不限于：改正性维护，即在软件使用过程中识别和纠正软件错误，改正软件性能缺陷等；适应性开发服务，即当软件外部环境</w:t>
      </w:r>
      <w:r>
        <w:rPr>
          <w:rFonts w:hint="eastAsia" w:ascii="仿宋" w:hAnsi="仿宋" w:eastAsia="仿宋" w:cs="仿宋"/>
          <w:b w:val="0"/>
          <w:bCs w:val="0"/>
          <w:spacing w:val="7"/>
          <w:sz w:val="26"/>
          <w:szCs w:val="26"/>
          <w:highlight w:val="none"/>
        </w:rPr>
        <w:t>或数据环境发生变化，修改软件或接口以适应变化，根据系统使用</w:t>
      </w:r>
      <w:r>
        <w:rPr>
          <w:rFonts w:hint="eastAsia" w:ascii="仿宋" w:hAnsi="仿宋" w:eastAsia="仿宋" w:cs="仿宋"/>
          <w:b w:val="0"/>
          <w:bCs w:val="0"/>
          <w:spacing w:val="6"/>
          <w:sz w:val="26"/>
          <w:szCs w:val="26"/>
          <w:highlight w:val="none"/>
        </w:rPr>
        <w:t>单位的业务发展以及相关政策调整的要求进行适应性修改。服务期间，确保</w:t>
      </w:r>
      <w:r>
        <w:rPr>
          <w:rFonts w:hint="eastAsia" w:ascii="仿宋" w:hAnsi="仿宋" w:eastAsia="仿宋" w:cs="仿宋"/>
          <w:b w:val="0"/>
          <w:bCs w:val="0"/>
          <w:spacing w:val="8"/>
          <w:sz w:val="26"/>
          <w:szCs w:val="26"/>
          <w:highlight w:val="none"/>
        </w:rPr>
        <w:t>所有系统数据不丢失，保证从各接口来的数据</w:t>
      </w:r>
      <w:r>
        <w:rPr>
          <w:rFonts w:hint="eastAsia" w:ascii="仿宋" w:hAnsi="仿宋" w:eastAsia="仿宋" w:cs="仿宋"/>
          <w:b w:val="0"/>
          <w:bCs w:val="0"/>
          <w:spacing w:val="7"/>
          <w:sz w:val="26"/>
          <w:szCs w:val="26"/>
          <w:highlight w:val="none"/>
        </w:rPr>
        <w:t>维护正确，保证各种统计</w:t>
      </w:r>
      <w:r>
        <w:rPr>
          <w:rFonts w:hint="eastAsia" w:ascii="仿宋" w:hAnsi="仿宋" w:eastAsia="仿宋" w:cs="仿宋"/>
          <w:b w:val="0"/>
          <w:bCs w:val="0"/>
          <w:spacing w:val="6"/>
          <w:sz w:val="26"/>
          <w:szCs w:val="26"/>
          <w:highlight w:val="none"/>
        </w:rPr>
        <w:t>正确，保证按业务需求及时提供各种统计数据。对系统运行期间出现影</w:t>
      </w:r>
      <w:r>
        <w:rPr>
          <w:rFonts w:hint="eastAsia" w:ascii="仿宋" w:hAnsi="仿宋" w:eastAsia="仿宋" w:cs="仿宋"/>
          <w:b w:val="0"/>
          <w:bCs w:val="0"/>
          <w:spacing w:val="3"/>
          <w:sz w:val="26"/>
          <w:szCs w:val="26"/>
          <w:highlight w:val="none"/>
        </w:rPr>
        <w:t>响系统正常运作的问题，乙方应当天解决。</w:t>
      </w:r>
    </w:p>
    <w:p w14:paraId="634845E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7"/>
          <w:sz w:val="26"/>
          <w:szCs w:val="26"/>
          <w:highlight w:val="none"/>
        </w:rPr>
        <w:t>6.硬件维护。乙方自项目终验通过之日</w:t>
      </w:r>
      <w:r>
        <w:rPr>
          <w:rFonts w:hint="eastAsia" w:ascii="仿宋" w:hAnsi="仿宋" w:eastAsia="仿宋" w:cs="仿宋"/>
          <w:b w:val="0"/>
          <w:bCs w:val="0"/>
          <w:spacing w:val="7"/>
          <w:sz w:val="26"/>
          <w:szCs w:val="26"/>
          <w:highlight w:val="none"/>
          <w:u w:val="single" w:color="auto"/>
        </w:rPr>
        <w:t>起</w:t>
      </w:r>
      <w:r>
        <w:rPr>
          <w:rFonts w:hint="eastAsia" w:cs="仿宋"/>
          <w:b w:val="0"/>
          <w:bCs w:val="0"/>
          <w:spacing w:val="7"/>
          <w:sz w:val="26"/>
          <w:szCs w:val="26"/>
          <w:highlight w:val="none"/>
          <w:u w:val="single" w:color="auto"/>
          <w:lang w:val="en-US" w:eastAsia="zh-CN"/>
        </w:rPr>
        <w:t xml:space="preserve">  </w:t>
      </w:r>
      <w:r>
        <w:rPr>
          <w:rFonts w:hint="eastAsia" w:ascii="仿宋" w:hAnsi="仿宋" w:eastAsia="仿宋" w:cs="仿宋"/>
          <w:b w:val="0"/>
          <w:bCs w:val="0"/>
          <w:spacing w:val="7"/>
          <w:sz w:val="26"/>
          <w:szCs w:val="26"/>
          <w:highlight w:val="none"/>
          <w:u w:val="single" w:color="auto"/>
        </w:rPr>
        <w:t>年</w:t>
      </w:r>
      <w:r>
        <w:rPr>
          <w:rFonts w:hint="eastAsia" w:ascii="仿宋" w:hAnsi="仿宋" w:eastAsia="仿宋" w:cs="仿宋"/>
          <w:b w:val="0"/>
          <w:bCs w:val="0"/>
          <w:spacing w:val="7"/>
          <w:sz w:val="26"/>
          <w:szCs w:val="26"/>
          <w:highlight w:val="none"/>
        </w:rPr>
        <w:t>内向甲</w:t>
      </w:r>
      <w:r>
        <w:rPr>
          <w:rFonts w:hint="eastAsia" w:ascii="仿宋" w:hAnsi="仿宋" w:eastAsia="仿宋" w:cs="仿宋"/>
          <w:b w:val="0"/>
          <w:bCs w:val="0"/>
          <w:spacing w:val="6"/>
          <w:sz w:val="26"/>
          <w:szCs w:val="26"/>
          <w:highlight w:val="none"/>
        </w:rPr>
        <w:t>方提供免费的</w:t>
      </w:r>
      <w:r>
        <w:rPr>
          <w:rFonts w:hint="eastAsia" w:ascii="仿宋" w:hAnsi="仿宋" w:eastAsia="仿宋" w:cs="仿宋"/>
          <w:b w:val="0"/>
          <w:bCs w:val="0"/>
          <w:spacing w:val="7"/>
          <w:sz w:val="26"/>
          <w:szCs w:val="26"/>
          <w:highlight w:val="none"/>
        </w:rPr>
        <w:t>硬件设备售后服务。在免费售后服务期内，乙方提供足够的备件、附件</w:t>
      </w:r>
      <w:r>
        <w:rPr>
          <w:rFonts w:hint="eastAsia" w:ascii="仿宋" w:hAnsi="仿宋" w:eastAsia="仿宋" w:cs="仿宋"/>
          <w:b w:val="0"/>
          <w:bCs w:val="0"/>
          <w:spacing w:val="8"/>
          <w:sz w:val="26"/>
          <w:szCs w:val="26"/>
          <w:highlight w:val="none"/>
        </w:rPr>
        <w:t>和易损件，以保障系统的正常运行；对因设备质量</w:t>
      </w:r>
      <w:r>
        <w:rPr>
          <w:rFonts w:hint="eastAsia" w:ascii="仿宋" w:hAnsi="仿宋" w:eastAsia="仿宋" w:cs="仿宋"/>
          <w:b w:val="0"/>
          <w:bCs w:val="0"/>
          <w:spacing w:val="7"/>
          <w:sz w:val="26"/>
          <w:szCs w:val="26"/>
          <w:highlight w:val="none"/>
        </w:rPr>
        <w:t>、设计制造、技术问题、电源稳定问题、天气潮湿、雷电、未成灾雨天、未成灾的大风等非人为原因影响设备正常操作或造成设备损坏的，乙方应在甲方要求的期</w:t>
      </w:r>
      <w:r>
        <w:rPr>
          <w:rFonts w:hint="eastAsia" w:ascii="仿宋" w:hAnsi="仿宋" w:eastAsia="仿宋" w:cs="仿宋"/>
          <w:b w:val="0"/>
          <w:bCs w:val="0"/>
          <w:spacing w:val="2"/>
          <w:sz w:val="26"/>
          <w:szCs w:val="26"/>
          <w:highlight w:val="none"/>
        </w:rPr>
        <w:t>限内为甲方进行免费维修或更换新设备。</w:t>
      </w:r>
    </w:p>
    <w:p w14:paraId="3F78FD2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b w:val="0"/>
          <w:bCs w:val="0"/>
          <w:sz w:val="20"/>
          <w:szCs w:val="20"/>
          <w:highlight w:val="none"/>
        </w:rPr>
      </w:pPr>
      <w:r>
        <w:rPr>
          <w:rFonts w:hint="eastAsia" w:ascii="仿宋" w:hAnsi="仿宋" w:eastAsia="仿宋" w:cs="仿宋"/>
          <w:b w:val="0"/>
          <w:bCs w:val="0"/>
          <w:spacing w:val="7"/>
          <w:sz w:val="26"/>
          <w:szCs w:val="26"/>
          <w:highlight w:val="none"/>
        </w:rPr>
        <w:t>7.系统定期检查服务。为了预防系统出现故障，乙方</w:t>
      </w:r>
      <w:r>
        <w:rPr>
          <w:rFonts w:hint="eastAsia" w:ascii="仿宋" w:hAnsi="仿宋" w:eastAsia="仿宋" w:cs="仿宋"/>
          <w:b w:val="0"/>
          <w:bCs w:val="0"/>
          <w:spacing w:val="6"/>
          <w:sz w:val="26"/>
          <w:szCs w:val="26"/>
          <w:highlight w:val="none"/>
        </w:rPr>
        <w:t>应每隔一定的</w:t>
      </w:r>
      <w:r>
        <w:rPr>
          <w:rFonts w:hint="eastAsia" w:ascii="仿宋" w:hAnsi="仿宋" w:eastAsia="仿宋" w:cs="仿宋"/>
          <w:b w:val="0"/>
          <w:bCs w:val="0"/>
          <w:spacing w:val="17"/>
          <w:sz w:val="26"/>
          <w:szCs w:val="26"/>
          <w:highlight w:val="none"/>
        </w:rPr>
        <w:t>时间(每周)对系统进行全面的检查，确认系统运行状态，检查系统错</w:t>
      </w:r>
      <w:r>
        <w:rPr>
          <w:rFonts w:hint="eastAsia" w:ascii="仿宋" w:hAnsi="仿宋" w:eastAsia="仿宋" w:cs="仿宋"/>
          <w:b w:val="0"/>
          <w:bCs w:val="0"/>
          <w:spacing w:val="7"/>
          <w:sz w:val="26"/>
          <w:szCs w:val="26"/>
          <w:highlight w:val="none"/>
        </w:rPr>
        <w:t>误日志，排除潜在隐患，以确保系统正常稳定的运行。检查内容主要包括：软件运行情况、各功能的实现是否正常、各功能的运行参数是否正</w:t>
      </w:r>
      <w:r>
        <w:rPr>
          <w:rFonts w:hint="eastAsia" w:ascii="仿宋" w:hAnsi="仿宋" w:eastAsia="仿宋" w:cs="仿宋"/>
          <w:b w:val="0"/>
          <w:bCs w:val="0"/>
          <w:spacing w:val="6"/>
          <w:sz w:val="26"/>
          <w:szCs w:val="26"/>
          <w:highlight w:val="none"/>
        </w:rPr>
        <w:t>常等。</w:t>
      </w:r>
    </w:p>
    <w:p w14:paraId="22C17A3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16" w:firstLineChars="200"/>
        <w:jc w:val="both"/>
        <w:textAlignment w:val="baseline"/>
        <w:rPr>
          <w:rFonts w:hint="eastAsia" w:ascii="仿宋" w:hAnsi="仿宋" w:eastAsia="仿宋" w:cs="仿宋"/>
          <w:b w:val="0"/>
          <w:bCs w:val="0"/>
          <w:spacing w:val="24"/>
          <w:sz w:val="26"/>
          <w:szCs w:val="26"/>
          <w:highlight w:val="none"/>
        </w:rPr>
      </w:pPr>
      <w:r>
        <w:rPr>
          <w:rFonts w:hint="eastAsia" w:ascii="仿宋" w:hAnsi="仿宋" w:eastAsia="仿宋" w:cs="仿宋"/>
          <w:b w:val="0"/>
          <w:bCs w:val="0"/>
          <w:spacing w:val="24"/>
          <w:sz w:val="26"/>
          <w:szCs w:val="26"/>
          <w:highlight w:val="none"/>
        </w:rPr>
        <w:t>8.</w:t>
      </w:r>
      <w:r>
        <w:rPr>
          <w:rFonts w:hint="eastAsia" w:ascii="仿宋" w:hAnsi="仿宋" w:eastAsia="仿宋" w:cs="仿宋"/>
          <w:b w:val="0"/>
          <w:bCs w:val="0"/>
          <w:spacing w:val="4"/>
          <w:sz w:val="26"/>
          <w:szCs w:val="26"/>
          <w:highlight w:val="none"/>
        </w:rPr>
        <w:t>日常运行维护服务。在售后维护期内，乙方须定期巡检软件系统的运行状态，包括操作系统、应用程序、数据库等软件的运行情况，通过巡检及时发现并解决潜在问题，保证系统的稳定性和可靠性；定期进行系统升级，安装最新的系统补丁和更新，确保系统的功能完善和安全性，升级过程中需要进行备份和测试，以确保升级的顺利进行并不影响正常的业务运行，不涉及到对原有应用系统重新设计。对系统软件的更新及升级时，未经甲方同意，不得改变针对本项目定制的功能；乙方须对软件系统的性能进行评估和优化，通过调整数据库查询、系统配置和优化程序代码，提升系统的响应速度和吞吐量，提高用户体验。</w:t>
      </w:r>
    </w:p>
    <w:p w14:paraId="0779A73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b w:val="0"/>
          <w:bCs w:val="0"/>
          <w:spacing w:val="24"/>
          <w:sz w:val="26"/>
          <w:szCs w:val="26"/>
          <w:highlight w:val="none"/>
        </w:rPr>
      </w:pPr>
      <w:r>
        <w:rPr>
          <w:rFonts w:hint="eastAsia" w:ascii="仿宋" w:hAnsi="仿宋" w:eastAsia="仿宋" w:cs="仿宋"/>
          <w:spacing w:val="4"/>
          <w:sz w:val="26"/>
          <w:szCs w:val="26"/>
          <w:highlight w:val="none"/>
          <w:lang w:val="en-US" w:eastAsia="zh-CN"/>
        </w:rPr>
        <w:t>9</w:t>
      </w:r>
      <w:r>
        <w:rPr>
          <w:rFonts w:hint="eastAsia" w:ascii="仿宋" w:hAnsi="仿宋" w:eastAsia="仿宋" w:cs="仿宋"/>
          <w:spacing w:val="4"/>
          <w:sz w:val="26"/>
          <w:szCs w:val="26"/>
          <w:highlight w:val="none"/>
        </w:rPr>
        <w:t>.需按一定周期对系统运行状况进行评估服务和系统巡检服务。</w:t>
      </w:r>
    </w:p>
    <w:p w14:paraId="77A2E4A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4"/>
          <w:sz w:val="26"/>
          <w:szCs w:val="26"/>
          <w:highlight w:val="none"/>
        </w:rPr>
        <w:t>10.敏感时期、重大节假日提供技术人员专门</w:t>
      </w:r>
      <w:r>
        <w:rPr>
          <w:rFonts w:hint="eastAsia" w:ascii="仿宋" w:hAnsi="仿宋" w:eastAsia="仿宋" w:cs="仿宋"/>
          <w:b w:val="0"/>
          <w:bCs w:val="0"/>
          <w:spacing w:val="3"/>
          <w:sz w:val="26"/>
          <w:szCs w:val="26"/>
          <w:highlight w:val="none"/>
        </w:rPr>
        <w:t>值守服务。</w:t>
      </w:r>
    </w:p>
    <w:p w14:paraId="6C9BB36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5"/>
          <w:sz w:val="26"/>
          <w:szCs w:val="26"/>
          <w:highlight w:val="none"/>
        </w:rPr>
        <w:t>11.乙方从应用软件需求分析，到系统设计、软件编程</w:t>
      </w:r>
      <w:r>
        <w:rPr>
          <w:rFonts w:hint="eastAsia" w:ascii="仿宋" w:hAnsi="仿宋" w:eastAsia="仿宋" w:cs="仿宋"/>
          <w:b w:val="0"/>
          <w:bCs w:val="0"/>
          <w:spacing w:val="4"/>
          <w:sz w:val="26"/>
          <w:szCs w:val="26"/>
          <w:highlight w:val="none"/>
        </w:rPr>
        <w:t>、软件测试、</w:t>
      </w:r>
      <w:r>
        <w:rPr>
          <w:rFonts w:hint="eastAsia" w:ascii="仿宋" w:hAnsi="仿宋" w:eastAsia="仿宋" w:cs="仿宋"/>
          <w:b w:val="0"/>
          <w:bCs w:val="0"/>
          <w:spacing w:val="9"/>
          <w:sz w:val="26"/>
          <w:szCs w:val="26"/>
          <w:highlight w:val="none"/>
        </w:rPr>
        <w:t>软件培训、系统试运行、系统维护、按需定做，须在保修期内无偿为甲</w:t>
      </w:r>
      <w:r>
        <w:rPr>
          <w:rFonts w:hint="eastAsia" w:ascii="仿宋" w:hAnsi="仿宋" w:eastAsia="仿宋" w:cs="仿宋"/>
          <w:b w:val="0"/>
          <w:bCs w:val="0"/>
          <w:spacing w:val="16"/>
          <w:sz w:val="26"/>
          <w:szCs w:val="26"/>
          <w:highlight w:val="none"/>
        </w:rPr>
        <w:t>方(或使用单位)提供全方位的服务及技术支持，</w:t>
      </w:r>
    </w:p>
    <w:p w14:paraId="202EC84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z w:val="26"/>
          <w:szCs w:val="26"/>
          <w:highlight w:val="none"/>
        </w:rPr>
        <w:t>12.根据甲方要求，当甲方需要对系统演示、汇报、数据处理时，乙</w:t>
      </w:r>
      <w:r>
        <w:rPr>
          <w:rFonts w:hint="eastAsia" w:ascii="仿宋" w:hAnsi="仿宋" w:eastAsia="仿宋" w:cs="仿宋"/>
          <w:b w:val="0"/>
          <w:bCs w:val="0"/>
          <w:spacing w:val="-1"/>
          <w:sz w:val="26"/>
          <w:szCs w:val="26"/>
          <w:highlight w:val="none"/>
        </w:rPr>
        <w:t>方需提供上门服务支持。</w:t>
      </w:r>
    </w:p>
    <w:p w14:paraId="1AD5D03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1"/>
          <w:sz w:val="26"/>
          <w:szCs w:val="26"/>
          <w:highlight w:val="none"/>
        </w:rPr>
        <w:t>13.乙方须在深圳有常驻的售后服务机构和售后服务人员。</w:t>
      </w:r>
    </w:p>
    <w:p w14:paraId="0C5AC02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b w:val="0"/>
          <w:bCs w:val="0"/>
          <w:spacing w:val="3"/>
          <w:sz w:val="26"/>
          <w:szCs w:val="26"/>
          <w:highlight w:val="none"/>
        </w:rPr>
        <w:t>14.免费保修期满后，乙方仍应满足甲方对所出现故障的系统进行维</w:t>
      </w:r>
      <w:r>
        <w:rPr>
          <w:rFonts w:hint="eastAsia" w:ascii="仿宋" w:hAnsi="仿宋" w:eastAsia="仿宋" w:cs="仿宋"/>
          <w:b w:val="0"/>
          <w:bCs w:val="0"/>
          <w:spacing w:val="8"/>
          <w:sz w:val="26"/>
          <w:szCs w:val="26"/>
          <w:highlight w:val="none"/>
        </w:rPr>
        <w:t>修的要求。乙方需对系统进行终身维护和技术支持，按售后服务保障协</w:t>
      </w:r>
      <w:r>
        <w:rPr>
          <w:rFonts w:hint="eastAsia" w:ascii="仿宋" w:hAnsi="仿宋" w:eastAsia="仿宋" w:cs="仿宋"/>
          <w:b w:val="0"/>
          <w:bCs w:val="0"/>
          <w:spacing w:val="1"/>
          <w:sz w:val="26"/>
          <w:szCs w:val="26"/>
          <w:highlight w:val="none"/>
        </w:rPr>
        <w:t>议规定，按时到现场进行处理，维护费和工时费实行折扣优惠。</w:t>
      </w:r>
    </w:p>
    <w:p w14:paraId="2F4F98C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18" w:firstLineChars="200"/>
        <w:textAlignment w:val="baseline"/>
        <w:outlineLvl w:val="3"/>
        <w:rPr>
          <w:sz w:val="26"/>
          <w:szCs w:val="26"/>
          <w:highlight w:val="none"/>
        </w:rPr>
      </w:pPr>
      <w:r>
        <w:rPr>
          <w:b/>
          <w:bCs/>
          <w:spacing w:val="-1"/>
          <w:sz w:val="26"/>
          <w:szCs w:val="26"/>
          <w:highlight w:val="none"/>
        </w:rPr>
        <w:t>第四条双方权利和义务</w:t>
      </w:r>
    </w:p>
    <w:p w14:paraId="30DB8FB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74" w:firstLineChars="200"/>
        <w:textAlignment w:val="baseline"/>
        <w:outlineLvl w:val="3"/>
        <w:rPr>
          <w:sz w:val="26"/>
          <w:szCs w:val="26"/>
          <w:highlight w:val="none"/>
        </w:rPr>
      </w:pPr>
      <w:r>
        <w:rPr>
          <w:b/>
          <w:bCs/>
          <w:spacing w:val="13"/>
          <w:sz w:val="26"/>
          <w:szCs w:val="26"/>
          <w:highlight w:val="none"/>
        </w:rPr>
        <w:t>(一)甲方的权利和义务</w:t>
      </w:r>
    </w:p>
    <w:p w14:paraId="2A1B6A5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3"/>
          <w:sz w:val="26"/>
          <w:szCs w:val="26"/>
          <w:highlight w:val="none"/>
        </w:rPr>
        <w:t>1.甲方为乙方项目实施提供协调与支持，提供必需的环境。</w:t>
      </w:r>
    </w:p>
    <w:p w14:paraId="4015E90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2.甲方有权监督或委托第三方监理监督乙方工作进度及服务质量，</w:t>
      </w:r>
      <w:r>
        <w:rPr>
          <w:rFonts w:hint="eastAsia" w:ascii="仿宋" w:hAnsi="仿宋" w:eastAsia="仿宋" w:cs="仿宋"/>
          <w:sz w:val="26"/>
          <w:szCs w:val="26"/>
          <w:highlight w:val="none"/>
        </w:rPr>
        <w:t>并对乙方提供的服务不符合合同约定部分，提出整改意见。</w:t>
      </w:r>
    </w:p>
    <w:p w14:paraId="0344BD5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3.甲方有权就乙方配备的产品功能进行验</w:t>
      </w:r>
      <w:r>
        <w:rPr>
          <w:rFonts w:hint="eastAsia" w:ascii="仿宋" w:hAnsi="仿宋" w:eastAsia="仿宋" w:cs="仿宋"/>
          <w:spacing w:val="3"/>
          <w:sz w:val="26"/>
          <w:szCs w:val="26"/>
          <w:highlight w:val="none"/>
        </w:rPr>
        <w:t>证，若发现与交付产品功</w:t>
      </w:r>
      <w:r>
        <w:rPr>
          <w:rFonts w:hint="eastAsia" w:ascii="仿宋" w:hAnsi="仿宋" w:eastAsia="仿宋" w:cs="仿宋"/>
          <w:spacing w:val="2"/>
          <w:sz w:val="26"/>
          <w:szCs w:val="26"/>
          <w:highlight w:val="none"/>
        </w:rPr>
        <w:t>能不符，可拒绝乙方的产品。对乙方提供的服务不符合合同约定部分，</w:t>
      </w:r>
      <w:r>
        <w:rPr>
          <w:rFonts w:hint="eastAsia" w:ascii="仿宋" w:hAnsi="仿宋" w:eastAsia="仿宋" w:cs="仿宋"/>
          <w:spacing w:val="-5"/>
          <w:sz w:val="26"/>
          <w:szCs w:val="26"/>
          <w:highlight w:val="none"/>
        </w:rPr>
        <w:t>甲方有权提出整改意见。</w:t>
      </w:r>
    </w:p>
    <w:p w14:paraId="1EF6815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
          <w:sz w:val="26"/>
          <w:szCs w:val="26"/>
          <w:highlight w:val="none"/>
        </w:rPr>
        <w:t>4.甲方按照合同约定，负责组织项目验收。</w:t>
      </w:r>
    </w:p>
    <w:p w14:paraId="28E809C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
          <w:sz w:val="26"/>
          <w:szCs w:val="26"/>
          <w:highlight w:val="none"/>
        </w:rPr>
        <w:t>5.甲方按照合同约定，按时支付服务费用。</w:t>
      </w:r>
    </w:p>
    <w:p w14:paraId="0319A7F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6.当甲方认定乙方项目人员不按合同约定履行其职责，或与第三人串通给甲方造成经济损失的，甲方有权要求乙方更换项目人</w:t>
      </w:r>
      <w:r>
        <w:rPr>
          <w:rFonts w:hint="eastAsia" w:ascii="仿宋" w:hAnsi="仿宋" w:eastAsia="仿宋" w:cs="仿宋"/>
          <w:spacing w:val="3"/>
          <w:sz w:val="26"/>
          <w:szCs w:val="26"/>
          <w:highlight w:val="none"/>
        </w:rPr>
        <w:t>员并赔偿甲</w:t>
      </w:r>
      <w:r>
        <w:rPr>
          <w:rFonts w:hint="eastAsia" w:ascii="仿宋" w:hAnsi="仿宋" w:eastAsia="仿宋" w:cs="仿宋"/>
          <w:spacing w:val="-6"/>
          <w:sz w:val="26"/>
          <w:szCs w:val="26"/>
          <w:highlight w:val="none"/>
        </w:rPr>
        <w:t>方因此遭受的损失。</w:t>
      </w:r>
    </w:p>
    <w:p w14:paraId="5D9B978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74" w:firstLineChars="200"/>
        <w:textAlignment w:val="baseline"/>
        <w:outlineLvl w:val="3"/>
        <w:rPr>
          <w:sz w:val="26"/>
          <w:szCs w:val="26"/>
          <w:highlight w:val="none"/>
        </w:rPr>
      </w:pPr>
      <w:r>
        <w:rPr>
          <w:b/>
          <w:bCs/>
          <w:spacing w:val="13"/>
          <w:sz w:val="26"/>
          <w:szCs w:val="26"/>
          <w:highlight w:val="none"/>
        </w:rPr>
        <w:t>(二)乙方权利与义务</w:t>
      </w:r>
    </w:p>
    <w:p w14:paraId="4F48076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1.乙方应严格按照招标文件规定、投标文件承诺以及本合同约</w:t>
      </w:r>
      <w:r>
        <w:rPr>
          <w:rFonts w:hint="eastAsia" w:ascii="仿宋" w:hAnsi="仿宋" w:eastAsia="仿宋" w:cs="仿宋"/>
          <w:spacing w:val="3"/>
          <w:sz w:val="26"/>
          <w:szCs w:val="26"/>
          <w:highlight w:val="none"/>
        </w:rPr>
        <w:t>定提</w:t>
      </w:r>
      <w:r>
        <w:rPr>
          <w:rFonts w:hint="eastAsia" w:ascii="仿宋" w:hAnsi="仿宋" w:eastAsia="仿宋" w:cs="仿宋"/>
          <w:spacing w:val="5"/>
          <w:sz w:val="26"/>
          <w:szCs w:val="26"/>
          <w:highlight w:val="none"/>
        </w:rPr>
        <w:t>供服务，乙方保证达到招、投标文件规定的各</w:t>
      </w:r>
      <w:r>
        <w:rPr>
          <w:rFonts w:hint="eastAsia" w:ascii="仿宋" w:hAnsi="仿宋" w:eastAsia="仿宋" w:cs="仿宋"/>
          <w:spacing w:val="4"/>
          <w:sz w:val="26"/>
          <w:szCs w:val="26"/>
          <w:highlight w:val="none"/>
        </w:rPr>
        <w:t>项服务指标，符合国家的</w:t>
      </w:r>
      <w:r>
        <w:rPr>
          <w:rFonts w:hint="eastAsia" w:ascii="仿宋" w:hAnsi="仿宋" w:eastAsia="仿宋" w:cs="仿宋"/>
          <w:spacing w:val="5"/>
          <w:sz w:val="26"/>
          <w:szCs w:val="26"/>
          <w:highlight w:val="none"/>
        </w:rPr>
        <w:t>有关行业标准。在项目实施中如投标文件响应指</w:t>
      </w:r>
      <w:r>
        <w:rPr>
          <w:rFonts w:hint="eastAsia" w:ascii="仿宋" w:hAnsi="仿宋" w:eastAsia="仿宋" w:cs="仿宋"/>
          <w:spacing w:val="4"/>
          <w:sz w:val="26"/>
          <w:szCs w:val="26"/>
          <w:highlight w:val="none"/>
        </w:rPr>
        <w:t>标与招标文件的要求有</w:t>
      </w:r>
      <w:r>
        <w:rPr>
          <w:rFonts w:hint="eastAsia" w:ascii="仿宋" w:hAnsi="仿宋" w:eastAsia="仿宋" w:cs="仿宋"/>
          <w:spacing w:val="1"/>
          <w:sz w:val="26"/>
          <w:szCs w:val="26"/>
          <w:highlight w:val="none"/>
        </w:rPr>
        <w:t>偏离时，乙方有责任向甲方提出并组织协商一致的解决方案。</w:t>
      </w:r>
    </w:p>
    <w:p w14:paraId="69B0252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2.乙方应成立专门的服务团队，制定项目服务计划，并</w:t>
      </w:r>
      <w:r>
        <w:rPr>
          <w:rFonts w:hint="eastAsia" w:ascii="仿宋" w:hAnsi="仿宋" w:eastAsia="仿宋" w:cs="仿宋"/>
          <w:spacing w:val="4"/>
          <w:sz w:val="26"/>
          <w:szCs w:val="26"/>
          <w:highlight w:val="none"/>
        </w:rPr>
        <w:t>按计划完成</w:t>
      </w:r>
      <w:r>
        <w:rPr>
          <w:rFonts w:hint="eastAsia" w:ascii="仿宋" w:hAnsi="仿宋" w:eastAsia="仿宋" w:cs="仿宋"/>
          <w:sz w:val="26"/>
          <w:szCs w:val="26"/>
          <w:highlight w:val="none"/>
        </w:rPr>
        <w:t>服务内容。乙方按照甲方的实际情况，提供相关培训服务。</w:t>
      </w:r>
    </w:p>
    <w:p w14:paraId="6DFDA77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3"/>
          <w:sz w:val="26"/>
          <w:szCs w:val="26"/>
          <w:highlight w:val="none"/>
        </w:rPr>
        <w:t>乙方项目服务人员应严格遵守甲方的各项规章制度、操作流程和技</w:t>
      </w:r>
      <w:r>
        <w:rPr>
          <w:rFonts w:hint="eastAsia" w:ascii="仿宋" w:hAnsi="仿宋" w:eastAsia="仿宋" w:cs="仿宋"/>
          <w:sz w:val="26"/>
          <w:szCs w:val="26"/>
          <w:highlight w:val="none"/>
          <w:u w:val="none" w:color="auto"/>
        </w:rPr>
        <w:t>术规范，接受甲方的管理和监督检查，服从甲方的工作安排，在</w:t>
      </w:r>
      <w:r>
        <w:rPr>
          <w:rFonts w:hint="eastAsia" w:ascii="仿宋" w:hAnsi="仿宋" w:eastAsia="仿宋" w:cs="仿宋"/>
          <w:sz w:val="26"/>
          <w:szCs w:val="26"/>
          <w:highlight w:val="none"/>
          <w:u w:val="single" w:color="auto"/>
        </w:rPr>
        <w:t>3</w:t>
      </w:r>
      <w:r>
        <w:rPr>
          <w:rFonts w:hint="eastAsia" w:ascii="仿宋" w:hAnsi="仿宋" w:eastAsia="仿宋" w:cs="仿宋"/>
          <w:sz w:val="26"/>
          <w:szCs w:val="26"/>
          <w:highlight w:val="none"/>
        </w:rPr>
        <w:t>个工</w:t>
      </w:r>
      <w:r>
        <w:rPr>
          <w:rFonts w:hint="eastAsia" w:ascii="仿宋" w:hAnsi="仿宋" w:eastAsia="仿宋" w:cs="仿宋"/>
          <w:spacing w:val="5"/>
          <w:sz w:val="26"/>
          <w:szCs w:val="26"/>
          <w:highlight w:val="none"/>
        </w:rPr>
        <w:t>作日响应和反馈甲方或第三方监理提出的要求和问题。如乙方项目人员</w:t>
      </w:r>
      <w:r>
        <w:rPr>
          <w:rFonts w:hint="eastAsia" w:ascii="仿宋" w:hAnsi="仿宋" w:eastAsia="仿宋" w:cs="仿宋"/>
          <w:sz w:val="26"/>
          <w:szCs w:val="26"/>
          <w:highlight w:val="none"/>
          <w:u w:val="none" w:color="auto"/>
        </w:rPr>
        <w:t>不符合甲方要求或合同约定的，乙方应在收到甲方整改通知后</w:t>
      </w:r>
      <w:r>
        <w:rPr>
          <w:rFonts w:hint="eastAsia" w:ascii="仿宋" w:hAnsi="仿宋" w:eastAsia="仿宋" w:cs="仿宋"/>
          <w:sz w:val="26"/>
          <w:szCs w:val="26"/>
          <w:highlight w:val="none"/>
          <w:u w:val="single" w:color="auto"/>
        </w:rPr>
        <w:t>5</w:t>
      </w:r>
      <w:r>
        <w:rPr>
          <w:rFonts w:hint="eastAsia" w:ascii="仿宋" w:hAnsi="仿宋" w:eastAsia="仿宋" w:cs="仿宋"/>
          <w:sz w:val="26"/>
          <w:szCs w:val="26"/>
          <w:highlight w:val="none"/>
        </w:rPr>
        <w:t>个工作</w:t>
      </w:r>
      <w:r>
        <w:rPr>
          <w:rFonts w:hint="eastAsia" w:ascii="仿宋" w:hAnsi="仿宋" w:eastAsia="仿宋" w:cs="仿宋"/>
          <w:spacing w:val="1"/>
          <w:sz w:val="26"/>
          <w:szCs w:val="26"/>
          <w:highlight w:val="none"/>
        </w:rPr>
        <w:t>日之内，按要求重新选派项目人员，由此产生的相关费用由乙方承担。</w:t>
      </w:r>
    </w:p>
    <w:p w14:paraId="6EE33A7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3.乙方指派人员及时收集整理并向甲方提供与项目相关的技术方案、</w:t>
      </w:r>
      <w:r>
        <w:rPr>
          <w:rFonts w:hint="eastAsia" w:ascii="仿宋" w:hAnsi="仿宋" w:eastAsia="仿宋" w:cs="仿宋"/>
          <w:sz w:val="26"/>
          <w:szCs w:val="26"/>
          <w:highlight w:val="none"/>
        </w:rPr>
        <w:t>相关批复、许可文件，以及效果图在内的各种格</w:t>
      </w:r>
      <w:r>
        <w:rPr>
          <w:rFonts w:hint="eastAsia" w:ascii="仿宋" w:hAnsi="仿宋" w:eastAsia="仿宋" w:cs="仿宋"/>
          <w:spacing w:val="-1"/>
          <w:sz w:val="26"/>
          <w:szCs w:val="26"/>
          <w:highlight w:val="none"/>
        </w:rPr>
        <w:t>式的电子版和纸质成果。</w:t>
      </w:r>
    </w:p>
    <w:p w14:paraId="223F2F6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4.乙方必须保证甲方使用乙方产品、服务及其任</w:t>
      </w:r>
      <w:r>
        <w:rPr>
          <w:rFonts w:hint="eastAsia" w:ascii="仿宋" w:hAnsi="仿宋" w:eastAsia="仿宋" w:cs="仿宋"/>
          <w:spacing w:val="5"/>
          <w:sz w:val="26"/>
          <w:szCs w:val="26"/>
          <w:highlight w:val="none"/>
        </w:rPr>
        <w:t>何部分，均不受到</w:t>
      </w:r>
      <w:r>
        <w:rPr>
          <w:rFonts w:hint="eastAsia" w:ascii="仿宋" w:hAnsi="仿宋" w:eastAsia="仿宋" w:cs="仿宋"/>
          <w:spacing w:val="6"/>
          <w:sz w:val="26"/>
          <w:szCs w:val="26"/>
          <w:highlight w:val="none"/>
        </w:rPr>
        <w:t>任何第三方关于侵犯其知识产权等合法权益的指控。</w:t>
      </w:r>
      <w:r>
        <w:rPr>
          <w:rFonts w:hint="eastAsia" w:ascii="仿宋" w:hAnsi="仿宋" w:eastAsia="仿宋" w:cs="仿宋"/>
          <w:spacing w:val="5"/>
          <w:sz w:val="26"/>
          <w:szCs w:val="26"/>
          <w:highlight w:val="none"/>
        </w:rPr>
        <w:t>任何第三方如果提出侵权指控，乙方承担由此而引起的一切法律责任和费用</w:t>
      </w:r>
      <w:r>
        <w:rPr>
          <w:rFonts w:hint="eastAsia" w:ascii="仿宋" w:hAnsi="仿宋" w:eastAsia="仿宋" w:cs="仿宋"/>
          <w:spacing w:val="4"/>
          <w:sz w:val="26"/>
          <w:szCs w:val="26"/>
          <w:highlight w:val="none"/>
        </w:rPr>
        <w:t>。如甲方自身</w:t>
      </w:r>
      <w:r>
        <w:rPr>
          <w:rFonts w:hint="eastAsia" w:ascii="仿宋" w:hAnsi="仿宋" w:eastAsia="仿宋" w:cs="仿宋"/>
          <w:spacing w:val="10"/>
          <w:sz w:val="26"/>
          <w:szCs w:val="26"/>
          <w:highlight w:val="none"/>
        </w:rPr>
        <w:t>利益因此受损的，乙方应在收到甲方要求其赔偿</w:t>
      </w:r>
      <w:r>
        <w:rPr>
          <w:rFonts w:hint="eastAsia" w:ascii="仿宋" w:hAnsi="仿宋" w:eastAsia="仿宋" w:cs="仿宋"/>
          <w:spacing w:val="9"/>
          <w:sz w:val="26"/>
          <w:szCs w:val="26"/>
          <w:highlight w:val="none"/>
        </w:rPr>
        <w:t>的通知之日7个工作日</w:t>
      </w:r>
      <w:r>
        <w:rPr>
          <w:rFonts w:hint="eastAsia" w:ascii="仿宋" w:hAnsi="仿宋" w:eastAsia="仿宋" w:cs="仿宋"/>
          <w:spacing w:val="2"/>
          <w:sz w:val="26"/>
          <w:szCs w:val="26"/>
          <w:highlight w:val="none"/>
        </w:rPr>
        <w:t>内赔偿甲方损失，如对甲方损失数额有争议，则以甲方主张数额为准。</w:t>
      </w:r>
    </w:p>
    <w:p w14:paraId="00ECAB9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5.乙方为甲方提供服务时，应对网站源代码、应</w:t>
      </w:r>
      <w:r>
        <w:rPr>
          <w:rFonts w:hint="eastAsia" w:ascii="仿宋" w:hAnsi="仿宋" w:eastAsia="仿宋" w:cs="仿宋"/>
          <w:spacing w:val="4"/>
          <w:sz w:val="26"/>
          <w:szCs w:val="26"/>
          <w:highlight w:val="none"/>
        </w:rPr>
        <w:t>用和数据等负有不</w:t>
      </w:r>
      <w:r>
        <w:rPr>
          <w:rFonts w:hint="eastAsia" w:ascii="仿宋" w:hAnsi="仿宋" w:eastAsia="仿宋" w:cs="仿宋"/>
          <w:spacing w:val="-1"/>
          <w:sz w:val="26"/>
          <w:szCs w:val="26"/>
          <w:highlight w:val="none"/>
        </w:rPr>
        <w:t>被外界攻击、入侵的保障义务和安全责任。</w:t>
      </w:r>
    </w:p>
    <w:p w14:paraId="39641B9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6.由于乙方原因，造成甲方设备丢失、损坏等财产损失的，乙方须</w:t>
      </w:r>
      <w:r>
        <w:rPr>
          <w:rFonts w:hint="eastAsia" w:ascii="仿宋" w:hAnsi="仿宋" w:eastAsia="仿宋" w:cs="仿宋"/>
          <w:spacing w:val="-4"/>
          <w:sz w:val="26"/>
          <w:szCs w:val="26"/>
          <w:highlight w:val="none"/>
        </w:rPr>
        <w:t>负责恢复原状或按相应价值进行赔偿。</w:t>
      </w:r>
    </w:p>
    <w:p w14:paraId="64A753A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7.未经甲方同意，乙方不得以甲方名义或其他易引起他人误以为是</w:t>
      </w:r>
      <w:r>
        <w:rPr>
          <w:rFonts w:hint="eastAsia" w:ascii="仿宋" w:hAnsi="仿宋" w:eastAsia="仿宋" w:cs="仿宋"/>
          <w:spacing w:val="-4"/>
          <w:sz w:val="26"/>
          <w:szCs w:val="26"/>
          <w:highlight w:val="none"/>
        </w:rPr>
        <w:t>甲方的方式从事与本项目无关的活动。</w:t>
      </w:r>
    </w:p>
    <w:p w14:paraId="54478AD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8.乙方必须保守甲方的秘密信息和国家秘密。未经甲方同意，乙方</w:t>
      </w:r>
      <w:r>
        <w:rPr>
          <w:rFonts w:hint="eastAsia" w:ascii="仿宋" w:hAnsi="仿宋" w:eastAsia="仿宋" w:cs="仿宋"/>
          <w:spacing w:val="5"/>
          <w:sz w:val="26"/>
          <w:szCs w:val="26"/>
          <w:highlight w:val="none"/>
        </w:rPr>
        <w:t>项目人员不得查阅甲方相关业务文件、财务文件及其它甲方认为敏感或</w:t>
      </w:r>
      <w:r>
        <w:rPr>
          <w:rFonts w:hint="eastAsia" w:ascii="仿宋" w:hAnsi="仿宋" w:eastAsia="仿宋" w:cs="仿宋"/>
          <w:spacing w:val="-6"/>
          <w:sz w:val="26"/>
          <w:szCs w:val="26"/>
          <w:highlight w:val="none"/>
        </w:rPr>
        <w:t>需要保密的任何文件。</w:t>
      </w:r>
    </w:p>
    <w:p w14:paraId="353AD7C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b w:val="0"/>
          <w:bCs w:val="0"/>
          <w:sz w:val="26"/>
          <w:szCs w:val="26"/>
          <w:highlight w:val="none"/>
        </w:rPr>
      </w:pPr>
      <w:r>
        <w:rPr>
          <w:rFonts w:hint="eastAsia" w:ascii="仿宋" w:hAnsi="仿宋" w:eastAsia="仿宋" w:cs="仿宋"/>
          <w:spacing w:val="5"/>
          <w:sz w:val="26"/>
          <w:szCs w:val="26"/>
          <w:highlight w:val="none"/>
        </w:rPr>
        <w:t>9.乙方不得将项目违法转包或未经甲方书</w:t>
      </w:r>
      <w:r>
        <w:rPr>
          <w:rFonts w:hint="eastAsia" w:ascii="仿宋" w:hAnsi="仿宋" w:eastAsia="仿宋" w:cs="仿宋"/>
          <w:spacing w:val="4"/>
          <w:sz w:val="26"/>
          <w:szCs w:val="26"/>
          <w:highlight w:val="none"/>
        </w:rPr>
        <w:t>面同意分包。本合同项下</w:t>
      </w:r>
      <w:r>
        <w:rPr>
          <w:rFonts w:hint="eastAsia" w:ascii="仿宋" w:hAnsi="仿宋" w:eastAsia="仿宋" w:cs="仿宋"/>
          <w:b w:val="0"/>
          <w:bCs w:val="0"/>
          <w:spacing w:val="3"/>
          <w:sz w:val="26"/>
          <w:szCs w:val="26"/>
          <w:highlight w:val="none"/>
        </w:rPr>
        <w:t>的责任和义务不因乙方分包而转移，乙方应始终对本项目</w:t>
      </w:r>
      <w:r>
        <w:rPr>
          <w:rFonts w:hint="eastAsia" w:ascii="仿宋" w:hAnsi="仿宋" w:eastAsia="仿宋" w:cs="仿宋"/>
          <w:b w:val="0"/>
          <w:bCs w:val="0"/>
          <w:spacing w:val="2"/>
          <w:sz w:val="26"/>
          <w:szCs w:val="26"/>
          <w:highlight w:val="none"/>
        </w:rPr>
        <w:t>承担全部责任</w:t>
      </w:r>
      <w:r>
        <w:rPr>
          <w:rFonts w:hint="eastAsia" w:ascii="仿宋" w:hAnsi="仿宋" w:eastAsia="仿宋" w:cs="仿宋"/>
          <w:b w:val="0"/>
          <w:bCs w:val="0"/>
          <w:spacing w:val="23"/>
          <w:sz w:val="26"/>
          <w:szCs w:val="26"/>
          <w:highlight w:val="none"/>
        </w:rPr>
        <w:t>和义务。</w:t>
      </w:r>
    </w:p>
    <w:p w14:paraId="4602EC6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jc w:val="both"/>
        <w:textAlignment w:val="baseline"/>
        <w:rPr>
          <w:rFonts w:hint="eastAsia" w:ascii="仿宋" w:hAnsi="仿宋" w:eastAsia="仿宋" w:cs="仿宋"/>
          <w:spacing w:val="5"/>
          <w:sz w:val="26"/>
          <w:szCs w:val="26"/>
          <w:highlight w:val="none"/>
        </w:rPr>
      </w:pPr>
      <w:r>
        <w:rPr>
          <w:rFonts w:hint="eastAsia" w:ascii="仿宋" w:hAnsi="仿宋" w:eastAsia="仿宋" w:cs="仿宋"/>
          <w:spacing w:val="1"/>
          <w:sz w:val="26"/>
          <w:szCs w:val="26"/>
          <w:highlight w:val="none"/>
        </w:rPr>
        <w:t>10.甲方的具体需求在开发期和试运行期内，仍有可能不断完善，乙</w:t>
      </w:r>
      <w:r>
        <w:rPr>
          <w:rFonts w:hint="eastAsia" w:ascii="仿宋" w:hAnsi="仿宋" w:eastAsia="仿宋" w:cs="仿宋"/>
          <w:spacing w:val="9"/>
          <w:sz w:val="26"/>
          <w:szCs w:val="26"/>
          <w:highlight w:val="none"/>
        </w:rPr>
        <w:t>方须承诺在采购需求和政策法规范围内，随着甲方需求的变动随时作出响应。如甲方需根据实际需求对建设内容做出调整，甲方应就变更内容与乙方协商一致后，向乙方发出书面通知，乙方</w:t>
      </w:r>
      <w:r>
        <w:rPr>
          <w:rFonts w:hint="eastAsia" w:ascii="仿宋" w:hAnsi="仿宋" w:eastAsia="仿宋" w:cs="仿宋"/>
          <w:spacing w:val="8"/>
          <w:sz w:val="26"/>
          <w:szCs w:val="26"/>
          <w:highlight w:val="none"/>
        </w:rPr>
        <w:t>应在收到甲方的变更通</w:t>
      </w:r>
      <w:r>
        <w:rPr>
          <w:rFonts w:hint="eastAsia" w:ascii="仿宋" w:hAnsi="仿宋" w:eastAsia="仿宋" w:cs="仿宋"/>
          <w:spacing w:val="2"/>
          <w:sz w:val="26"/>
          <w:szCs w:val="26"/>
          <w:highlight w:val="none"/>
        </w:rPr>
        <w:t>知后的</w:t>
      </w:r>
      <w:r>
        <w:rPr>
          <w:rFonts w:hint="eastAsia" w:ascii="仿宋" w:hAnsi="仿宋" w:eastAsia="仿宋" w:cs="仿宋"/>
          <w:spacing w:val="2"/>
          <w:sz w:val="26"/>
          <w:szCs w:val="26"/>
          <w:highlight w:val="none"/>
          <w:u w:val="single" w:color="auto"/>
        </w:rPr>
        <w:t>7</w:t>
      </w:r>
      <w:r>
        <w:rPr>
          <w:rFonts w:hint="eastAsia" w:ascii="仿宋" w:hAnsi="仿宋" w:eastAsia="仿宋" w:cs="仿宋"/>
          <w:spacing w:val="2"/>
          <w:sz w:val="26"/>
          <w:szCs w:val="26"/>
          <w:highlight w:val="none"/>
        </w:rPr>
        <w:t>个工作日内回复，逾期不回复的视为乙方同意甲方的变更内容，</w:t>
      </w:r>
      <w:r>
        <w:rPr>
          <w:rFonts w:hint="eastAsia" w:ascii="仿宋" w:hAnsi="仿宋" w:eastAsia="仿宋" w:cs="仿宋"/>
          <w:spacing w:val="8"/>
          <w:sz w:val="26"/>
          <w:szCs w:val="26"/>
          <w:highlight w:val="none"/>
        </w:rPr>
        <w:t>乙方需按甲方最新要求提供服务，修改应用软件，因需求变动导致的服</w:t>
      </w:r>
      <w:r>
        <w:rPr>
          <w:rFonts w:hint="eastAsia" w:ascii="仿宋" w:hAnsi="仿宋" w:eastAsia="仿宋" w:cs="仿宋"/>
          <w:spacing w:val="9"/>
          <w:sz w:val="26"/>
          <w:szCs w:val="26"/>
          <w:highlight w:val="none"/>
        </w:rPr>
        <w:t>务延期，乙方有权获得相应的宽展期。涉及费用调整的，乙方有权收取对应报酬的权利，乙方调增调减工作量后，</w:t>
      </w:r>
      <w:r>
        <w:rPr>
          <w:rFonts w:hint="eastAsia" w:ascii="仿宋" w:hAnsi="仿宋" w:eastAsia="仿宋" w:cs="仿宋"/>
          <w:spacing w:val="5"/>
          <w:sz w:val="26"/>
          <w:szCs w:val="26"/>
          <w:highlight w:val="none"/>
        </w:rPr>
        <w:t>对冲后增加金额超出签约合同总金额5%以内的，结算不做调整。最终验收通过后，在免费维护期内，若有需求变动，需求变更新增的服务工作量合计费用在合同总价5%以内的，合同费用不予调整。超出合同总价5%的部分，由甲乙双方另行协商确定。</w:t>
      </w:r>
    </w:p>
    <w:p w14:paraId="7B73987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sz w:val="26"/>
          <w:szCs w:val="26"/>
          <w:highlight w:val="none"/>
        </w:rPr>
      </w:pPr>
      <w:r>
        <w:rPr>
          <w:rFonts w:hint="eastAsia" w:ascii="仿宋" w:hAnsi="仿宋" w:eastAsia="仿宋" w:cs="仿宋"/>
          <w:sz w:val="26"/>
          <w:szCs w:val="26"/>
          <w:highlight w:val="none"/>
        </w:rPr>
        <w:t>11.乙方在合同履行过程中，其项目人员与其发生的任何纠纷，由乙</w:t>
      </w:r>
      <w:r>
        <w:rPr>
          <w:rFonts w:hint="eastAsia" w:ascii="仿宋" w:hAnsi="仿宋" w:eastAsia="仿宋" w:cs="仿宋"/>
          <w:spacing w:val="7"/>
          <w:sz w:val="26"/>
          <w:szCs w:val="26"/>
          <w:highlight w:val="none"/>
        </w:rPr>
        <w:t>方自行解决，若因该纠纷影响合同按时按质履行，乙方应按本合同第七</w:t>
      </w:r>
      <w:r>
        <w:rPr>
          <w:rFonts w:hint="eastAsia" w:ascii="仿宋" w:hAnsi="仿宋" w:eastAsia="仿宋" w:cs="仿宋"/>
          <w:spacing w:val="3"/>
          <w:sz w:val="26"/>
          <w:szCs w:val="26"/>
          <w:highlight w:val="none"/>
        </w:rPr>
        <w:t>条以不能完成合同约定的工作承担违约责任。</w:t>
      </w:r>
    </w:p>
    <w:p w14:paraId="3CD2B29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50" w:firstLineChars="200"/>
        <w:textAlignment w:val="baseline"/>
        <w:outlineLvl w:val="3"/>
        <w:rPr>
          <w:sz w:val="26"/>
          <w:szCs w:val="26"/>
          <w:highlight w:val="none"/>
        </w:rPr>
      </w:pPr>
      <w:r>
        <w:rPr>
          <w:b/>
          <w:bCs/>
          <w:spacing w:val="7"/>
          <w:sz w:val="26"/>
          <w:szCs w:val="26"/>
          <w:highlight w:val="none"/>
        </w:rPr>
        <w:t>第五条保密要求</w:t>
      </w:r>
    </w:p>
    <w:p w14:paraId="06CEE04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8" w:firstLineChars="200"/>
        <w:jc w:val="both"/>
        <w:textAlignment w:val="baseline"/>
        <w:rPr>
          <w:sz w:val="26"/>
          <w:szCs w:val="26"/>
          <w:highlight w:val="none"/>
        </w:rPr>
      </w:pPr>
      <w:r>
        <w:rPr>
          <w:spacing w:val="12"/>
          <w:sz w:val="26"/>
          <w:szCs w:val="26"/>
          <w:highlight w:val="none"/>
        </w:rPr>
        <w:t>(一)由甲方收集的、开发的、整理的、复制的、研究的</w:t>
      </w:r>
      <w:r>
        <w:rPr>
          <w:spacing w:val="11"/>
          <w:sz w:val="26"/>
          <w:szCs w:val="26"/>
          <w:highlight w:val="none"/>
        </w:rPr>
        <w:t>和准备的</w:t>
      </w:r>
      <w:r>
        <w:rPr>
          <w:spacing w:val="6"/>
          <w:sz w:val="26"/>
          <w:szCs w:val="26"/>
          <w:highlight w:val="none"/>
        </w:rPr>
        <w:t>与本合同项下工作有关的所有资料、信息和技术等，在乙方接触、知悉或由甲方提供给乙方时，均被视为保密的。未经甲方同意，乙方不得泄</w:t>
      </w:r>
      <w:r>
        <w:rPr>
          <w:spacing w:val="7"/>
          <w:sz w:val="26"/>
          <w:szCs w:val="26"/>
          <w:highlight w:val="none"/>
        </w:rPr>
        <w:t>漏给除甲方或其指定的代表之外的任何人、企业或其他组织，亦不得用</w:t>
      </w:r>
      <w:r>
        <w:rPr>
          <w:spacing w:val="2"/>
          <w:sz w:val="26"/>
          <w:szCs w:val="26"/>
          <w:highlight w:val="none"/>
        </w:rPr>
        <w:t>于除本合同目的外的其他用途。</w:t>
      </w:r>
    </w:p>
    <w:p w14:paraId="220F947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2" w:firstLineChars="200"/>
        <w:jc w:val="both"/>
        <w:textAlignment w:val="baseline"/>
        <w:rPr>
          <w:sz w:val="26"/>
          <w:szCs w:val="26"/>
          <w:highlight w:val="none"/>
        </w:rPr>
      </w:pPr>
      <w:r>
        <w:rPr>
          <w:spacing w:val="13"/>
          <w:sz w:val="26"/>
          <w:szCs w:val="26"/>
          <w:highlight w:val="none"/>
        </w:rPr>
        <w:t>(二)乙方对于工作期间知悉甲方的商业秘密和党政机关保密信息</w:t>
      </w:r>
      <w:r>
        <w:rPr>
          <w:spacing w:val="16"/>
          <w:sz w:val="26"/>
          <w:szCs w:val="26"/>
          <w:highlight w:val="none"/>
        </w:rPr>
        <w:t>(包括业务信息在内)或工作过程中接触到</w:t>
      </w:r>
      <w:r>
        <w:rPr>
          <w:spacing w:val="15"/>
          <w:sz w:val="26"/>
          <w:szCs w:val="26"/>
          <w:highlight w:val="none"/>
        </w:rPr>
        <w:t>的政府机关文件(包括内部</w:t>
      </w:r>
      <w:r>
        <w:rPr>
          <w:spacing w:val="11"/>
          <w:sz w:val="26"/>
          <w:szCs w:val="26"/>
          <w:highlight w:val="none"/>
        </w:rPr>
        <w:t>发文、各类通知及会议记录等)的内容，同样承担保密责任，严禁将政</w:t>
      </w:r>
      <w:r>
        <w:rPr>
          <w:spacing w:val="8"/>
          <w:sz w:val="26"/>
          <w:szCs w:val="26"/>
          <w:highlight w:val="none"/>
        </w:rPr>
        <w:t>府机关内部会议、谈话内容泄露给无关人员；不得</w:t>
      </w:r>
      <w:r>
        <w:rPr>
          <w:spacing w:val="7"/>
          <w:sz w:val="26"/>
          <w:szCs w:val="26"/>
          <w:highlight w:val="none"/>
        </w:rPr>
        <w:t>翻阅与工作无关的文</w:t>
      </w:r>
      <w:r>
        <w:rPr>
          <w:spacing w:val="8"/>
          <w:sz w:val="26"/>
          <w:szCs w:val="26"/>
          <w:highlight w:val="none"/>
        </w:rPr>
        <w:t>件和资料。乙方应当在完成委托事项或本合同终止或解除时将资料原件</w:t>
      </w:r>
      <w:r>
        <w:rPr>
          <w:spacing w:val="3"/>
          <w:sz w:val="26"/>
          <w:szCs w:val="26"/>
          <w:highlight w:val="none"/>
        </w:rPr>
        <w:t>全部返还甲方，并销毁所有复印件。</w:t>
      </w:r>
    </w:p>
    <w:p w14:paraId="6B75B7B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2" w:firstLineChars="200"/>
        <w:jc w:val="both"/>
        <w:textAlignment w:val="baseline"/>
        <w:rPr>
          <w:sz w:val="26"/>
          <w:szCs w:val="26"/>
          <w:highlight w:val="none"/>
        </w:rPr>
      </w:pPr>
      <w:r>
        <w:rPr>
          <w:spacing w:val="13"/>
          <w:sz w:val="26"/>
          <w:szCs w:val="26"/>
          <w:highlight w:val="none"/>
        </w:rPr>
        <w:t>(</w:t>
      </w:r>
      <w:r>
        <w:rPr>
          <w:rFonts w:hint="eastAsia"/>
          <w:spacing w:val="13"/>
          <w:sz w:val="26"/>
          <w:szCs w:val="26"/>
          <w:highlight w:val="none"/>
          <w:lang w:val="en-US" w:eastAsia="zh-CN"/>
        </w:rPr>
        <w:t>三</w:t>
      </w:r>
      <w:r>
        <w:rPr>
          <w:spacing w:val="13"/>
          <w:sz w:val="26"/>
          <w:szCs w:val="26"/>
          <w:highlight w:val="none"/>
        </w:rPr>
        <w:t>)严禁泄露在工作中接触到的政府机关科技研究、发明、装备</w:t>
      </w:r>
      <w:r>
        <w:rPr>
          <w:spacing w:val="3"/>
          <w:sz w:val="26"/>
          <w:szCs w:val="26"/>
          <w:highlight w:val="none"/>
        </w:rPr>
        <w:t>器材及其技术资料和政府工作信息。</w:t>
      </w:r>
    </w:p>
    <w:p w14:paraId="6D5E405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both"/>
        <w:textAlignment w:val="baseline"/>
        <w:rPr>
          <w:sz w:val="26"/>
          <w:szCs w:val="26"/>
          <w:highlight w:val="none"/>
        </w:rPr>
      </w:pPr>
      <w:r>
        <w:rPr>
          <w:spacing w:val="11"/>
          <w:sz w:val="26"/>
          <w:szCs w:val="26"/>
          <w:highlight w:val="none"/>
        </w:rPr>
        <w:t>(</w:t>
      </w:r>
      <w:r>
        <w:rPr>
          <w:rFonts w:hint="eastAsia"/>
          <w:spacing w:val="11"/>
          <w:sz w:val="26"/>
          <w:szCs w:val="26"/>
          <w:highlight w:val="none"/>
          <w:lang w:val="en-US" w:eastAsia="zh-CN"/>
        </w:rPr>
        <w:t>四</w:t>
      </w:r>
      <w:r>
        <w:rPr>
          <w:spacing w:val="11"/>
          <w:sz w:val="26"/>
          <w:szCs w:val="26"/>
          <w:highlight w:val="none"/>
        </w:rPr>
        <w:t>)</w:t>
      </w:r>
      <w:r>
        <w:rPr>
          <w:spacing w:val="13"/>
          <w:sz w:val="26"/>
          <w:szCs w:val="26"/>
          <w:highlight w:val="none"/>
        </w:rPr>
        <w:t>乙方实施项目的一切程序都应符合国家安全、保密的有关规</w:t>
      </w:r>
      <w:r>
        <w:rPr>
          <w:spacing w:val="30"/>
          <w:sz w:val="26"/>
          <w:szCs w:val="26"/>
          <w:highlight w:val="none"/>
        </w:rPr>
        <w:t>定和标准。</w:t>
      </w:r>
    </w:p>
    <w:p w14:paraId="512E7CF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right="0" w:firstLine="564" w:firstLineChars="200"/>
        <w:jc w:val="both"/>
        <w:textAlignment w:val="baseline"/>
        <w:rPr>
          <w:sz w:val="26"/>
          <w:szCs w:val="26"/>
          <w:highlight w:val="none"/>
        </w:rPr>
      </w:pPr>
      <w:r>
        <w:rPr>
          <w:spacing w:val="11"/>
          <w:sz w:val="26"/>
          <w:szCs w:val="26"/>
          <w:highlight w:val="none"/>
        </w:rPr>
        <w:t>(</w:t>
      </w:r>
      <w:r>
        <w:rPr>
          <w:rFonts w:hint="eastAsia"/>
          <w:spacing w:val="11"/>
          <w:sz w:val="26"/>
          <w:szCs w:val="26"/>
          <w:highlight w:val="none"/>
          <w:lang w:val="en-US" w:eastAsia="zh-CN"/>
        </w:rPr>
        <w:t>五</w:t>
      </w:r>
      <w:r>
        <w:rPr>
          <w:spacing w:val="11"/>
          <w:sz w:val="26"/>
          <w:szCs w:val="26"/>
          <w:highlight w:val="none"/>
        </w:rPr>
        <w:t>)</w:t>
      </w:r>
      <w:r>
        <w:rPr>
          <w:spacing w:val="32"/>
          <w:sz w:val="26"/>
          <w:szCs w:val="26"/>
          <w:highlight w:val="none"/>
        </w:rPr>
        <w:t>本合同保密条款长期有效，不因合同履行期限届满或合同终</w:t>
      </w:r>
      <w:r>
        <w:rPr>
          <w:spacing w:val="-17"/>
          <w:sz w:val="26"/>
          <w:szCs w:val="26"/>
          <w:highlight w:val="none"/>
        </w:rPr>
        <w:t>止、解除等失效。</w:t>
      </w:r>
    </w:p>
    <w:p w14:paraId="6BFF5AFA">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22" w:firstLineChars="200"/>
        <w:textAlignment w:val="baseline"/>
        <w:outlineLvl w:val="3"/>
        <w:rPr>
          <w:sz w:val="26"/>
          <w:szCs w:val="26"/>
          <w:highlight w:val="none"/>
        </w:rPr>
      </w:pPr>
      <w:r>
        <w:rPr>
          <w:b/>
          <w:bCs/>
          <w:sz w:val="26"/>
          <w:szCs w:val="26"/>
          <w:highlight w:val="none"/>
        </w:rPr>
        <w:t>第六条知识产权</w:t>
      </w:r>
    </w:p>
    <w:p w14:paraId="7B2E754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4"/>
          <w:sz w:val="26"/>
          <w:szCs w:val="26"/>
          <w:highlight w:val="none"/>
        </w:rPr>
        <w:t>(一)本合同所产生的项目知识产权，包括</w:t>
      </w:r>
      <w:r>
        <w:rPr>
          <w:rFonts w:hint="eastAsia" w:ascii="仿宋" w:hAnsi="仿宋" w:eastAsia="仿宋" w:cs="仿宋"/>
          <w:spacing w:val="3"/>
          <w:sz w:val="26"/>
          <w:szCs w:val="26"/>
          <w:highlight w:val="none"/>
        </w:rPr>
        <w:t>但不限于版权、专利权、</w:t>
      </w:r>
      <w:r>
        <w:rPr>
          <w:rFonts w:hint="eastAsia" w:ascii="仿宋" w:hAnsi="仿宋" w:eastAsia="仿宋" w:cs="仿宋"/>
          <w:spacing w:val="4"/>
          <w:sz w:val="26"/>
          <w:szCs w:val="26"/>
          <w:highlight w:val="none"/>
        </w:rPr>
        <w:t>专利申请权、著作权等。甲乙双方共同将本项目最终成果作为一个整体项目申报知识产权，整体项目知识产权归甲乙双方共同所有。本合同签</w:t>
      </w:r>
      <w:r>
        <w:rPr>
          <w:rFonts w:hint="eastAsia" w:ascii="仿宋" w:hAnsi="仿宋" w:eastAsia="仿宋" w:cs="仿宋"/>
          <w:spacing w:val="-2"/>
          <w:sz w:val="26"/>
          <w:szCs w:val="26"/>
          <w:highlight w:val="none"/>
        </w:rPr>
        <w:t>署前双方已经拥有的知识产权权利，归各自所有。</w:t>
      </w:r>
    </w:p>
    <w:p w14:paraId="7E0E17E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9"/>
          <w:sz w:val="26"/>
          <w:szCs w:val="26"/>
          <w:highlight w:val="none"/>
        </w:rPr>
        <w:t>(二)在本项目中，乙方根据甲方的需求</w:t>
      </w:r>
      <w:r>
        <w:rPr>
          <w:rFonts w:hint="eastAsia" w:cs="仿宋"/>
          <w:spacing w:val="9"/>
          <w:sz w:val="26"/>
          <w:szCs w:val="26"/>
          <w:highlight w:val="none"/>
          <w:lang w:val="en-US" w:eastAsia="zh-CN"/>
        </w:rPr>
        <w:t>定</w:t>
      </w:r>
      <w:r>
        <w:rPr>
          <w:rFonts w:hint="eastAsia" w:ascii="仿宋" w:hAnsi="仿宋" w:eastAsia="仿宋" w:cs="仿宋"/>
          <w:spacing w:val="9"/>
          <w:sz w:val="26"/>
          <w:szCs w:val="26"/>
          <w:highlight w:val="none"/>
        </w:rPr>
        <w:t>制开发的软件及其知识</w:t>
      </w:r>
      <w:r>
        <w:rPr>
          <w:rFonts w:hint="eastAsia" w:ascii="仿宋" w:hAnsi="仿宋" w:eastAsia="仿宋" w:cs="仿宋"/>
          <w:spacing w:val="5"/>
          <w:sz w:val="26"/>
          <w:szCs w:val="26"/>
          <w:highlight w:val="none"/>
        </w:rPr>
        <w:t>产权归甲乙双方共同所有。乙方同意甲乙双方</w:t>
      </w:r>
      <w:r>
        <w:rPr>
          <w:rFonts w:hint="eastAsia" w:ascii="仿宋" w:hAnsi="仿宋" w:eastAsia="仿宋" w:cs="仿宋"/>
          <w:spacing w:val="4"/>
          <w:sz w:val="26"/>
          <w:szCs w:val="26"/>
          <w:highlight w:val="none"/>
        </w:rPr>
        <w:t>共同就本项目成果申报知识产权。乙方不得将这些软件用于本项目之外的商业用途。</w:t>
      </w:r>
      <w:r>
        <w:rPr>
          <w:rFonts w:hint="eastAsia" w:ascii="仿宋" w:hAnsi="仿宋" w:eastAsia="仿宋" w:cs="仿宋"/>
          <w:spacing w:val="3"/>
          <w:sz w:val="26"/>
          <w:szCs w:val="26"/>
          <w:highlight w:val="none"/>
        </w:rPr>
        <w:t>乙方同意甲乙双方共同就这些软件单列申报知识产权。乙方负责本项目所有申报的</w:t>
      </w:r>
      <w:r>
        <w:rPr>
          <w:rFonts w:hint="eastAsia" w:ascii="仿宋" w:hAnsi="仿宋" w:eastAsia="仿宋" w:cs="仿宋"/>
          <w:spacing w:val="-2"/>
          <w:sz w:val="26"/>
          <w:szCs w:val="26"/>
          <w:highlight w:val="none"/>
        </w:rPr>
        <w:t>知识产权的申报和后期运营费用。</w:t>
      </w:r>
    </w:p>
    <w:p w14:paraId="4C5018E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9"/>
          <w:sz w:val="26"/>
          <w:szCs w:val="26"/>
          <w:highlight w:val="none"/>
        </w:rPr>
        <w:t>(三)甲方在使用乙方提供的属于第三方软件时，应当依照乙方与</w:t>
      </w:r>
      <w:r>
        <w:rPr>
          <w:rFonts w:hint="eastAsia" w:ascii="仿宋" w:hAnsi="仿宋" w:eastAsia="仿宋" w:cs="仿宋"/>
          <w:spacing w:val="4"/>
          <w:sz w:val="26"/>
          <w:szCs w:val="26"/>
          <w:highlight w:val="none"/>
        </w:rPr>
        <w:t>第三方对该软件使用的约定合法合规使用，乙方应保证甲方对乙方提供的第三方软件的使用符合法律规定及相关约定。乙方应在合同签署后准备并提供可能将使用属于第三方软件的全部技术资料和第三方厂商升级维护服务保证材料，并于使用第三方软件前10个工作日将该前述约定的书面文件的原件交甲方参阅，并提交复印件由甲方留存。乙方提供的服务及其任何部分不受到任何第三方关于侵犯知识产权的指控</w:t>
      </w:r>
      <w:r>
        <w:rPr>
          <w:rFonts w:hint="eastAsia" w:ascii="仿宋" w:hAnsi="仿宋" w:eastAsia="仿宋" w:cs="仿宋"/>
          <w:spacing w:val="3"/>
          <w:sz w:val="26"/>
          <w:szCs w:val="26"/>
          <w:highlight w:val="none"/>
        </w:rPr>
        <w:t>。任何第三</w:t>
      </w:r>
      <w:r>
        <w:rPr>
          <w:rFonts w:hint="eastAsia" w:ascii="仿宋" w:hAnsi="仿宋" w:eastAsia="仿宋" w:cs="仿宋"/>
          <w:spacing w:val="5"/>
          <w:sz w:val="26"/>
          <w:szCs w:val="26"/>
          <w:highlight w:val="none"/>
        </w:rPr>
        <w:t>方如果提出侵权指控，乙方需承担由此而引起的一切法律</w:t>
      </w:r>
      <w:r>
        <w:rPr>
          <w:rFonts w:hint="eastAsia" w:ascii="仿宋" w:hAnsi="仿宋" w:eastAsia="仿宋" w:cs="仿宋"/>
          <w:spacing w:val="4"/>
          <w:sz w:val="26"/>
          <w:szCs w:val="26"/>
          <w:highlight w:val="none"/>
        </w:rPr>
        <w:t>责任和费用，</w:t>
      </w:r>
      <w:r>
        <w:rPr>
          <w:rFonts w:hint="eastAsia" w:ascii="仿宋" w:hAnsi="仿宋" w:eastAsia="仿宋" w:cs="仿宋"/>
          <w:spacing w:val="6"/>
          <w:sz w:val="26"/>
          <w:szCs w:val="26"/>
          <w:highlight w:val="none"/>
        </w:rPr>
        <w:t>并赔偿甲方由此造成的一切损失。</w:t>
      </w:r>
    </w:p>
    <w:p w14:paraId="032F57B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8"/>
          <w:sz w:val="26"/>
          <w:szCs w:val="26"/>
          <w:highlight w:val="none"/>
        </w:rPr>
        <w:t>(</w:t>
      </w:r>
      <w:r>
        <w:rPr>
          <w:rFonts w:hint="eastAsia" w:cs="仿宋"/>
          <w:spacing w:val="8"/>
          <w:sz w:val="26"/>
          <w:szCs w:val="26"/>
          <w:highlight w:val="none"/>
          <w:lang w:val="en-US" w:eastAsia="zh-CN"/>
        </w:rPr>
        <w:t>四</w:t>
      </w:r>
      <w:r>
        <w:rPr>
          <w:rFonts w:hint="eastAsia" w:ascii="仿宋" w:hAnsi="仿宋" w:eastAsia="仿宋" w:cs="仿宋"/>
          <w:spacing w:val="8"/>
          <w:sz w:val="26"/>
          <w:szCs w:val="26"/>
          <w:highlight w:val="none"/>
        </w:rPr>
        <w:t>)乙方应向甲方提供软件开发和接口开发的全套程序源代码。</w:t>
      </w:r>
    </w:p>
    <w:p w14:paraId="7F2E8A6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1"/>
          <w:sz w:val="26"/>
          <w:szCs w:val="26"/>
          <w:highlight w:val="none"/>
        </w:rPr>
        <w:t>(</w:t>
      </w:r>
      <w:r>
        <w:rPr>
          <w:rFonts w:hint="eastAsia" w:cs="仿宋"/>
          <w:spacing w:val="11"/>
          <w:sz w:val="26"/>
          <w:szCs w:val="26"/>
          <w:highlight w:val="none"/>
          <w:lang w:val="en-US" w:eastAsia="zh-CN"/>
        </w:rPr>
        <w:t>五</w:t>
      </w:r>
      <w:r>
        <w:rPr>
          <w:rFonts w:hint="eastAsia" w:ascii="仿宋" w:hAnsi="仿宋" w:eastAsia="仿宋" w:cs="仿宋"/>
          <w:spacing w:val="11"/>
          <w:sz w:val="26"/>
          <w:szCs w:val="26"/>
          <w:highlight w:val="none"/>
        </w:rPr>
        <w:t>)乙方在完成系统建设工程后应参照软</w:t>
      </w:r>
      <w:r>
        <w:rPr>
          <w:rFonts w:hint="eastAsia" w:ascii="仿宋" w:hAnsi="仿宋" w:eastAsia="仿宋" w:cs="仿宋"/>
          <w:spacing w:val="10"/>
          <w:sz w:val="26"/>
          <w:szCs w:val="26"/>
          <w:highlight w:val="none"/>
        </w:rPr>
        <w:t>件工程的国家标准向甲</w:t>
      </w:r>
      <w:r>
        <w:rPr>
          <w:rFonts w:hint="eastAsia" w:ascii="仿宋" w:hAnsi="仿宋" w:eastAsia="仿宋" w:cs="仿宋"/>
          <w:spacing w:val="5"/>
          <w:sz w:val="26"/>
          <w:szCs w:val="26"/>
          <w:highlight w:val="none"/>
        </w:rPr>
        <w:t>方提供相关技术文档，包括详细设计、测试报告</w:t>
      </w:r>
      <w:r>
        <w:rPr>
          <w:rFonts w:hint="eastAsia" w:ascii="仿宋" w:hAnsi="仿宋" w:eastAsia="仿宋" w:cs="仿宋"/>
          <w:spacing w:val="4"/>
          <w:sz w:val="26"/>
          <w:szCs w:val="26"/>
          <w:highlight w:val="none"/>
        </w:rPr>
        <w:t>、验收报告、系统及应</w:t>
      </w:r>
      <w:r>
        <w:rPr>
          <w:rFonts w:hint="eastAsia" w:ascii="仿宋" w:hAnsi="仿宋" w:eastAsia="仿宋" w:cs="仿宋"/>
          <w:spacing w:val="5"/>
          <w:sz w:val="26"/>
          <w:szCs w:val="26"/>
          <w:highlight w:val="none"/>
        </w:rPr>
        <w:t>用软件清单及介质、用户手册、管理手册、安装指南、项目源代码等用</w:t>
      </w:r>
      <w:r>
        <w:rPr>
          <w:rFonts w:hint="eastAsia" w:ascii="仿宋" w:hAnsi="仿宋" w:eastAsia="仿宋" w:cs="仿宋"/>
          <w:spacing w:val="-8"/>
          <w:sz w:val="26"/>
          <w:szCs w:val="26"/>
          <w:highlight w:val="none"/>
        </w:rPr>
        <w:t>户文档资料。</w:t>
      </w:r>
    </w:p>
    <w:p w14:paraId="527FC14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w:t>
      </w:r>
      <w:r>
        <w:rPr>
          <w:rFonts w:hint="eastAsia" w:cs="仿宋"/>
          <w:spacing w:val="10"/>
          <w:sz w:val="26"/>
          <w:szCs w:val="26"/>
          <w:highlight w:val="none"/>
          <w:lang w:val="en-US" w:eastAsia="zh-CN"/>
        </w:rPr>
        <w:t>六</w:t>
      </w:r>
      <w:r>
        <w:rPr>
          <w:rFonts w:hint="eastAsia" w:ascii="仿宋" w:hAnsi="仿宋" w:eastAsia="仿宋" w:cs="仿宋"/>
          <w:spacing w:val="10"/>
          <w:sz w:val="26"/>
          <w:szCs w:val="26"/>
          <w:highlight w:val="none"/>
        </w:rPr>
        <w:t>)乙方提交给甲方的所有书面成果及相关资料的最后文本，包</w:t>
      </w:r>
      <w:r>
        <w:rPr>
          <w:rFonts w:hint="eastAsia" w:ascii="仿宋" w:hAnsi="仿宋" w:eastAsia="仿宋" w:cs="仿宋"/>
          <w:spacing w:val="5"/>
          <w:sz w:val="26"/>
          <w:szCs w:val="26"/>
          <w:highlight w:val="none"/>
        </w:rPr>
        <w:t>括为履行本合同义务所编制的图纸、计划、证明资料、定制部分的源代</w:t>
      </w:r>
      <w:r>
        <w:rPr>
          <w:rFonts w:hint="eastAsia" w:ascii="仿宋" w:hAnsi="仿宋" w:eastAsia="仿宋" w:cs="仿宋"/>
          <w:sz w:val="26"/>
          <w:szCs w:val="26"/>
          <w:highlight w:val="none"/>
        </w:rPr>
        <w:t>码、清单等材料的所有权、知识产权等合法权</w:t>
      </w:r>
      <w:r>
        <w:rPr>
          <w:rFonts w:hint="eastAsia" w:ascii="仿宋" w:hAnsi="仿宋" w:eastAsia="仿宋" w:cs="仿宋"/>
          <w:spacing w:val="-1"/>
          <w:sz w:val="26"/>
          <w:szCs w:val="26"/>
          <w:highlight w:val="none"/>
        </w:rPr>
        <w:t>益均为甲乙双方共同享有，</w:t>
      </w:r>
      <w:r>
        <w:rPr>
          <w:rFonts w:hint="eastAsia" w:ascii="仿宋" w:hAnsi="仿宋" w:eastAsia="仿宋" w:cs="仿宋"/>
          <w:sz w:val="26"/>
          <w:szCs w:val="26"/>
          <w:highlight w:val="none"/>
        </w:rPr>
        <w:t>乙方在提交给甲方之前应将上述资料进行整理归类和编制索引。</w:t>
      </w:r>
    </w:p>
    <w:p w14:paraId="3CD2B50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w:t>
      </w:r>
      <w:r>
        <w:rPr>
          <w:rFonts w:hint="eastAsia" w:cs="仿宋"/>
          <w:spacing w:val="10"/>
          <w:sz w:val="26"/>
          <w:szCs w:val="26"/>
          <w:highlight w:val="none"/>
          <w:lang w:val="en-US" w:eastAsia="zh-CN"/>
        </w:rPr>
        <w:t>七</w:t>
      </w:r>
      <w:r>
        <w:rPr>
          <w:rFonts w:hint="eastAsia" w:ascii="仿宋" w:hAnsi="仿宋" w:eastAsia="仿宋" w:cs="仿宋"/>
          <w:spacing w:val="10"/>
          <w:sz w:val="26"/>
          <w:szCs w:val="26"/>
          <w:highlight w:val="none"/>
        </w:rPr>
        <w:t>)在本项目平台正式对外发布后，乙方使用、销</w:t>
      </w:r>
      <w:r>
        <w:rPr>
          <w:rFonts w:hint="eastAsia" w:ascii="仿宋" w:hAnsi="仿宋" w:eastAsia="仿宋" w:cs="仿宋"/>
          <w:spacing w:val="9"/>
          <w:sz w:val="26"/>
          <w:szCs w:val="26"/>
          <w:highlight w:val="none"/>
        </w:rPr>
        <w:t>售涉及</w:t>
      </w:r>
      <w:r>
        <w:rPr>
          <w:rFonts w:hint="eastAsia" w:ascii="仿宋" w:hAnsi="仿宋" w:eastAsia="仿宋" w:cs="仿宋"/>
          <w:spacing w:val="5"/>
          <w:sz w:val="26"/>
          <w:szCs w:val="26"/>
          <w:highlight w:val="none"/>
        </w:rPr>
        <w:t>本项目甲方和乙方双方共同申报享有的软件知识产权的，乙方需要承担</w:t>
      </w:r>
      <w:r>
        <w:rPr>
          <w:rFonts w:hint="eastAsia" w:ascii="仿宋" w:hAnsi="仿宋" w:eastAsia="仿宋" w:cs="仿宋"/>
          <w:spacing w:val="-8"/>
          <w:sz w:val="26"/>
          <w:szCs w:val="26"/>
          <w:highlight w:val="none"/>
        </w:rPr>
        <w:t>向甲方取得授权的义务。</w:t>
      </w:r>
    </w:p>
    <w:p w14:paraId="400688F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w:t>
      </w:r>
      <w:r>
        <w:rPr>
          <w:rFonts w:hint="eastAsia" w:cs="仿宋"/>
          <w:spacing w:val="10"/>
          <w:sz w:val="26"/>
          <w:szCs w:val="26"/>
          <w:highlight w:val="none"/>
          <w:lang w:val="en-US" w:eastAsia="zh-CN"/>
        </w:rPr>
        <w:t>八</w:t>
      </w:r>
      <w:r>
        <w:rPr>
          <w:rFonts w:hint="eastAsia" w:ascii="仿宋" w:hAnsi="仿宋" w:eastAsia="仿宋" w:cs="仿宋"/>
          <w:spacing w:val="10"/>
          <w:sz w:val="26"/>
          <w:szCs w:val="26"/>
          <w:highlight w:val="none"/>
        </w:rPr>
        <w:t>)在本项目平台正式对外发布后，乙方在将本项目整体固定资</w:t>
      </w:r>
      <w:r>
        <w:rPr>
          <w:rFonts w:hint="eastAsia" w:ascii="仿宋" w:hAnsi="仿宋" w:eastAsia="仿宋" w:cs="仿宋"/>
          <w:sz w:val="26"/>
          <w:szCs w:val="26"/>
          <w:highlight w:val="none"/>
        </w:rPr>
        <w:t>产移交给甲方的同时，就本项目所享有的知识产</w:t>
      </w:r>
      <w:r>
        <w:rPr>
          <w:rFonts w:hint="eastAsia" w:ascii="仿宋" w:hAnsi="仿宋" w:eastAsia="仿宋" w:cs="仿宋"/>
          <w:spacing w:val="-1"/>
          <w:sz w:val="26"/>
          <w:szCs w:val="26"/>
          <w:highlight w:val="none"/>
        </w:rPr>
        <w:t>权相关文档也一并移交。</w:t>
      </w:r>
    </w:p>
    <w:p w14:paraId="52A403A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22" w:firstLineChars="200"/>
        <w:textAlignment w:val="baseline"/>
        <w:outlineLvl w:val="3"/>
        <w:rPr>
          <w:rFonts w:hint="eastAsia"/>
          <w:b/>
          <w:bCs/>
          <w:sz w:val="26"/>
          <w:szCs w:val="26"/>
          <w:highlight w:val="none"/>
        </w:rPr>
      </w:pPr>
      <w:r>
        <w:rPr>
          <w:rFonts w:hint="eastAsia"/>
          <w:b/>
          <w:bCs/>
          <w:sz w:val="26"/>
          <w:szCs w:val="26"/>
          <w:highlight w:val="none"/>
        </w:rPr>
        <w:t>第七条违约责任</w:t>
      </w:r>
    </w:p>
    <w:p w14:paraId="4A582C5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9"/>
          <w:sz w:val="26"/>
          <w:szCs w:val="26"/>
          <w:highlight w:val="none"/>
        </w:rPr>
        <w:t>(一)</w:t>
      </w:r>
      <w:r>
        <w:rPr>
          <w:rFonts w:hint="eastAsia" w:ascii="仿宋" w:hAnsi="仿宋" w:eastAsia="仿宋" w:cs="仿宋"/>
          <w:spacing w:val="11"/>
          <w:sz w:val="26"/>
          <w:szCs w:val="26"/>
          <w:highlight w:val="none"/>
        </w:rPr>
        <w:t>除法律规定外，乙方无权单方面中止或解除合同。如因乙方单方原因，出现以下情况之一的，甲方有权单方解除合同，乙方应在收到甲方解除合同的通知之日起7个工作日退还甲方已支付的款项，甲方尚未支付的不再支付，且乙方应按合同总金额的20%承担违约金，给甲方造成损失的，由乙方赔偿全部损失：</w:t>
      </w:r>
    </w:p>
    <w:p w14:paraId="351A6B8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1.</w:t>
      </w:r>
      <w:r>
        <w:rPr>
          <w:rFonts w:hint="eastAsia" w:ascii="仿宋" w:hAnsi="仿宋" w:eastAsia="仿宋" w:cs="仿宋"/>
          <w:spacing w:val="11"/>
          <w:sz w:val="26"/>
          <w:szCs w:val="26"/>
          <w:highlight w:val="none"/>
        </w:rPr>
        <w:t>乙方未按本合同约定的项目进度要求完成工作且未经甲方书面同意延期，逾期超过</w:t>
      </w:r>
      <w:r>
        <w:rPr>
          <w:rFonts w:hint="eastAsia" w:ascii="仿宋" w:hAnsi="仿宋" w:eastAsia="仿宋" w:cs="仿宋"/>
          <w:spacing w:val="-6"/>
          <w:sz w:val="26"/>
          <w:szCs w:val="26"/>
          <w:highlight w:val="none"/>
          <w:u w:val="single" w:color="auto"/>
          <w:lang w:val="en-US" w:eastAsia="zh-CN"/>
        </w:rPr>
        <w:t>2</w:t>
      </w:r>
      <w:r>
        <w:rPr>
          <w:rFonts w:hint="eastAsia" w:ascii="仿宋" w:hAnsi="仿宋" w:eastAsia="仿宋" w:cs="仿宋"/>
          <w:spacing w:val="-6"/>
          <w:sz w:val="26"/>
          <w:szCs w:val="26"/>
          <w:highlight w:val="none"/>
          <w:u w:val="single" w:color="auto"/>
        </w:rPr>
        <w:t>0</w:t>
      </w:r>
      <w:r>
        <w:rPr>
          <w:rFonts w:hint="eastAsia" w:ascii="仿宋" w:hAnsi="仿宋" w:eastAsia="仿宋" w:cs="仿宋"/>
          <w:spacing w:val="-6"/>
          <w:sz w:val="26"/>
          <w:szCs w:val="26"/>
          <w:highlight w:val="none"/>
        </w:rPr>
        <w:t>日；</w:t>
      </w:r>
    </w:p>
    <w:p w14:paraId="364C1C5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2.除本合同另有约定外，甲方认为乙方履行义务不符合合同约定或</w:t>
      </w:r>
      <w:r>
        <w:rPr>
          <w:rFonts w:hint="eastAsia" w:ascii="仿宋" w:hAnsi="仿宋" w:eastAsia="仿宋" w:cs="仿宋"/>
          <w:sz w:val="26"/>
          <w:szCs w:val="26"/>
          <w:highlight w:val="none"/>
        </w:rPr>
        <w:t>甲方要求或未按投标文件中提交的《承诺函》履约，甲方提出整改意</w:t>
      </w:r>
      <w:r>
        <w:rPr>
          <w:rFonts w:hint="eastAsia" w:ascii="仿宋" w:hAnsi="仿宋" w:eastAsia="仿宋" w:cs="仿宋"/>
          <w:spacing w:val="-1"/>
          <w:sz w:val="26"/>
          <w:szCs w:val="26"/>
          <w:highlight w:val="none"/>
        </w:rPr>
        <w:t>见，</w:t>
      </w:r>
      <w:r>
        <w:rPr>
          <w:rFonts w:hint="eastAsia" w:ascii="仿宋" w:hAnsi="仿宋" w:eastAsia="仿宋" w:cs="仿宋"/>
          <w:spacing w:val="2"/>
          <w:sz w:val="26"/>
          <w:szCs w:val="26"/>
          <w:highlight w:val="none"/>
        </w:rPr>
        <w:t>乙方拒绝整改或连续</w:t>
      </w:r>
      <w:r>
        <w:rPr>
          <w:rFonts w:hint="eastAsia" w:ascii="仿宋" w:hAnsi="仿宋" w:eastAsia="仿宋" w:cs="仿宋"/>
          <w:spacing w:val="2"/>
          <w:sz w:val="26"/>
          <w:szCs w:val="26"/>
          <w:highlight w:val="none"/>
          <w:u w:val="single" w:color="auto"/>
        </w:rPr>
        <w:t>3</w:t>
      </w:r>
      <w:r>
        <w:rPr>
          <w:rFonts w:hint="eastAsia" w:ascii="仿宋" w:hAnsi="仿宋" w:eastAsia="仿宋" w:cs="仿宋"/>
          <w:spacing w:val="2"/>
          <w:sz w:val="26"/>
          <w:szCs w:val="26"/>
          <w:highlight w:val="none"/>
        </w:rPr>
        <w:t>次整改仍不符合要求，且双方无法协商一致；</w:t>
      </w:r>
    </w:p>
    <w:p w14:paraId="3CB0B50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6"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4"/>
          <w:sz w:val="26"/>
          <w:szCs w:val="26"/>
          <w:highlight w:val="none"/>
        </w:rPr>
        <w:t>3.乙方在履行合同期间，因自身(包含自身工作人员)原因，引起</w:t>
      </w:r>
      <w:r>
        <w:rPr>
          <w:rFonts w:hint="eastAsia" w:ascii="仿宋" w:hAnsi="仿宋" w:eastAsia="仿宋" w:cs="仿宋"/>
          <w:spacing w:val="-3"/>
          <w:sz w:val="26"/>
          <w:szCs w:val="26"/>
          <w:highlight w:val="none"/>
        </w:rPr>
        <w:t>重大舆情或安全事故的；</w:t>
      </w:r>
    </w:p>
    <w:p w14:paraId="780B097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3"/>
          <w:sz w:val="26"/>
          <w:szCs w:val="26"/>
          <w:highlight w:val="none"/>
        </w:rPr>
        <w:t>4.乙方擅自将本合同部分或全部义务转包或分包给第三方的；</w:t>
      </w:r>
    </w:p>
    <w:p w14:paraId="257257A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5.乙方擅自利用本合同做夸大、市场宣传，给甲方造成不良影响的；</w:t>
      </w:r>
    </w:p>
    <w:p w14:paraId="4EDD593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6.乙方提供的产品或服务存在侵犯第三方知识产权或其</w:t>
      </w:r>
      <w:r>
        <w:rPr>
          <w:rFonts w:hint="eastAsia" w:ascii="仿宋" w:hAnsi="仿宋" w:eastAsia="仿宋" w:cs="仿宋"/>
          <w:spacing w:val="6"/>
          <w:sz w:val="26"/>
          <w:szCs w:val="26"/>
          <w:highlight w:val="none"/>
        </w:rPr>
        <w:t>他权益，致</w:t>
      </w:r>
      <w:r>
        <w:rPr>
          <w:rFonts w:hint="eastAsia" w:ascii="仿宋" w:hAnsi="仿宋" w:eastAsia="仿宋" w:cs="仿宋"/>
          <w:sz w:val="26"/>
          <w:szCs w:val="26"/>
          <w:highlight w:val="none"/>
        </w:rPr>
        <w:t>使甲方被相关权利人追责的；</w:t>
      </w:r>
    </w:p>
    <w:p w14:paraId="08C13C0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
          <w:sz w:val="26"/>
          <w:szCs w:val="26"/>
          <w:highlight w:val="none"/>
        </w:rPr>
        <w:t>7.乙方存在其他严重违约情形的。</w:t>
      </w:r>
    </w:p>
    <w:p w14:paraId="57F3852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8"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2"/>
          <w:sz w:val="26"/>
          <w:szCs w:val="26"/>
          <w:highlight w:val="none"/>
        </w:rPr>
        <w:t>(二)因乙方原因，乙方不能履行全部或部分合同义务的，</w:t>
      </w:r>
      <w:r>
        <w:rPr>
          <w:rFonts w:hint="eastAsia" w:ascii="仿宋" w:hAnsi="仿宋" w:eastAsia="仿宋" w:cs="仿宋"/>
          <w:spacing w:val="11"/>
          <w:sz w:val="26"/>
          <w:szCs w:val="26"/>
          <w:highlight w:val="none"/>
        </w:rPr>
        <w:t>甲方有</w:t>
      </w:r>
      <w:r>
        <w:rPr>
          <w:rFonts w:hint="eastAsia" w:ascii="仿宋" w:hAnsi="仿宋" w:eastAsia="仿宋" w:cs="仿宋"/>
          <w:spacing w:val="6"/>
          <w:sz w:val="26"/>
          <w:szCs w:val="26"/>
          <w:highlight w:val="none"/>
        </w:rPr>
        <w:t>权解除合同，乙方应退还不能履行部分的相关费用，且乙方应按合同总</w:t>
      </w:r>
      <w:r>
        <w:rPr>
          <w:rFonts w:hint="eastAsia" w:ascii="仿宋" w:hAnsi="仿宋" w:eastAsia="仿宋" w:cs="仿宋"/>
          <w:spacing w:val="5"/>
          <w:sz w:val="26"/>
          <w:szCs w:val="26"/>
          <w:highlight w:val="none"/>
        </w:rPr>
        <w:t>金额的20%承担违约金。</w:t>
      </w:r>
    </w:p>
    <w:p w14:paraId="21BD400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1"/>
          <w:sz w:val="26"/>
          <w:szCs w:val="26"/>
          <w:highlight w:val="none"/>
        </w:rPr>
        <w:t>(三)乙方未能履行合同中约定的售后服务条款的，乙方应按甲方</w:t>
      </w:r>
      <w:r>
        <w:rPr>
          <w:rFonts w:hint="eastAsia" w:ascii="仿宋" w:hAnsi="仿宋" w:eastAsia="仿宋" w:cs="仿宋"/>
          <w:spacing w:val="7"/>
          <w:sz w:val="26"/>
          <w:szCs w:val="26"/>
          <w:highlight w:val="none"/>
        </w:rPr>
        <w:t>要求限期整改，甲方有权延长免费保修期，并根据所造成损失的</w:t>
      </w:r>
      <w:r>
        <w:rPr>
          <w:rFonts w:hint="eastAsia" w:ascii="仿宋" w:hAnsi="仿宋" w:eastAsia="仿宋" w:cs="仿宋"/>
          <w:spacing w:val="6"/>
          <w:sz w:val="26"/>
          <w:szCs w:val="26"/>
          <w:highlight w:val="none"/>
        </w:rPr>
        <w:t>大小向</w:t>
      </w:r>
      <w:r>
        <w:rPr>
          <w:rFonts w:hint="eastAsia" w:ascii="仿宋" w:hAnsi="仿宋" w:eastAsia="仿宋" w:cs="仿宋"/>
          <w:spacing w:val="14"/>
          <w:sz w:val="26"/>
          <w:szCs w:val="26"/>
          <w:highlight w:val="none"/>
        </w:rPr>
        <w:t>乙方要求赔偿。前述损失包括(但不限于)甲方在紧急情况下临时委托</w:t>
      </w:r>
      <w:r>
        <w:rPr>
          <w:rFonts w:hint="eastAsia" w:ascii="仿宋" w:hAnsi="仿宋" w:eastAsia="仿宋" w:cs="仿宋"/>
          <w:spacing w:val="6"/>
          <w:sz w:val="26"/>
          <w:szCs w:val="26"/>
          <w:highlight w:val="none"/>
        </w:rPr>
        <w:t>第三方提供故障维修或技术支持服务产生的费用。乙方应当在收到甲方</w:t>
      </w:r>
      <w:r>
        <w:rPr>
          <w:rFonts w:hint="eastAsia" w:ascii="仿宋" w:hAnsi="仿宋" w:eastAsia="仿宋" w:cs="仿宋"/>
          <w:spacing w:val="2"/>
          <w:sz w:val="26"/>
          <w:szCs w:val="26"/>
          <w:highlight w:val="none"/>
        </w:rPr>
        <w:t>要求其赔偿的通知之日起</w:t>
      </w:r>
      <w:r>
        <w:rPr>
          <w:rFonts w:hint="eastAsia" w:ascii="仿宋" w:hAnsi="仿宋" w:eastAsia="仿宋" w:cs="仿宋"/>
          <w:spacing w:val="2"/>
          <w:sz w:val="26"/>
          <w:szCs w:val="26"/>
          <w:highlight w:val="none"/>
          <w:u w:val="single" w:color="auto"/>
        </w:rPr>
        <w:t>7</w:t>
      </w:r>
      <w:r>
        <w:rPr>
          <w:rFonts w:hint="eastAsia" w:ascii="仿宋" w:hAnsi="仿宋" w:eastAsia="仿宋" w:cs="仿宋"/>
          <w:spacing w:val="2"/>
          <w:sz w:val="26"/>
          <w:szCs w:val="26"/>
          <w:highlight w:val="none"/>
        </w:rPr>
        <w:t>个工作日内，按照甲方主张的损失金额履行</w:t>
      </w:r>
      <w:r>
        <w:rPr>
          <w:rFonts w:hint="eastAsia" w:ascii="仿宋" w:hAnsi="仿宋" w:eastAsia="仿宋" w:cs="仿宋"/>
          <w:spacing w:val="5"/>
          <w:sz w:val="26"/>
          <w:szCs w:val="26"/>
          <w:highlight w:val="none"/>
        </w:rPr>
        <w:t>赔偿损失的义务。如造成重大损失和严重后果的，除上述违约责任外，甲方还有权追究乙方其他的法律责任。</w:t>
      </w:r>
    </w:p>
    <w:p w14:paraId="55B0CFF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6"/>
          <w:sz w:val="26"/>
          <w:szCs w:val="26"/>
          <w:highlight w:val="none"/>
        </w:rPr>
        <w:t>(四)如乙方提供的设备或软件出现假冒伪</w:t>
      </w:r>
      <w:r>
        <w:rPr>
          <w:rFonts w:hint="eastAsia" w:ascii="仿宋" w:hAnsi="仿宋" w:eastAsia="仿宋" w:cs="仿宋"/>
          <w:spacing w:val="5"/>
          <w:sz w:val="26"/>
          <w:szCs w:val="26"/>
          <w:highlight w:val="none"/>
        </w:rPr>
        <w:t>劣、以次充好等情形的，</w:t>
      </w:r>
      <w:r>
        <w:rPr>
          <w:rFonts w:hint="eastAsia" w:ascii="仿宋" w:hAnsi="仿宋" w:eastAsia="仿宋" w:cs="仿宋"/>
          <w:spacing w:val="6"/>
          <w:sz w:val="26"/>
          <w:szCs w:val="26"/>
          <w:highlight w:val="none"/>
        </w:rPr>
        <w:t>甲方有权解除合同，要求乙方按合同总金额的</w:t>
      </w:r>
      <w:r>
        <w:rPr>
          <w:rFonts w:hint="eastAsia" w:ascii="仿宋" w:hAnsi="仿宋" w:eastAsia="仿宋" w:cs="仿宋"/>
          <w:spacing w:val="6"/>
          <w:sz w:val="26"/>
          <w:szCs w:val="26"/>
          <w:highlight w:val="none"/>
          <w:u w:val="single" w:color="auto"/>
        </w:rPr>
        <w:t>20%</w:t>
      </w:r>
      <w:r>
        <w:rPr>
          <w:rFonts w:hint="eastAsia" w:ascii="仿宋" w:hAnsi="仿宋" w:eastAsia="仿宋" w:cs="仿宋"/>
          <w:spacing w:val="6"/>
          <w:sz w:val="26"/>
          <w:szCs w:val="26"/>
          <w:highlight w:val="none"/>
        </w:rPr>
        <w:t>支付违约</w:t>
      </w:r>
      <w:r>
        <w:rPr>
          <w:rFonts w:hint="eastAsia" w:ascii="仿宋" w:hAnsi="仿宋" w:eastAsia="仿宋" w:cs="仿宋"/>
          <w:spacing w:val="5"/>
          <w:sz w:val="26"/>
          <w:szCs w:val="26"/>
          <w:highlight w:val="none"/>
        </w:rPr>
        <w:t>金，并退还甲方支付的全部款项，甲方尚未支付的不再支付。因前述情形给甲方、</w:t>
      </w:r>
      <w:r>
        <w:rPr>
          <w:rFonts w:hint="eastAsia" w:ascii="仿宋" w:hAnsi="仿宋" w:eastAsia="仿宋" w:cs="仿宋"/>
          <w:spacing w:val="7"/>
          <w:sz w:val="26"/>
          <w:szCs w:val="26"/>
          <w:highlight w:val="none"/>
        </w:rPr>
        <w:t>甲方人员或第三方造成任何人身损害或财产损失</w:t>
      </w:r>
      <w:r>
        <w:rPr>
          <w:rFonts w:hint="eastAsia" w:ascii="仿宋" w:hAnsi="仿宋" w:eastAsia="仿宋" w:cs="仿宋"/>
          <w:spacing w:val="6"/>
          <w:sz w:val="26"/>
          <w:szCs w:val="26"/>
          <w:highlight w:val="none"/>
        </w:rPr>
        <w:t>的，由乙方承担全部相</w:t>
      </w:r>
      <w:r>
        <w:rPr>
          <w:rFonts w:hint="eastAsia" w:ascii="仿宋" w:hAnsi="仿宋" w:eastAsia="仿宋" w:cs="仿宋"/>
          <w:spacing w:val="3"/>
          <w:sz w:val="26"/>
          <w:szCs w:val="26"/>
          <w:highlight w:val="none"/>
        </w:rPr>
        <w:t>关法律责任。乙方行为涉嫌犯罪的，移交司法机关处理。</w:t>
      </w:r>
    </w:p>
    <w:p w14:paraId="4BE56EB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1"/>
          <w:sz w:val="26"/>
          <w:szCs w:val="26"/>
          <w:highlight w:val="none"/>
        </w:rPr>
        <w:t>(五)如乙方或其工作人员违反保密要求，造成不良影响或对甲方</w:t>
      </w:r>
      <w:r>
        <w:rPr>
          <w:rFonts w:hint="eastAsia" w:ascii="仿宋" w:hAnsi="仿宋" w:eastAsia="仿宋" w:cs="仿宋"/>
          <w:spacing w:val="6"/>
          <w:sz w:val="26"/>
          <w:szCs w:val="26"/>
          <w:highlight w:val="none"/>
        </w:rPr>
        <w:t>造成损失的，由此造成的其他一切损失由乙方承担。甲方有权要求乙方消除影响，并按照合同总金额的</w:t>
      </w:r>
      <w:r>
        <w:rPr>
          <w:rFonts w:hint="eastAsia" w:ascii="仿宋" w:hAnsi="仿宋" w:eastAsia="仿宋" w:cs="仿宋"/>
          <w:spacing w:val="6"/>
          <w:sz w:val="26"/>
          <w:szCs w:val="26"/>
          <w:highlight w:val="none"/>
          <w:u w:val="single" w:color="auto"/>
        </w:rPr>
        <w:t>20%</w:t>
      </w:r>
      <w:r>
        <w:rPr>
          <w:rFonts w:hint="eastAsia" w:ascii="仿宋" w:hAnsi="仿宋" w:eastAsia="仿宋" w:cs="仿宋"/>
          <w:spacing w:val="6"/>
          <w:sz w:val="26"/>
          <w:szCs w:val="26"/>
          <w:highlight w:val="none"/>
        </w:rPr>
        <w:t>承担违约责任，乙方</w:t>
      </w:r>
      <w:r>
        <w:rPr>
          <w:rFonts w:hint="eastAsia" w:ascii="仿宋" w:hAnsi="仿宋" w:eastAsia="仿宋" w:cs="仿宋"/>
          <w:spacing w:val="5"/>
          <w:sz w:val="26"/>
          <w:szCs w:val="26"/>
          <w:highlight w:val="none"/>
        </w:rPr>
        <w:t>需对连带的其</w:t>
      </w:r>
      <w:r>
        <w:rPr>
          <w:rFonts w:hint="eastAsia" w:ascii="仿宋" w:hAnsi="仿宋" w:eastAsia="仿宋" w:cs="仿宋"/>
          <w:spacing w:val="1"/>
          <w:sz w:val="26"/>
          <w:szCs w:val="26"/>
          <w:highlight w:val="none"/>
        </w:rPr>
        <w:t>他法律后果承担责任。</w:t>
      </w:r>
    </w:p>
    <w:p w14:paraId="61CF11F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3"/>
          <w:sz w:val="26"/>
          <w:szCs w:val="26"/>
          <w:highlight w:val="none"/>
        </w:rPr>
        <w:t>(六)乙方违约的，甲方经乙方同意有权从应向乙</w:t>
      </w:r>
      <w:r>
        <w:rPr>
          <w:rFonts w:hint="eastAsia" w:ascii="仿宋" w:hAnsi="仿宋" w:eastAsia="仿宋" w:cs="仿宋"/>
          <w:spacing w:val="12"/>
          <w:sz w:val="26"/>
          <w:szCs w:val="26"/>
          <w:highlight w:val="none"/>
        </w:rPr>
        <w:t>方支付的任何一</w:t>
      </w:r>
      <w:r>
        <w:rPr>
          <w:rFonts w:hint="eastAsia" w:ascii="仿宋" w:hAnsi="仿宋" w:eastAsia="仿宋" w:cs="仿宋"/>
          <w:spacing w:val="7"/>
          <w:sz w:val="26"/>
          <w:szCs w:val="26"/>
          <w:highlight w:val="none"/>
        </w:rPr>
        <w:t>笔款项中直接扣除相应违约金或损失赔偿款，直至补偿甲方所遭受的所有损失，扣除所有金额后仍然不足以弥补甲方损失的，甲方有权向乙方</w:t>
      </w:r>
      <w:r>
        <w:rPr>
          <w:rFonts w:hint="eastAsia" w:ascii="仿宋" w:hAnsi="仿宋" w:eastAsia="仿宋" w:cs="仿宋"/>
          <w:spacing w:val="6"/>
          <w:sz w:val="26"/>
          <w:szCs w:val="26"/>
          <w:highlight w:val="none"/>
        </w:rPr>
        <w:t>追偿。如无待支付款项，乙方应当在收到甲方要求</w:t>
      </w:r>
      <w:r>
        <w:rPr>
          <w:rFonts w:hint="eastAsia" w:ascii="仿宋" w:hAnsi="仿宋" w:eastAsia="仿宋" w:cs="仿宋"/>
          <w:spacing w:val="5"/>
          <w:sz w:val="26"/>
          <w:szCs w:val="26"/>
          <w:highlight w:val="none"/>
        </w:rPr>
        <w:t>其赔偿的通知之日起</w:t>
      </w:r>
      <w:r>
        <w:rPr>
          <w:rFonts w:hint="eastAsia" w:ascii="仿宋" w:hAnsi="仿宋" w:eastAsia="仿宋" w:cs="仿宋"/>
          <w:spacing w:val="11"/>
          <w:sz w:val="26"/>
          <w:szCs w:val="26"/>
          <w:highlight w:val="none"/>
        </w:rPr>
        <w:t>7个工作日内按照甲方主张的损失金额履行赔偿损失的义务。如乙方支</w:t>
      </w:r>
      <w:r>
        <w:rPr>
          <w:rFonts w:hint="eastAsia" w:ascii="仿宋" w:hAnsi="仿宋" w:eastAsia="仿宋" w:cs="仿宋"/>
          <w:spacing w:val="7"/>
          <w:sz w:val="26"/>
          <w:szCs w:val="26"/>
          <w:highlight w:val="none"/>
        </w:rPr>
        <w:t>付的违约金不足以弥补甲方的损失，乙方应承担继续赔偿甲方相关损失</w:t>
      </w:r>
      <w:r>
        <w:rPr>
          <w:rFonts w:hint="eastAsia" w:ascii="仿宋" w:hAnsi="仿宋" w:eastAsia="仿宋" w:cs="仿宋"/>
          <w:spacing w:val="10"/>
          <w:sz w:val="26"/>
          <w:szCs w:val="26"/>
          <w:highlight w:val="none"/>
        </w:rPr>
        <w:t>和费用(包括但不限于甲方为维权而支付的调查费、律师费、评估费、</w:t>
      </w:r>
      <w:r>
        <w:rPr>
          <w:rFonts w:hint="eastAsia" w:ascii="仿宋" w:hAnsi="仿宋" w:eastAsia="仿宋" w:cs="仿宋"/>
          <w:spacing w:val="13"/>
          <w:sz w:val="26"/>
          <w:szCs w:val="26"/>
          <w:highlight w:val="none"/>
        </w:rPr>
        <w:t>诉讼费、仲裁费等)的责任。</w:t>
      </w:r>
    </w:p>
    <w:p w14:paraId="14011D1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58" w:firstLineChars="200"/>
        <w:textAlignment w:val="baseline"/>
        <w:outlineLvl w:val="3"/>
        <w:rPr>
          <w:sz w:val="26"/>
          <w:szCs w:val="26"/>
          <w:highlight w:val="none"/>
        </w:rPr>
      </w:pPr>
      <w:r>
        <w:rPr>
          <w:b/>
          <w:bCs/>
          <w:spacing w:val="9"/>
          <w:sz w:val="26"/>
          <w:szCs w:val="26"/>
          <w:highlight w:val="none"/>
        </w:rPr>
        <w:t>第八条不可抗力</w:t>
      </w:r>
    </w:p>
    <w:p w14:paraId="175EBB9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2" w:firstLineChars="200"/>
        <w:textAlignment w:val="baseline"/>
        <w:rPr>
          <w:rFonts w:hint="eastAsia" w:ascii="仿宋" w:hAnsi="仿宋" w:eastAsia="仿宋" w:cs="仿宋"/>
          <w:sz w:val="26"/>
          <w:szCs w:val="26"/>
          <w:highlight w:val="none"/>
        </w:rPr>
      </w:pPr>
      <w:r>
        <w:rPr>
          <w:rFonts w:hint="eastAsia" w:ascii="仿宋" w:hAnsi="仿宋" w:eastAsia="仿宋" w:cs="仿宋"/>
          <w:spacing w:val="13"/>
          <w:sz w:val="26"/>
          <w:szCs w:val="26"/>
          <w:highlight w:val="none"/>
        </w:rPr>
        <w:t>(一)不可抗力是指战争、地震等不能预见、不能避免并不能克服</w:t>
      </w:r>
      <w:r>
        <w:rPr>
          <w:rFonts w:hint="eastAsia" w:ascii="仿宋" w:hAnsi="仿宋" w:eastAsia="仿宋" w:cs="仿宋"/>
          <w:spacing w:val="-3"/>
          <w:sz w:val="26"/>
          <w:szCs w:val="26"/>
          <w:highlight w:val="none"/>
        </w:rPr>
        <w:t>的客观情况。</w:t>
      </w:r>
    </w:p>
    <w:p w14:paraId="5EFEBC05">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72" w:firstLineChars="200"/>
        <w:textAlignment w:val="baseline"/>
        <w:rPr>
          <w:rFonts w:hint="eastAsia" w:ascii="仿宋" w:hAnsi="仿宋" w:eastAsia="仿宋" w:cs="仿宋"/>
          <w:sz w:val="26"/>
          <w:szCs w:val="26"/>
          <w:highlight w:val="none"/>
        </w:rPr>
      </w:pPr>
      <w:r>
        <w:rPr>
          <w:rFonts w:hint="eastAsia" w:ascii="仿宋" w:hAnsi="仿宋" w:eastAsia="仿宋" w:cs="仿宋"/>
          <w:spacing w:val="13"/>
          <w:sz w:val="26"/>
          <w:szCs w:val="26"/>
          <w:highlight w:val="none"/>
        </w:rPr>
        <w:t>(二)如因不可抗力因素造成项目进程之拖延或不能履行合同约定</w:t>
      </w:r>
      <w:r>
        <w:rPr>
          <w:rFonts w:hint="eastAsia" w:ascii="仿宋" w:hAnsi="仿宋" w:eastAsia="仿宋" w:cs="仿宋"/>
          <w:spacing w:val="7"/>
          <w:sz w:val="26"/>
          <w:szCs w:val="26"/>
          <w:highlight w:val="none"/>
        </w:rPr>
        <w:t>的全部或部分义务，则违约责任免于追究。但一方迟延履行合同义务后</w:t>
      </w:r>
      <w:r>
        <w:rPr>
          <w:rFonts w:hint="eastAsia" w:ascii="仿宋" w:hAnsi="仿宋" w:eastAsia="仿宋" w:cs="仿宋"/>
          <w:sz w:val="26"/>
          <w:szCs w:val="26"/>
          <w:highlight w:val="none"/>
        </w:rPr>
        <w:t>发生不可抗力的，不能免除责任。</w:t>
      </w:r>
    </w:p>
    <w:p w14:paraId="54BD51D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(三)遭遇不可抗力事件的一方应及时通知另一方，并在事件发生</w:t>
      </w:r>
      <w:r>
        <w:rPr>
          <w:rFonts w:hint="eastAsia" w:ascii="仿宋" w:hAnsi="仿宋" w:eastAsia="仿宋" w:cs="仿宋"/>
          <w:spacing w:val="-2"/>
          <w:sz w:val="26"/>
          <w:szCs w:val="26"/>
          <w:highlight w:val="none"/>
        </w:rPr>
        <w:t>后.</w:t>
      </w:r>
      <w:r>
        <w:rPr>
          <w:rFonts w:hint="eastAsia" w:ascii="仿宋" w:hAnsi="仿宋" w:eastAsia="仿宋" w:cs="仿宋"/>
          <w:spacing w:val="-2"/>
          <w:sz w:val="26"/>
          <w:szCs w:val="26"/>
          <w:highlight w:val="none"/>
          <w:u w:val="single" w:color="auto"/>
        </w:rPr>
        <w:t>5</w:t>
      </w:r>
      <w:r>
        <w:rPr>
          <w:rFonts w:hint="eastAsia" w:ascii="仿宋" w:hAnsi="仿宋" w:eastAsia="仿宋" w:cs="仿宋"/>
          <w:spacing w:val="-2"/>
          <w:sz w:val="26"/>
          <w:szCs w:val="26"/>
          <w:highlight w:val="none"/>
        </w:rPr>
        <w:t>日里向另一方提供有关该事件的证明文件和书面说明，书面说明中</w:t>
      </w:r>
      <w:r>
        <w:rPr>
          <w:rFonts w:hint="eastAsia" w:ascii="仿宋" w:hAnsi="仿宋" w:eastAsia="仿宋" w:cs="仿宋"/>
          <w:spacing w:val="2"/>
          <w:sz w:val="26"/>
          <w:szCs w:val="26"/>
          <w:highlight w:val="none"/>
        </w:rPr>
        <w:t>应包括不可抗力对合同履行产生影响的原因及程度的说明。</w:t>
      </w:r>
    </w:p>
    <w:p w14:paraId="40D3EDD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(四)遭遇不可抗力事件的一方应采取积极措施防止损失扩大，否</w:t>
      </w:r>
      <w:r>
        <w:rPr>
          <w:rFonts w:hint="eastAsia" w:ascii="仿宋" w:hAnsi="仿宋" w:eastAsia="仿宋" w:cs="仿宋"/>
          <w:spacing w:val="1"/>
          <w:sz w:val="26"/>
          <w:szCs w:val="26"/>
          <w:highlight w:val="none"/>
        </w:rPr>
        <w:t>则应就损失扩大部分向受损方承担赔偿责任。</w:t>
      </w:r>
    </w:p>
    <w:p w14:paraId="2ED2008B">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(五)甲乙双方根据不可抗力对合同履行的影响程度，协</w:t>
      </w:r>
      <w:r>
        <w:rPr>
          <w:rFonts w:hint="eastAsia" w:ascii="仿宋" w:hAnsi="仿宋" w:eastAsia="仿宋" w:cs="仿宋"/>
          <w:spacing w:val="9"/>
          <w:sz w:val="26"/>
          <w:szCs w:val="26"/>
          <w:highlight w:val="none"/>
        </w:rPr>
        <w:t>商确定是</w:t>
      </w:r>
      <w:r>
        <w:rPr>
          <w:rFonts w:hint="eastAsia" w:ascii="仿宋" w:hAnsi="仿宋" w:eastAsia="仿宋" w:cs="仿宋"/>
          <w:sz w:val="26"/>
          <w:szCs w:val="26"/>
          <w:highlight w:val="none"/>
        </w:rPr>
        <w:t>否延期履行、变更或解除合同。</w:t>
      </w:r>
    </w:p>
    <w:p w14:paraId="2A3EAAB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58" w:firstLineChars="200"/>
        <w:textAlignment w:val="baseline"/>
        <w:outlineLvl w:val="3"/>
        <w:rPr>
          <w:b/>
          <w:bCs/>
          <w:spacing w:val="9"/>
          <w:sz w:val="26"/>
          <w:szCs w:val="26"/>
          <w:highlight w:val="none"/>
        </w:rPr>
      </w:pPr>
      <w:r>
        <w:rPr>
          <w:b/>
          <w:bCs/>
          <w:spacing w:val="9"/>
          <w:sz w:val="26"/>
          <w:szCs w:val="26"/>
          <w:highlight w:val="none"/>
        </w:rPr>
        <w:t>第九条风险责任</w:t>
      </w:r>
    </w:p>
    <w:p w14:paraId="2940EB3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64" w:firstLineChars="200"/>
        <w:jc w:val="both"/>
        <w:textAlignment w:val="baseline"/>
        <w:rPr>
          <w:spacing w:val="36"/>
          <w:sz w:val="26"/>
          <w:szCs w:val="26"/>
          <w:highlight w:val="none"/>
        </w:rPr>
      </w:pPr>
      <w:r>
        <w:rPr>
          <w:spacing w:val="36"/>
          <w:sz w:val="26"/>
          <w:szCs w:val="26"/>
          <w:highlight w:val="none"/>
        </w:rPr>
        <w:t>(一)乙方应完全地按照招标文件的要求和乙方投标文件的承诺完成本项目，出于自身财务、技术、人力等原因导致项目失败的，应承担全部责任。</w:t>
      </w:r>
    </w:p>
    <w:p w14:paraId="4148EBE1">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64" w:firstLineChars="200"/>
        <w:jc w:val="both"/>
        <w:textAlignment w:val="baseline"/>
        <w:rPr>
          <w:spacing w:val="36"/>
          <w:sz w:val="26"/>
          <w:szCs w:val="26"/>
          <w:highlight w:val="none"/>
        </w:rPr>
      </w:pPr>
      <w:r>
        <w:rPr>
          <w:spacing w:val="36"/>
          <w:sz w:val="26"/>
          <w:szCs w:val="26"/>
          <w:highlight w:val="none"/>
        </w:rPr>
        <w:t>(二)乙方在实施项目过程中应对自身的安全生产负责，由乙方原因导致的各种事故，甲方不承担任何责任。</w:t>
      </w:r>
    </w:p>
    <w:p w14:paraId="00BE6109">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58" w:firstLineChars="200"/>
        <w:textAlignment w:val="baseline"/>
        <w:outlineLvl w:val="3"/>
        <w:rPr>
          <w:b/>
          <w:bCs/>
          <w:spacing w:val="9"/>
          <w:sz w:val="26"/>
          <w:szCs w:val="26"/>
          <w:highlight w:val="none"/>
        </w:rPr>
      </w:pPr>
      <w:r>
        <w:rPr>
          <w:b/>
          <w:bCs/>
          <w:spacing w:val="9"/>
          <w:sz w:val="26"/>
          <w:szCs w:val="26"/>
          <w:highlight w:val="none"/>
        </w:rPr>
        <w:t>第十条争议解决</w:t>
      </w:r>
    </w:p>
    <w:p w14:paraId="0C55365D">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64" w:firstLineChars="200"/>
        <w:jc w:val="both"/>
        <w:textAlignment w:val="baseline"/>
        <w:rPr>
          <w:sz w:val="26"/>
          <w:szCs w:val="26"/>
          <w:highlight w:val="none"/>
        </w:rPr>
      </w:pPr>
      <w:r>
        <w:rPr>
          <w:spacing w:val="36"/>
          <w:sz w:val="26"/>
          <w:szCs w:val="26"/>
          <w:highlight w:val="none"/>
        </w:rPr>
        <w:t>(一)甲乙双方就合同条款的解释、执行以及</w:t>
      </w:r>
      <w:r>
        <w:rPr>
          <w:spacing w:val="35"/>
          <w:sz w:val="26"/>
          <w:szCs w:val="26"/>
          <w:highlight w:val="none"/>
        </w:rPr>
        <w:t>与项目密切相关的事</w:t>
      </w:r>
      <w:r>
        <w:rPr>
          <w:spacing w:val="36"/>
          <w:sz w:val="26"/>
          <w:szCs w:val="26"/>
          <w:highlight w:val="none"/>
        </w:rPr>
        <w:t>项发生争议，应友好协商解决；协商不成，诉讼</w:t>
      </w:r>
      <w:r>
        <w:rPr>
          <w:spacing w:val="36"/>
          <w:sz w:val="26"/>
          <w:szCs w:val="26"/>
          <w:highlight w:val="none"/>
          <w:u w:val="single" w:color="auto"/>
        </w:rPr>
        <w:t>至深圳市</w:t>
      </w:r>
      <w:r>
        <w:rPr>
          <w:rFonts w:hint="eastAsia"/>
          <w:spacing w:val="36"/>
          <w:sz w:val="26"/>
          <w:szCs w:val="26"/>
          <w:highlight w:val="none"/>
          <w:u w:val="single" w:color="auto"/>
          <w:lang w:val="en-US" w:eastAsia="zh-CN"/>
        </w:rPr>
        <w:t>龙岗</w:t>
      </w:r>
      <w:r>
        <w:rPr>
          <w:spacing w:val="36"/>
          <w:sz w:val="26"/>
          <w:szCs w:val="26"/>
          <w:highlight w:val="none"/>
          <w:u w:val="single" w:color="auto"/>
        </w:rPr>
        <w:t>区人</w:t>
      </w:r>
      <w:r>
        <w:rPr>
          <w:spacing w:val="35"/>
          <w:sz w:val="26"/>
          <w:szCs w:val="26"/>
          <w:highlight w:val="none"/>
          <w:u w:val="single" w:color="auto"/>
        </w:rPr>
        <w:t>民法</w:t>
      </w:r>
      <w:r>
        <w:rPr>
          <w:spacing w:val="21"/>
          <w:sz w:val="26"/>
          <w:szCs w:val="26"/>
          <w:highlight w:val="none"/>
          <w:u w:val="single"/>
        </w:rPr>
        <w:t>院</w:t>
      </w:r>
      <w:r>
        <w:rPr>
          <w:spacing w:val="21"/>
          <w:sz w:val="26"/>
          <w:szCs w:val="26"/>
          <w:highlight w:val="none"/>
        </w:rPr>
        <w:t>解决。</w:t>
      </w:r>
    </w:p>
    <w:p w14:paraId="35677CE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sz w:val="26"/>
          <w:szCs w:val="26"/>
          <w:highlight w:val="none"/>
        </w:rPr>
      </w:pPr>
      <w:r>
        <w:rPr>
          <w:spacing w:val="10"/>
          <w:sz w:val="26"/>
          <w:szCs w:val="26"/>
          <w:highlight w:val="none"/>
        </w:rPr>
        <w:t>(二)本合同履行过程中发生任何纠纷，则本合同首部约定的双方</w:t>
      </w:r>
      <w:r>
        <w:rPr>
          <w:spacing w:val="6"/>
          <w:sz w:val="26"/>
          <w:szCs w:val="26"/>
          <w:highlight w:val="none"/>
        </w:rPr>
        <w:t>地址、电子邮箱、联系方式视为法院邮寄法律文书及邮寄催收函、律师</w:t>
      </w:r>
      <w:r>
        <w:rPr>
          <w:spacing w:val="5"/>
          <w:sz w:val="26"/>
          <w:szCs w:val="26"/>
          <w:highlight w:val="none"/>
        </w:rPr>
        <w:t>函等文件的法定送达地址。若一方地址、联系方式发生变更，应在变更</w:t>
      </w:r>
      <w:r>
        <w:rPr>
          <w:spacing w:val="6"/>
          <w:sz w:val="26"/>
          <w:szCs w:val="26"/>
          <w:highlight w:val="none"/>
        </w:rPr>
        <w:t>后的5日内书面通知其他方，否则，甲方/乙方或争议解决机构按该</w:t>
      </w:r>
      <w:r>
        <w:rPr>
          <w:spacing w:val="5"/>
          <w:sz w:val="26"/>
          <w:szCs w:val="26"/>
          <w:highlight w:val="none"/>
        </w:rPr>
        <w:t>联系</w:t>
      </w:r>
      <w:r>
        <w:rPr>
          <w:spacing w:val="14"/>
          <w:sz w:val="26"/>
          <w:szCs w:val="26"/>
          <w:highlight w:val="none"/>
        </w:rPr>
        <w:t>方式向对方(已变更地址、联系方式的一方)发</w:t>
      </w:r>
      <w:r>
        <w:rPr>
          <w:spacing w:val="13"/>
          <w:sz w:val="26"/>
          <w:szCs w:val="26"/>
          <w:highlight w:val="none"/>
        </w:rPr>
        <w:t>出的文件，如因被拒收</w:t>
      </w:r>
      <w:r>
        <w:rPr>
          <w:spacing w:val="8"/>
          <w:sz w:val="26"/>
          <w:szCs w:val="26"/>
          <w:highlight w:val="none"/>
        </w:rPr>
        <w:t>等非邮政部门原因导致未能送达的，则至迟在邮寄后第3日视为送达，</w:t>
      </w:r>
      <w:r>
        <w:rPr>
          <w:spacing w:val="1"/>
          <w:sz w:val="26"/>
          <w:szCs w:val="26"/>
          <w:highlight w:val="none"/>
        </w:rPr>
        <w:t>同时，按原送达地址和联系方式进行的送达亦有效。</w:t>
      </w:r>
    </w:p>
    <w:p w14:paraId="164765C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firstLine="558" w:firstLineChars="200"/>
        <w:textAlignment w:val="baseline"/>
        <w:outlineLvl w:val="3"/>
        <w:rPr>
          <w:b/>
          <w:bCs/>
          <w:spacing w:val="9"/>
          <w:sz w:val="26"/>
          <w:szCs w:val="26"/>
          <w:highlight w:val="none"/>
        </w:rPr>
      </w:pPr>
      <w:r>
        <w:rPr>
          <w:b/>
          <w:bCs/>
          <w:spacing w:val="9"/>
          <w:sz w:val="26"/>
          <w:szCs w:val="26"/>
          <w:highlight w:val="none"/>
        </w:rPr>
        <w:t>第十一条其他</w:t>
      </w:r>
    </w:p>
    <w:p w14:paraId="028ED976">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(一)下列文件均为本合同的组成部分，与本合同具有同等法律效</w:t>
      </w:r>
      <w:r>
        <w:rPr>
          <w:rFonts w:hint="eastAsia" w:ascii="仿宋" w:hAnsi="仿宋" w:eastAsia="仿宋" w:cs="仿宋"/>
          <w:spacing w:val="-20"/>
          <w:sz w:val="26"/>
          <w:szCs w:val="26"/>
          <w:highlight w:val="none"/>
        </w:rPr>
        <w:t>力：</w:t>
      </w:r>
    </w:p>
    <w:p w14:paraId="54A2DCBC">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2"/>
          <w:sz w:val="26"/>
          <w:szCs w:val="26"/>
          <w:highlight w:val="none"/>
        </w:rPr>
        <w:t>1.招标文件、答疑及补充通知；</w:t>
      </w:r>
    </w:p>
    <w:p w14:paraId="0B2334C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2.投标文件；</w:t>
      </w:r>
    </w:p>
    <w:p w14:paraId="11C68017">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7"/>
          <w:sz w:val="26"/>
          <w:szCs w:val="26"/>
          <w:highlight w:val="none"/>
        </w:rPr>
        <w:t>3.本合同附件；</w:t>
      </w:r>
    </w:p>
    <w:p w14:paraId="7ED6937E">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仿宋" w:hAnsi="仿宋" w:eastAsia="仿宋" w:cs="仿宋"/>
          <w:sz w:val="26"/>
          <w:szCs w:val="26"/>
          <w:highlight w:val="none"/>
        </w:rPr>
      </w:pPr>
      <w:r>
        <w:rPr>
          <w:rFonts w:hint="eastAsia" w:ascii="仿宋" w:hAnsi="仿宋" w:eastAsia="仿宋" w:cs="仿宋"/>
          <w:sz w:val="26"/>
          <w:szCs w:val="26"/>
          <w:highlight w:val="none"/>
        </w:rPr>
        <w:t>4.本合同执行中共同签署的补充与修正文</w:t>
      </w:r>
      <w:r>
        <w:rPr>
          <w:rFonts w:hint="eastAsia" w:ascii="仿宋" w:hAnsi="仿宋" w:eastAsia="仿宋" w:cs="仿宋"/>
          <w:spacing w:val="-1"/>
          <w:sz w:val="26"/>
          <w:szCs w:val="26"/>
          <w:highlight w:val="none"/>
        </w:rPr>
        <w:t>件。</w:t>
      </w:r>
    </w:p>
    <w:p w14:paraId="7D6C017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5"/>
          <w:sz w:val="26"/>
          <w:szCs w:val="26"/>
          <w:highlight w:val="none"/>
        </w:rPr>
        <w:t>本合同及组成部分的各文件条款之间发生冲突时，以签署日期最近</w:t>
      </w:r>
      <w:r>
        <w:rPr>
          <w:rFonts w:hint="eastAsia" w:ascii="仿宋" w:hAnsi="仿宋" w:eastAsia="仿宋" w:cs="仿宋"/>
          <w:spacing w:val="9"/>
          <w:sz w:val="26"/>
          <w:szCs w:val="26"/>
          <w:highlight w:val="none"/>
        </w:rPr>
        <w:t>的文件为准，但不得违反招标文件的要求和投标文件的承诺(乙方履约</w:t>
      </w:r>
      <w:r>
        <w:rPr>
          <w:rFonts w:hint="eastAsia" w:ascii="仿宋" w:hAnsi="仿宋" w:eastAsia="仿宋" w:cs="仿宋"/>
          <w:spacing w:val="1"/>
          <w:sz w:val="26"/>
          <w:szCs w:val="26"/>
          <w:highlight w:val="none"/>
        </w:rPr>
        <w:t>标准高于招标文件和投标文件的除外)。如投标文</w:t>
      </w:r>
      <w:r>
        <w:rPr>
          <w:rFonts w:hint="eastAsia" w:ascii="仿宋" w:hAnsi="仿宋" w:eastAsia="仿宋" w:cs="仿宋"/>
          <w:sz w:val="26"/>
          <w:szCs w:val="26"/>
          <w:highlight w:val="none"/>
        </w:rPr>
        <w:t>件中的设备功能、性能</w:t>
      </w:r>
      <w:r>
        <w:rPr>
          <w:rFonts w:hint="eastAsia" w:ascii="仿宋" w:hAnsi="仿宋" w:eastAsia="仿宋" w:cs="仿宋"/>
          <w:spacing w:val="5"/>
          <w:sz w:val="26"/>
          <w:szCs w:val="26"/>
          <w:highlight w:val="none"/>
        </w:rPr>
        <w:t>及各项技术参数指标低于招标文件时，以招标文件规定为准。本合同附件为合同不可分割组成部分，具有与本合同正文同等法律效力，如附件</w:t>
      </w:r>
      <w:r>
        <w:rPr>
          <w:rFonts w:hint="eastAsia" w:ascii="仿宋" w:hAnsi="仿宋" w:eastAsia="仿宋" w:cs="仿宋"/>
          <w:spacing w:val="2"/>
          <w:sz w:val="26"/>
          <w:szCs w:val="26"/>
          <w:highlight w:val="none"/>
        </w:rPr>
        <w:t>部分条款与本合同正文内容冲突或抵触，以本合同正文条款为准。</w:t>
      </w:r>
    </w:p>
    <w:p w14:paraId="3C67E95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6"/>
          <w:szCs w:val="26"/>
          <w:highlight w:val="none"/>
        </w:rPr>
      </w:pPr>
      <w:r>
        <w:rPr>
          <w:rFonts w:hint="eastAsia" w:ascii="仿宋" w:hAnsi="仿宋" w:eastAsia="仿宋" w:cs="仿宋"/>
          <w:spacing w:val="10"/>
          <w:sz w:val="26"/>
          <w:szCs w:val="26"/>
          <w:highlight w:val="none"/>
        </w:rPr>
        <w:t>(二)关于项目参考标准、采购范围和服务内容、人员资历要求、</w:t>
      </w:r>
      <w:r>
        <w:rPr>
          <w:rFonts w:hint="eastAsia" w:ascii="仿宋" w:hAnsi="仿宋" w:eastAsia="仿宋" w:cs="仿宋"/>
          <w:spacing w:val="8"/>
          <w:sz w:val="26"/>
          <w:szCs w:val="26"/>
          <w:highlight w:val="none"/>
        </w:rPr>
        <w:t>项目管理要求、服务标准要求、安全性能、项目技</w:t>
      </w:r>
      <w:r>
        <w:rPr>
          <w:rFonts w:hint="eastAsia" w:ascii="仿宋" w:hAnsi="仿宋" w:eastAsia="仿宋" w:cs="仿宋"/>
          <w:spacing w:val="7"/>
          <w:sz w:val="26"/>
          <w:szCs w:val="26"/>
          <w:highlight w:val="none"/>
        </w:rPr>
        <w:t>术要求、服务质量要</w:t>
      </w:r>
      <w:r>
        <w:rPr>
          <w:rFonts w:hint="eastAsia" w:ascii="仿宋" w:hAnsi="仿宋" w:eastAsia="仿宋" w:cs="仿宋"/>
          <w:spacing w:val="15"/>
          <w:sz w:val="26"/>
          <w:szCs w:val="26"/>
          <w:highlight w:val="none"/>
        </w:rPr>
        <w:t>求、售后要求(根据招标文件拟定)等与本合同履行有关之要素，如在</w:t>
      </w:r>
      <w:r>
        <w:rPr>
          <w:rFonts w:hint="eastAsia" w:ascii="仿宋" w:hAnsi="仿宋" w:eastAsia="仿宋" w:cs="仿宋"/>
          <w:spacing w:val="-3"/>
          <w:sz w:val="26"/>
          <w:szCs w:val="26"/>
          <w:highlight w:val="none"/>
        </w:rPr>
        <w:t>本合同中未详尽约定则以招标文件为准，“相关要素”以及各要素的概念</w:t>
      </w:r>
      <w:r>
        <w:rPr>
          <w:rFonts w:hint="eastAsia" w:ascii="仿宋" w:hAnsi="仿宋" w:eastAsia="仿宋" w:cs="仿宋"/>
          <w:spacing w:val="7"/>
          <w:sz w:val="26"/>
          <w:szCs w:val="26"/>
          <w:highlight w:val="none"/>
        </w:rPr>
        <w:t>即外延与内涵的解释权与界定权归甲方所有。如相关要素在本合同中与</w:t>
      </w:r>
      <w:r>
        <w:rPr>
          <w:rFonts w:hint="eastAsia" w:ascii="仿宋" w:hAnsi="仿宋" w:eastAsia="仿宋" w:cs="仿宋"/>
          <w:spacing w:val="4"/>
          <w:sz w:val="26"/>
          <w:szCs w:val="26"/>
          <w:highlight w:val="none"/>
        </w:rPr>
        <w:t>招标文件或投标文件承诺不一致的，以性能或标准高者为准。</w:t>
      </w:r>
    </w:p>
    <w:p w14:paraId="43B5D66F">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84" w:firstLineChars="200"/>
        <w:jc w:val="both"/>
        <w:textAlignment w:val="baseline"/>
        <w:rPr>
          <w:sz w:val="26"/>
          <w:szCs w:val="26"/>
          <w:highlight w:val="none"/>
        </w:rPr>
      </w:pPr>
      <w:r>
        <w:rPr>
          <w:spacing w:val="16"/>
          <w:sz w:val="26"/>
          <w:szCs w:val="26"/>
          <w:highlight w:val="none"/>
        </w:rPr>
        <w:t>(三)本合同一</w:t>
      </w:r>
      <w:r>
        <w:rPr>
          <w:spacing w:val="16"/>
          <w:sz w:val="26"/>
          <w:szCs w:val="26"/>
          <w:highlight w:val="none"/>
          <w:u w:val="none" w:color="auto"/>
        </w:rPr>
        <w:t>式</w:t>
      </w:r>
      <w:r>
        <w:rPr>
          <w:spacing w:val="16"/>
          <w:sz w:val="26"/>
          <w:szCs w:val="26"/>
          <w:highlight w:val="none"/>
          <w:u w:val="single" w:color="auto"/>
        </w:rPr>
        <w:t>捌</w:t>
      </w:r>
      <w:r>
        <w:rPr>
          <w:spacing w:val="16"/>
          <w:sz w:val="26"/>
          <w:szCs w:val="26"/>
          <w:highlight w:val="none"/>
        </w:rPr>
        <w:t>份，甲方</w:t>
      </w:r>
      <w:r>
        <w:rPr>
          <w:spacing w:val="16"/>
          <w:sz w:val="26"/>
          <w:szCs w:val="26"/>
          <w:highlight w:val="none"/>
          <w:u w:val="none" w:color="auto"/>
        </w:rPr>
        <w:t>执</w:t>
      </w:r>
      <w:r>
        <w:rPr>
          <w:spacing w:val="16"/>
          <w:sz w:val="26"/>
          <w:szCs w:val="26"/>
          <w:highlight w:val="none"/>
          <w:u w:val="single" w:color="auto"/>
        </w:rPr>
        <w:t>陆</w:t>
      </w:r>
      <w:r>
        <w:rPr>
          <w:spacing w:val="16"/>
          <w:sz w:val="26"/>
          <w:szCs w:val="26"/>
          <w:highlight w:val="none"/>
          <w:u w:val="none" w:color="auto"/>
        </w:rPr>
        <w:t>份</w:t>
      </w:r>
      <w:r>
        <w:rPr>
          <w:spacing w:val="16"/>
          <w:sz w:val="26"/>
          <w:szCs w:val="26"/>
          <w:highlight w:val="none"/>
        </w:rPr>
        <w:t>、乙方</w:t>
      </w:r>
      <w:r>
        <w:rPr>
          <w:spacing w:val="16"/>
          <w:sz w:val="26"/>
          <w:szCs w:val="26"/>
          <w:highlight w:val="none"/>
          <w:u w:val="none" w:color="auto"/>
        </w:rPr>
        <w:t>执</w:t>
      </w:r>
      <w:r>
        <w:rPr>
          <w:spacing w:val="16"/>
          <w:sz w:val="26"/>
          <w:szCs w:val="26"/>
          <w:highlight w:val="none"/>
          <w:u w:val="single" w:color="auto"/>
        </w:rPr>
        <w:t>贰</w:t>
      </w:r>
      <w:r>
        <w:rPr>
          <w:spacing w:val="16"/>
          <w:sz w:val="26"/>
          <w:szCs w:val="26"/>
          <w:highlight w:val="none"/>
          <w:u w:val="none" w:color="auto"/>
        </w:rPr>
        <w:t>份</w:t>
      </w:r>
      <w:r>
        <w:rPr>
          <w:spacing w:val="16"/>
          <w:sz w:val="26"/>
          <w:szCs w:val="26"/>
          <w:highlight w:val="none"/>
        </w:rPr>
        <w:t>，均具有</w:t>
      </w:r>
      <w:r>
        <w:rPr>
          <w:spacing w:val="7"/>
          <w:sz w:val="26"/>
          <w:szCs w:val="26"/>
          <w:highlight w:val="none"/>
        </w:rPr>
        <w:t>同等法律效力。本合同经甲乙双方法定代表人</w:t>
      </w:r>
      <w:r>
        <w:rPr>
          <w:spacing w:val="6"/>
          <w:sz w:val="26"/>
          <w:szCs w:val="26"/>
          <w:highlight w:val="none"/>
        </w:rPr>
        <w:t>或授权代表签字并加盖单</w:t>
      </w:r>
      <w:r>
        <w:rPr>
          <w:spacing w:val="15"/>
          <w:sz w:val="26"/>
          <w:szCs w:val="26"/>
          <w:highlight w:val="none"/>
        </w:rPr>
        <w:t>位公章(或合同专用章)后立即生效。</w:t>
      </w:r>
    </w:p>
    <w:p w14:paraId="7AC9E984">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both"/>
        <w:textAlignment w:val="baseline"/>
        <w:rPr>
          <w:sz w:val="26"/>
          <w:szCs w:val="26"/>
          <w:highlight w:val="none"/>
        </w:rPr>
      </w:pPr>
      <w:r>
        <w:rPr>
          <w:spacing w:val="11"/>
          <w:sz w:val="26"/>
          <w:szCs w:val="26"/>
          <w:highlight w:val="none"/>
        </w:rPr>
        <w:t>(四)本合同未尽事宜经双方友好协商解决，达成一致意见后形成</w:t>
      </w:r>
      <w:r>
        <w:rPr>
          <w:spacing w:val="7"/>
          <w:sz w:val="26"/>
          <w:szCs w:val="26"/>
          <w:highlight w:val="none"/>
        </w:rPr>
        <w:t>补充协议，补充协议与本合同具有同等法律效力。补充协议</w:t>
      </w:r>
      <w:r>
        <w:rPr>
          <w:spacing w:val="6"/>
          <w:sz w:val="26"/>
          <w:szCs w:val="26"/>
          <w:highlight w:val="none"/>
        </w:rPr>
        <w:t>与本合同不</w:t>
      </w:r>
      <w:r>
        <w:rPr>
          <w:spacing w:val="-1"/>
          <w:sz w:val="26"/>
          <w:szCs w:val="26"/>
          <w:highlight w:val="none"/>
        </w:rPr>
        <w:t>一致的，以补充协议为准。</w:t>
      </w:r>
    </w:p>
    <w:p w14:paraId="5F29FDF3">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8" w:firstLineChars="200"/>
        <w:jc w:val="both"/>
        <w:textAlignment w:val="baseline"/>
        <w:rPr>
          <w:sz w:val="26"/>
          <w:szCs w:val="26"/>
          <w:highlight w:val="none"/>
        </w:rPr>
      </w:pPr>
      <w:r>
        <w:rPr>
          <w:spacing w:val="12"/>
          <w:sz w:val="26"/>
          <w:szCs w:val="26"/>
          <w:highlight w:val="none"/>
        </w:rPr>
        <w:t>(五)本合同在中华人民共和国法律、法规和规章规定的范围内执</w:t>
      </w:r>
      <w:r>
        <w:rPr>
          <w:spacing w:val="1"/>
          <w:sz w:val="26"/>
          <w:szCs w:val="26"/>
          <w:highlight w:val="none"/>
        </w:rPr>
        <w:t>行。当国家法律、法规和规章发生变化导致本合同有关条款与之抵触时，</w:t>
      </w:r>
      <w:r>
        <w:rPr>
          <w:spacing w:val="4"/>
          <w:sz w:val="26"/>
          <w:szCs w:val="26"/>
          <w:highlight w:val="none"/>
        </w:rPr>
        <w:t>双方协商变更或废止该条款，在此情况下，双方互不承</w:t>
      </w:r>
      <w:r>
        <w:rPr>
          <w:spacing w:val="3"/>
          <w:sz w:val="26"/>
          <w:szCs w:val="26"/>
          <w:highlight w:val="none"/>
        </w:rPr>
        <w:t>担责任。</w:t>
      </w:r>
    </w:p>
    <w:p w14:paraId="27804328">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92" w:firstLineChars="200"/>
        <w:jc w:val="both"/>
        <w:textAlignment w:val="baseline"/>
        <w:rPr>
          <w:sz w:val="26"/>
          <w:szCs w:val="26"/>
          <w:highlight w:val="none"/>
        </w:rPr>
      </w:pPr>
      <w:r>
        <w:rPr>
          <w:spacing w:val="18"/>
          <w:sz w:val="26"/>
          <w:szCs w:val="26"/>
          <w:highlight w:val="none"/>
        </w:rPr>
        <w:t>(以下无正文)</w:t>
      </w:r>
    </w:p>
    <w:p w14:paraId="4B884A42">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default" w:eastAsia="仿宋"/>
          <w:sz w:val="26"/>
          <w:szCs w:val="26"/>
          <w:highlight w:val="none"/>
          <w:lang w:val="en-US" w:eastAsia="zh-CN"/>
        </w:rPr>
      </w:pPr>
      <w:r>
        <w:rPr>
          <w:spacing w:val="4"/>
          <w:sz w:val="26"/>
          <w:szCs w:val="26"/>
          <w:highlight w:val="none"/>
        </w:rPr>
        <w:t>附件一：项目</w:t>
      </w:r>
      <w:r>
        <w:rPr>
          <w:rFonts w:hint="eastAsia"/>
          <w:spacing w:val="4"/>
          <w:sz w:val="26"/>
          <w:szCs w:val="26"/>
          <w:highlight w:val="none"/>
          <w:lang w:val="en-US" w:eastAsia="zh-CN"/>
        </w:rPr>
        <w:t>任务需求书</w:t>
      </w:r>
    </w:p>
    <w:p w14:paraId="117187C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4" w:firstLineChars="200"/>
        <w:jc w:val="both"/>
        <w:textAlignment w:val="baseline"/>
        <w:rPr>
          <w:sz w:val="26"/>
          <w:szCs w:val="26"/>
          <w:highlight w:val="none"/>
        </w:rPr>
      </w:pPr>
      <w:r>
        <w:rPr>
          <w:spacing w:val="6"/>
          <w:sz w:val="26"/>
          <w:szCs w:val="26"/>
          <w:highlight w:val="none"/>
        </w:rPr>
        <w:t>附件二：项目组成员名单</w:t>
      </w:r>
    </w:p>
    <w:p w14:paraId="636C6000">
      <w:pPr>
        <w:pStyle w:val="6"/>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36" w:firstLineChars="200"/>
        <w:jc w:val="both"/>
        <w:textAlignment w:val="baseline"/>
        <w:rPr>
          <w:rFonts w:hint="eastAsia"/>
          <w:spacing w:val="4"/>
          <w:sz w:val="26"/>
          <w:szCs w:val="26"/>
          <w:highlight w:val="none"/>
          <w:lang w:eastAsia="zh-CN"/>
        </w:rPr>
      </w:pPr>
      <w:r>
        <w:rPr>
          <w:spacing w:val="4"/>
          <w:sz w:val="26"/>
          <w:szCs w:val="26"/>
          <w:highlight w:val="none"/>
        </w:rPr>
        <w:t>附件三：</w:t>
      </w:r>
      <w:r>
        <w:rPr>
          <w:rFonts w:hint="eastAsia"/>
          <w:spacing w:val="4"/>
          <w:sz w:val="26"/>
          <w:szCs w:val="26"/>
          <w:highlight w:val="none"/>
          <w:lang w:eastAsia="zh-CN"/>
        </w:rPr>
        <w:t>龙岗区进一步规范政商交往行为告知书</w:t>
      </w:r>
    </w:p>
    <w:p w14:paraId="2866E05F">
      <w:pPr>
        <w:keepNext w:val="0"/>
        <w:keepLines w:val="0"/>
        <w:pageBreakBefore w:val="0"/>
        <w:widowControl/>
        <w:wordWrap/>
        <w:overflowPunct/>
        <w:topLinePunct w:val="0"/>
        <w:bidi w:val="0"/>
        <w:spacing w:line="440" w:lineRule="exact"/>
        <w:ind w:firstLine="536" w:firstLineChars="200"/>
        <w:jc w:val="left"/>
        <w:outlineLvl w:val="0"/>
        <w:rPr>
          <w:rFonts w:hint="eastAsia" w:ascii="仿宋" w:hAnsi="仿宋" w:eastAsia="仿宋" w:cs="仿宋"/>
          <w:snapToGrid w:val="0"/>
          <w:color w:val="000000"/>
          <w:spacing w:val="4"/>
          <w:kern w:val="0"/>
          <w:sz w:val="26"/>
          <w:szCs w:val="26"/>
          <w:highlight w:val="none"/>
          <w:lang w:val="en-US" w:eastAsia="zh-CN" w:bidi="ar-SA"/>
        </w:rPr>
      </w:pPr>
      <w:r>
        <w:rPr>
          <w:rFonts w:ascii="仿宋" w:hAnsi="仿宋" w:eastAsia="仿宋" w:cs="仿宋"/>
          <w:snapToGrid w:val="0"/>
          <w:color w:val="000000"/>
          <w:spacing w:val="4"/>
          <w:kern w:val="0"/>
          <w:sz w:val="26"/>
          <w:szCs w:val="26"/>
          <w:highlight w:val="none"/>
          <w:lang w:val="en-US" w:eastAsia="en-US" w:bidi="ar-SA"/>
        </w:rPr>
        <w:t>附件</w:t>
      </w:r>
      <w:r>
        <w:rPr>
          <w:rFonts w:hint="eastAsia" w:ascii="仿宋" w:hAnsi="仿宋" w:eastAsia="仿宋" w:cs="仿宋"/>
          <w:snapToGrid w:val="0"/>
          <w:color w:val="000000"/>
          <w:spacing w:val="4"/>
          <w:kern w:val="0"/>
          <w:sz w:val="26"/>
          <w:szCs w:val="26"/>
          <w:highlight w:val="none"/>
          <w:lang w:val="en-US" w:eastAsia="zh-CN" w:bidi="ar-SA"/>
        </w:rPr>
        <w:t>四</w:t>
      </w:r>
      <w:r>
        <w:rPr>
          <w:rFonts w:ascii="仿宋" w:hAnsi="仿宋" w:eastAsia="仿宋" w:cs="仿宋"/>
          <w:snapToGrid w:val="0"/>
          <w:color w:val="000000"/>
          <w:spacing w:val="4"/>
          <w:kern w:val="0"/>
          <w:sz w:val="26"/>
          <w:szCs w:val="26"/>
          <w:highlight w:val="none"/>
          <w:lang w:val="en-US" w:eastAsia="en-US" w:bidi="ar-SA"/>
        </w:rPr>
        <w:t>：</w:t>
      </w:r>
      <w:r>
        <w:rPr>
          <w:rFonts w:hint="eastAsia" w:ascii="仿宋" w:hAnsi="仿宋" w:eastAsia="仿宋" w:cs="仿宋"/>
          <w:snapToGrid w:val="0"/>
          <w:color w:val="000000"/>
          <w:spacing w:val="4"/>
          <w:kern w:val="0"/>
          <w:sz w:val="26"/>
          <w:szCs w:val="26"/>
          <w:highlight w:val="none"/>
          <w:lang w:val="en-US" w:eastAsia="zh-CN" w:bidi="ar-SA"/>
        </w:rPr>
        <w:t>履约评价表</w:t>
      </w:r>
    </w:p>
    <w:p w14:paraId="26F37AF2">
      <w:pPr>
        <w:pStyle w:val="6"/>
        <w:spacing w:before="11" w:line="220" w:lineRule="auto"/>
        <w:ind w:left="904"/>
        <w:rPr>
          <w:sz w:val="26"/>
          <w:szCs w:val="26"/>
        </w:rPr>
      </w:pPr>
    </w:p>
    <w:p w14:paraId="337BBDF7">
      <w:pPr>
        <w:spacing w:line="289" w:lineRule="auto"/>
        <w:rPr>
          <w:rFonts w:ascii="Arial"/>
          <w:sz w:val="21"/>
        </w:rPr>
      </w:pPr>
    </w:p>
    <w:p w14:paraId="35673FB5">
      <w:pPr>
        <w:spacing w:line="289" w:lineRule="auto"/>
        <w:rPr>
          <w:rFonts w:ascii="Arial"/>
          <w:sz w:val="21"/>
        </w:rPr>
      </w:pPr>
    </w:p>
    <w:p w14:paraId="047D6197">
      <w:pPr>
        <w:pStyle w:val="6"/>
        <w:spacing w:before="85" w:line="443" w:lineRule="auto"/>
        <w:ind w:left="324" w:right="2366" w:firstLine="29"/>
        <w:rPr>
          <w:b/>
          <w:bCs/>
          <w:spacing w:val="18"/>
          <w:sz w:val="26"/>
          <w:szCs w:val="26"/>
        </w:rPr>
      </w:pPr>
      <w:r>
        <w:rPr>
          <w:b/>
          <w:bCs/>
          <w:spacing w:val="18"/>
          <w:sz w:val="26"/>
          <w:szCs w:val="26"/>
        </w:rPr>
        <w:t>甲方(盖章):</w:t>
      </w:r>
    </w:p>
    <w:p w14:paraId="6A637330">
      <w:pPr>
        <w:pStyle w:val="6"/>
        <w:spacing w:before="85" w:line="443" w:lineRule="auto"/>
        <w:ind w:left="324" w:right="2366" w:firstLine="29"/>
        <w:rPr>
          <w:sz w:val="26"/>
          <w:szCs w:val="26"/>
        </w:rPr>
      </w:pPr>
      <w:r>
        <w:rPr>
          <w:spacing w:val="15"/>
          <w:sz w:val="26"/>
          <w:szCs w:val="26"/>
        </w:rPr>
        <w:t>法定代表人或授权代表(签字或盖章):</w:t>
      </w:r>
    </w:p>
    <w:p w14:paraId="4647B04B">
      <w:pPr>
        <w:spacing w:line="359" w:lineRule="auto"/>
        <w:ind w:firstLine="290" w:firstLineChars="100"/>
        <w:rPr>
          <w:rFonts w:ascii="仿宋" w:hAnsi="仿宋" w:eastAsia="仿宋" w:cs="仿宋"/>
          <w:snapToGrid w:val="0"/>
          <w:color w:val="000000"/>
          <w:spacing w:val="15"/>
          <w:kern w:val="0"/>
          <w:sz w:val="26"/>
          <w:szCs w:val="26"/>
          <w:lang w:val="en-US" w:eastAsia="en-US" w:bidi="ar-SA"/>
        </w:rPr>
      </w:pPr>
      <w:r>
        <w:rPr>
          <w:rFonts w:hint="eastAsia" w:ascii="仿宋" w:hAnsi="仿宋" w:eastAsia="仿宋" w:cs="仿宋"/>
          <w:snapToGrid w:val="0"/>
          <w:color w:val="000000"/>
          <w:spacing w:val="15"/>
          <w:kern w:val="0"/>
          <w:sz w:val="26"/>
          <w:szCs w:val="26"/>
          <w:lang w:val="en-US" w:eastAsia="zh-CN" w:bidi="ar-SA"/>
        </w:rPr>
        <w:t xml:space="preserve">签约日期：    年   月   日  </w:t>
      </w:r>
    </w:p>
    <w:p w14:paraId="1E70CA7B">
      <w:pPr>
        <w:spacing w:line="359" w:lineRule="auto"/>
        <w:rPr>
          <w:rFonts w:ascii="Arial"/>
          <w:sz w:val="21"/>
        </w:rPr>
      </w:pPr>
    </w:p>
    <w:p w14:paraId="162C7986">
      <w:pPr>
        <w:spacing w:before="85" w:line="219" w:lineRule="auto"/>
        <w:ind w:left="5800"/>
        <w:rPr>
          <w:rFonts w:ascii="宋体" w:hAnsi="宋体" w:eastAsia="宋体" w:cs="宋体"/>
          <w:sz w:val="26"/>
          <w:szCs w:val="26"/>
        </w:rPr>
      </w:pPr>
    </w:p>
    <w:p w14:paraId="435D286E">
      <w:pPr>
        <w:pStyle w:val="6"/>
        <w:spacing w:before="157" w:line="221" w:lineRule="auto"/>
        <w:ind w:left="314"/>
        <w:rPr>
          <w:b/>
          <w:bCs/>
          <w:sz w:val="26"/>
          <w:szCs w:val="26"/>
        </w:rPr>
      </w:pPr>
      <w:r>
        <w:rPr>
          <w:b/>
          <w:bCs/>
          <w:spacing w:val="20"/>
          <w:sz w:val="26"/>
          <w:szCs w:val="26"/>
        </w:rPr>
        <w:t>乙方(盖章):</w:t>
      </w:r>
    </w:p>
    <w:p w14:paraId="785CCF5E">
      <w:pPr>
        <w:pStyle w:val="6"/>
        <w:spacing w:before="321" w:line="222" w:lineRule="auto"/>
        <w:ind w:left="285"/>
        <w:rPr>
          <w:sz w:val="26"/>
          <w:szCs w:val="26"/>
        </w:rPr>
      </w:pPr>
      <w:r>
        <w:rPr>
          <w:spacing w:val="15"/>
          <w:sz w:val="26"/>
          <w:szCs w:val="26"/>
        </w:rPr>
        <w:t>法定代表人或授权代表(签字或盖章):</w:t>
      </w:r>
    </w:p>
    <w:p w14:paraId="6E6490EB">
      <w:pPr>
        <w:spacing w:line="252" w:lineRule="auto"/>
        <w:rPr>
          <w:rFonts w:ascii="Arial"/>
          <w:sz w:val="21"/>
        </w:rPr>
      </w:pPr>
    </w:p>
    <w:p w14:paraId="69A730AB">
      <w:pPr>
        <w:spacing w:line="252" w:lineRule="auto"/>
        <w:ind w:firstLine="290" w:firstLineChars="100"/>
        <w:rPr>
          <w:rFonts w:ascii="仿宋" w:hAnsi="仿宋" w:eastAsia="仿宋" w:cs="仿宋"/>
          <w:snapToGrid w:val="0"/>
          <w:color w:val="000000"/>
          <w:spacing w:val="15"/>
          <w:kern w:val="0"/>
          <w:sz w:val="26"/>
          <w:szCs w:val="26"/>
          <w:lang w:val="en-US" w:eastAsia="en-US" w:bidi="ar-SA"/>
        </w:rPr>
      </w:pPr>
      <w:r>
        <w:rPr>
          <w:rFonts w:hint="eastAsia" w:ascii="仿宋" w:hAnsi="仿宋" w:eastAsia="仿宋" w:cs="仿宋"/>
          <w:snapToGrid w:val="0"/>
          <w:color w:val="000000"/>
          <w:spacing w:val="15"/>
          <w:kern w:val="0"/>
          <w:sz w:val="26"/>
          <w:szCs w:val="26"/>
          <w:lang w:val="en-US" w:eastAsia="zh-CN" w:bidi="ar-SA"/>
        </w:rPr>
        <w:t xml:space="preserve">签约日期：    年   月   日 </w:t>
      </w:r>
    </w:p>
    <w:p w14:paraId="47D2F7E0">
      <w:pPr>
        <w:spacing w:line="252" w:lineRule="auto"/>
        <w:rPr>
          <w:rFonts w:ascii="Arial"/>
          <w:sz w:val="21"/>
        </w:rPr>
      </w:pPr>
    </w:p>
    <w:p w14:paraId="61FD7E98">
      <w:pPr>
        <w:spacing w:line="252" w:lineRule="auto"/>
        <w:rPr>
          <w:rFonts w:ascii="Arial"/>
          <w:sz w:val="21"/>
        </w:rPr>
      </w:pPr>
    </w:p>
    <w:p w14:paraId="3AF9D443">
      <w:pPr>
        <w:pStyle w:val="6"/>
        <w:spacing w:before="157" w:line="221" w:lineRule="auto"/>
        <w:ind w:left="245"/>
        <w:rPr>
          <w:rFonts w:hint="eastAsia" w:eastAsia="仿宋"/>
          <w:sz w:val="26"/>
          <w:szCs w:val="26"/>
          <w:lang w:eastAsia="zh-CN"/>
        </w:rPr>
      </w:pPr>
      <w:r>
        <w:rPr>
          <w:spacing w:val="11"/>
          <w:sz w:val="26"/>
          <w:szCs w:val="26"/>
        </w:rPr>
        <w:t>签订地点：</w:t>
      </w:r>
      <w:r>
        <w:rPr>
          <w:spacing w:val="11"/>
          <w:sz w:val="26"/>
          <w:szCs w:val="26"/>
          <w:u w:val="single" w:color="auto"/>
        </w:rPr>
        <w:t>深圳市</w:t>
      </w:r>
      <w:r>
        <w:rPr>
          <w:rFonts w:hint="eastAsia"/>
          <w:spacing w:val="11"/>
          <w:sz w:val="26"/>
          <w:szCs w:val="26"/>
          <w:u w:val="single" w:color="auto"/>
          <w:lang w:val="en-US" w:eastAsia="zh-CN"/>
        </w:rPr>
        <w:t>龙岗区</w:t>
      </w:r>
    </w:p>
    <w:p w14:paraId="203DB923">
      <w:pPr>
        <w:spacing w:line="221" w:lineRule="auto"/>
        <w:rPr>
          <w:sz w:val="26"/>
          <w:szCs w:val="26"/>
        </w:rPr>
        <w:sectPr>
          <w:footerReference r:id="rId5" w:type="default"/>
          <w:pgSz w:w="11900" w:h="16830"/>
          <w:pgMar w:top="1419" w:right="1379" w:bottom="1526" w:left="1785" w:header="0" w:footer="1214" w:gutter="0"/>
          <w:pgNumType w:fmt="decimal"/>
          <w:cols w:space="720" w:num="1"/>
        </w:sectPr>
      </w:pPr>
    </w:p>
    <w:p w14:paraId="3613760A">
      <w:pPr>
        <w:pStyle w:val="6"/>
        <w:spacing w:before="202" w:line="213" w:lineRule="auto"/>
        <w:ind w:left="188"/>
        <w:rPr>
          <w:sz w:val="21"/>
          <w:szCs w:val="21"/>
        </w:rPr>
      </w:pPr>
      <w:r>
        <w:rPr>
          <w:b/>
          <w:bCs/>
          <w:spacing w:val="23"/>
          <w:sz w:val="21"/>
          <w:szCs w:val="21"/>
        </w:rPr>
        <w:t>附件一：</w:t>
      </w:r>
    </w:p>
    <w:p w14:paraId="146A7C1A">
      <w:pPr>
        <w:spacing w:before="1" w:line="217" w:lineRule="auto"/>
        <w:ind w:left="2799"/>
        <w:rPr>
          <w:rFonts w:hint="default" w:ascii="宋体" w:hAnsi="宋体" w:eastAsia="宋体" w:cs="宋体"/>
          <w:sz w:val="30"/>
          <w:szCs w:val="30"/>
          <w:lang w:val="en-US" w:eastAsia="zh-CN"/>
        </w:rPr>
      </w:pPr>
      <w:r>
        <w:rPr>
          <w:rFonts w:ascii="宋体" w:hAnsi="宋体" w:eastAsia="宋体" w:cs="宋体"/>
          <w:b/>
          <w:bCs/>
          <w:spacing w:val="-2"/>
          <w:sz w:val="30"/>
          <w:szCs w:val="30"/>
        </w:rPr>
        <w:t>项目</w:t>
      </w:r>
      <w:r>
        <w:rPr>
          <w:rFonts w:hint="eastAsia" w:ascii="宋体" w:hAnsi="宋体" w:eastAsia="宋体" w:cs="宋体"/>
          <w:b/>
          <w:bCs/>
          <w:spacing w:val="-2"/>
          <w:sz w:val="30"/>
          <w:szCs w:val="30"/>
          <w:lang w:val="en-US" w:eastAsia="zh-CN"/>
        </w:rPr>
        <w:t>任务需求书（另附）</w:t>
      </w:r>
    </w:p>
    <w:p w14:paraId="2638F151">
      <w:pPr>
        <w:spacing w:line="243" w:lineRule="auto"/>
        <w:rPr>
          <w:rFonts w:ascii="宋体" w:hAnsi="宋体" w:eastAsia="宋体" w:cs="宋体"/>
          <w:sz w:val="20"/>
          <w:szCs w:val="20"/>
        </w:rPr>
        <w:sectPr>
          <w:pgSz w:w="11900" w:h="16830"/>
          <w:pgMar w:top="1430" w:right="1486" w:bottom="1491" w:left="1785" w:header="0" w:footer="1254" w:gutter="0"/>
          <w:pgNumType w:fmt="decimal"/>
          <w:cols w:space="720" w:num="1"/>
        </w:sectPr>
      </w:pPr>
    </w:p>
    <w:p w14:paraId="1C266871">
      <w:pPr>
        <w:pStyle w:val="6"/>
        <w:spacing w:before="203" w:line="222" w:lineRule="auto"/>
        <w:ind w:left="107"/>
        <w:rPr>
          <w:sz w:val="21"/>
          <w:szCs w:val="21"/>
        </w:rPr>
      </w:pPr>
      <w:r>
        <w:rPr>
          <w:b/>
          <w:bCs/>
          <w:spacing w:val="-17"/>
          <w:sz w:val="21"/>
          <w:szCs w:val="21"/>
        </w:rPr>
        <w:t>附件二：</w:t>
      </w:r>
    </w:p>
    <w:p w14:paraId="46D245FC">
      <w:pPr>
        <w:spacing w:before="92" w:line="220" w:lineRule="auto"/>
        <w:ind w:left="3149"/>
        <w:rPr>
          <w:rFonts w:ascii="宋体" w:hAnsi="宋体" w:eastAsia="宋体" w:cs="宋体"/>
          <w:sz w:val="30"/>
          <w:szCs w:val="30"/>
        </w:rPr>
      </w:pPr>
      <w:r>
        <w:rPr>
          <w:rFonts w:ascii="宋体" w:hAnsi="宋体" w:eastAsia="宋体" w:cs="宋体"/>
          <w:b/>
          <w:bCs/>
          <w:sz w:val="30"/>
          <w:szCs w:val="30"/>
        </w:rPr>
        <w:t>项目组成员名单</w:t>
      </w:r>
    </w:p>
    <w:p w14:paraId="791A7049">
      <w:pPr>
        <w:spacing w:before="3"/>
      </w:pPr>
    </w:p>
    <w:p w14:paraId="7C3EF6AE">
      <w:pPr>
        <w:spacing w:before="2"/>
      </w:pPr>
    </w:p>
    <w:tbl>
      <w:tblPr>
        <w:tblStyle w:val="14"/>
        <w:tblW w:w="8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
        <w:gridCol w:w="1128"/>
        <w:gridCol w:w="999"/>
        <w:gridCol w:w="2677"/>
        <w:gridCol w:w="1968"/>
        <w:gridCol w:w="1423"/>
      </w:tblGrid>
      <w:tr w14:paraId="1C43B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354" w:type="dxa"/>
            <w:textDirection w:val="tbRlV"/>
            <w:vAlign w:val="top"/>
          </w:tcPr>
          <w:p w14:paraId="236596AF">
            <w:pPr>
              <w:pStyle w:val="15"/>
              <w:spacing w:before="100" w:line="199" w:lineRule="auto"/>
              <w:ind w:left="133"/>
              <w:rPr>
                <w:sz w:val="18"/>
                <w:szCs w:val="18"/>
              </w:rPr>
            </w:pPr>
            <w:r>
              <w:rPr>
                <w:b/>
                <w:bCs/>
                <w:spacing w:val="-2"/>
                <w:sz w:val="18"/>
                <w:szCs w:val="18"/>
              </w:rPr>
              <w:t>序号</w:t>
            </w:r>
          </w:p>
        </w:tc>
        <w:tc>
          <w:tcPr>
            <w:tcW w:w="1128" w:type="dxa"/>
            <w:vAlign w:val="top"/>
          </w:tcPr>
          <w:p w14:paraId="5B5533BC">
            <w:pPr>
              <w:pStyle w:val="15"/>
              <w:spacing w:before="281" w:line="219" w:lineRule="auto"/>
              <w:ind w:left="324"/>
              <w:rPr>
                <w:sz w:val="23"/>
                <w:szCs w:val="23"/>
              </w:rPr>
            </w:pPr>
            <w:r>
              <w:rPr>
                <w:b/>
                <w:bCs/>
                <w:spacing w:val="9"/>
                <w:sz w:val="23"/>
                <w:szCs w:val="23"/>
              </w:rPr>
              <w:t>姓名</w:t>
            </w:r>
          </w:p>
        </w:tc>
        <w:tc>
          <w:tcPr>
            <w:tcW w:w="999" w:type="dxa"/>
            <w:vAlign w:val="top"/>
          </w:tcPr>
          <w:p w14:paraId="250A3DF6">
            <w:pPr>
              <w:pStyle w:val="15"/>
              <w:spacing w:before="149" w:line="250" w:lineRule="auto"/>
              <w:ind w:left="315" w:right="284"/>
              <w:rPr>
                <w:sz w:val="18"/>
                <w:szCs w:val="18"/>
              </w:rPr>
            </w:pPr>
            <w:r>
              <w:rPr>
                <w:b/>
                <w:bCs/>
                <w:spacing w:val="12"/>
                <w:sz w:val="18"/>
                <w:szCs w:val="18"/>
              </w:rPr>
              <w:t>项目</w:t>
            </w:r>
            <w:r>
              <w:rPr>
                <w:b/>
                <w:bCs/>
                <w:spacing w:val="-4"/>
                <w:sz w:val="18"/>
                <w:szCs w:val="18"/>
              </w:rPr>
              <w:t>职位</w:t>
            </w:r>
          </w:p>
        </w:tc>
        <w:tc>
          <w:tcPr>
            <w:tcW w:w="2677" w:type="dxa"/>
            <w:vAlign w:val="top"/>
          </w:tcPr>
          <w:p w14:paraId="0D93087D">
            <w:pPr>
              <w:pStyle w:val="15"/>
              <w:spacing w:before="140" w:line="210" w:lineRule="auto"/>
              <w:ind w:left="297" w:right="256"/>
              <w:rPr>
                <w:sz w:val="23"/>
                <w:szCs w:val="23"/>
              </w:rPr>
            </w:pPr>
            <w:r>
              <w:rPr>
                <w:b/>
                <w:bCs/>
                <w:spacing w:val="1"/>
                <w:sz w:val="23"/>
                <w:szCs w:val="23"/>
              </w:rPr>
              <w:t>专业技术职称(资质)</w:t>
            </w:r>
            <w:r>
              <w:rPr>
                <w:b/>
                <w:bCs/>
                <w:spacing w:val="-4"/>
                <w:sz w:val="23"/>
                <w:szCs w:val="23"/>
              </w:rPr>
              <w:t>或毕业院校所学专业</w:t>
            </w:r>
          </w:p>
        </w:tc>
        <w:tc>
          <w:tcPr>
            <w:tcW w:w="1968" w:type="dxa"/>
            <w:vAlign w:val="top"/>
          </w:tcPr>
          <w:p w14:paraId="0870FCD6">
            <w:pPr>
              <w:pStyle w:val="15"/>
              <w:spacing w:before="150" w:line="247" w:lineRule="auto"/>
              <w:ind w:left="348" w:right="134" w:hanging="179"/>
              <w:rPr>
                <w:sz w:val="18"/>
                <w:szCs w:val="18"/>
              </w:rPr>
            </w:pPr>
            <w:r>
              <w:rPr>
                <w:b/>
                <w:bCs/>
                <w:spacing w:val="1"/>
                <w:sz w:val="18"/>
                <w:szCs w:val="18"/>
              </w:rPr>
              <w:t>专业技术职称(资质)</w:t>
            </w:r>
            <w:r>
              <w:rPr>
                <w:b/>
                <w:bCs/>
                <w:spacing w:val="-4"/>
                <w:sz w:val="18"/>
                <w:szCs w:val="18"/>
              </w:rPr>
              <w:t>或毕业证书编号</w:t>
            </w:r>
          </w:p>
        </w:tc>
        <w:tc>
          <w:tcPr>
            <w:tcW w:w="1423" w:type="dxa"/>
            <w:vAlign w:val="top"/>
          </w:tcPr>
          <w:p w14:paraId="71229DBF">
            <w:pPr>
              <w:pStyle w:val="15"/>
              <w:spacing w:before="298" w:line="219" w:lineRule="auto"/>
              <w:ind w:left="351"/>
              <w:rPr>
                <w:sz w:val="18"/>
                <w:szCs w:val="18"/>
              </w:rPr>
            </w:pPr>
            <w:r>
              <w:rPr>
                <w:b/>
                <w:bCs/>
                <w:spacing w:val="-4"/>
                <w:sz w:val="18"/>
                <w:szCs w:val="18"/>
              </w:rPr>
              <w:t>手机号码</w:t>
            </w:r>
          </w:p>
        </w:tc>
      </w:tr>
      <w:tr w14:paraId="50466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354" w:type="dxa"/>
            <w:vAlign w:val="top"/>
          </w:tcPr>
          <w:p w14:paraId="0301B002">
            <w:pPr>
              <w:pStyle w:val="15"/>
              <w:spacing w:before="296" w:line="241" w:lineRule="auto"/>
              <w:ind w:left="124"/>
              <w:rPr>
                <w:sz w:val="18"/>
                <w:szCs w:val="18"/>
              </w:rPr>
            </w:pPr>
          </w:p>
        </w:tc>
        <w:tc>
          <w:tcPr>
            <w:tcW w:w="1128" w:type="dxa"/>
            <w:vAlign w:val="top"/>
          </w:tcPr>
          <w:p w14:paraId="44BA77ED">
            <w:pPr>
              <w:pStyle w:val="15"/>
              <w:spacing w:before="260" w:line="219" w:lineRule="auto"/>
              <w:ind w:left="211"/>
              <w:rPr>
                <w:sz w:val="23"/>
                <w:szCs w:val="23"/>
              </w:rPr>
            </w:pPr>
          </w:p>
        </w:tc>
        <w:tc>
          <w:tcPr>
            <w:tcW w:w="999" w:type="dxa"/>
            <w:vAlign w:val="top"/>
          </w:tcPr>
          <w:p w14:paraId="1D40EE51">
            <w:pPr>
              <w:pStyle w:val="15"/>
              <w:spacing w:before="14" w:line="219" w:lineRule="auto"/>
              <w:ind w:left="222"/>
              <w:rPr>
                <w:sz w:val="18"/>
                <w:szCs w:val="18"/>
              </w:rPr>
            </w:pPr>
          </w:p>
        </w:tc>
        <w:tc>
          <w:tcPr>
            <w:tcW w:w="2677" w:type="dxa"/>
            <w:vAlign w:val="top"/>
          </w:tcPr>
          <w:p w14:paraId="61A5D28B">
            <w:pPr>
              <w:pStyle w:val="15"/>
              <w:spacing w:before="158" w:line="238" w:lineRule="auto"/>
              <w:ind w:left="164" w:right="123" w:firstLine="89"/>
              <w:rPr>
                <w:sz w:val="18"/>
                <w:szCs w:val="18"/>
              </w:rPr>
            </w:pPr>
          </w:p>
        </w:tc>
        <w:tc>
          <w:tcPr>
            <w:tcW w:w="1968" w:type="dxa"/>
            <w:vAlign w:val="top"/>
          </w:tcPr>
          <w:p w14:paraId="5055883C">
            <w:pPr>
              <w:pStyle w:val="15"/>
              <w:spacing w:before="13" w:line="184" w:lineRule="auto"/>
              <w:ind w:left="167"/>
              <w:rPr>
                <w:sz w:val="18"/>
                <w:szCs w:val="18"/>
              </w:rPr>
            </w:pPr>
          </w:p>
        </w:tc>
        <w:tc>
          <w:tcPr>
            <w:tcW w:w="1423" w:type="dxa"/>
            <w:vAlign w:val="top"/>
          </w:tcPr>
          <w:p w14:paraId="297EF571">
            <w:pPr>
              <w:pStyle w:val="15"/>
              <w:spacing w:before="295"/>
              <w:ind w:left="208"/>
              <w:rPr>
                <w:sz w:val="18"/>
                <w:szCs w:val="18"/>
              </w:rPr>
            </w:pPr>
          </w:p>
        </w:tc>
      </w:tr>
      <w:tr w14:paraId="4462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54" w:type="dxa"/>
            <w:vAlign w:val="top"/>
          </w:tcPr>
          <w:p w14:paraId="393514B9">
            <w:pPr>
              <w:pStyle w:val="15"/>
              <w:spacing w:before="296" w:line="241" w:lineRule="auto"/>
              <w:ind w:left="124"/>
              <w:rPr>
                <w:sz w:val="18"/>
                <w:szCs w:val="18"/>
              </w:rPr>
            </w:pPr>
          </w:p>
        </w:tc>
        <w:tc>
          <w:tcPr>
            <w:tcW w:w="1128" w:type="dxa"/>
            <w:vAlign w:val="top"/>
          </w:tcPr>
          <w:p w14:paraId="621E33EF">
            <w:pPr>
              <w:pStyle w:val="15"/>
              <w:spacing w:before="260" w:line="219" w:lineRule="auto"/>
              <w:ind w:left="211"/>
              <w:rPr>
                <w:sz w:val="23"/>
                <w:szCs w:val="23"/>
              </w:rPr>
            </w:pPr>
          </w:p>
        </w:tc>
        <w:tc>
          <w:tcPr>
            <w:tcW w:w="999" w:type="dxa"/>
            <w:vAlign w:val="top"/>
          </w:tcPr>
          <w:p w14:paraId="394A88D1">
            <w:pPr>
              <w:pStyle w:val="15"/>
              <w:spacing w:before="179" w:line="239" w:lineRule="auto"/>
              <w:ind w:left="312" w:right="235" w:hanging="90"/>
              <w:rPr>
                <w:sz w:val="18"/>
                <w:szCs w:val="18"/>
              </w:rPr>
            </w:pPr>
          </w:p>
        </w:tc>
        <w:tc>
          <w:tcPr>
            <w:tcW w:w="2677" w:type="dxa"/>
            <w:vAlign w:val="top"/>
          </w:tcPr>
          <w:p w14:paraId="02E39BE1">
            <w:pPr>
              <w:pStyle w:val="15"/>
              <w:spacing w:before="30" w:line="222" w:lineRule="auto"/>
              <w:ind w:left="1103"/>
              <w:rPr>
                <w:sz w:val="18"/>
                <w:szCs w:val="18"/>
              </w:rPr>
            </w:pPr>
          </w:p>
        </w:tc>
        <w:tc>
          <w:tcPr>
            <w:tcW w:w="1968" w:type="dxa"/>
            <w:vAlign w:val="top"/>
          </w:tcPr>
          <w:p w14:paraId="612289B8">
            <w:pPr>
              <w:pStyle w:val="15"/>
              <w:spacing w:before="295"/>
              <w:ind w:left="666"/>
              <w:rPr>
                <w:sz w:val="18"/>
                <w:szCs w:val="18"/>
              </w:rPr>
            </w:pPr>
          </w:p>
        </w:tc>
        <w:tc>
          <w:tcPr>
            <w:tcW w:w="1423" w:type="dxa"/>
            <w:vAlign w:val="top"/>
          </w:tcPr>
          <w:p w14:paraId="1823C3B6">
            <w:pPr>
              <w:pStyle w:val="15"/>
              <w:spacing w:before="295"/>
              <w:ind w:left="208"/>
              <w:rPr>
                <w:sz w:val="18"/>
                <w:szCs w:val="18"/>
              </w:rPr>
            </w:pPr>
          </w:p>
        </w:tc>
      </w:tr>
      <w:tr w14:paraId="2B50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54" w:type="dxa"/>
            <w:vAlign w:val="top"/>
          </w:tcPr>
          <w:p w14:paraId="01F6C664">
            <w:pPr>
              <w:pStyle w:val="15"/>
              <w:spacing w:before="296"/>
              <w:ind w:left="124"/>
              <w:rPr>
                <w:sz w:val="18"/>
                <w:szCs w:val="18"/>
              </w:rPr>
            </w:pPr>
          </w:p>
        </w:tc>
        <w:tc>
          <w:tcPr>
            <w:tcW w:w="1128" w:type="dxa"/>
            <w:vAlign w:val="top"/>
          </w:tcPr>
          <w:p w14:paraId="27A45862">
            <w:pPr>
              <w:pStyle w:val="15"/>
              <w:spacing w:before="262" w:line="220" w:lineRule="auto"/>
              <w:ind w:left="211"/>
              <w:rPr>
                <w:sz w:val="23"/>
                <w:szCs w:val="23"/>
              </w:rPr>
            </w:pPr>
          </w:p>
        </w:tc>
        <w:tc>
          <w:tcPr>
            <w:tcW w:w="999" w:type="dxa"/>
            <w:vAlign w:val="top"/>
          </w:tcPr>
          <w:p w14:paraId="5015CA1D">
            <w:pPr>
              <w:pStyle w:val="15"/>
              <w:spacing w:before="169" w:line="250" w:lineRule="auto"/>
              <w:ind w:left="312" w:right="235" w:hanging="90"/>
              <w:rPr>
                <w:sz w:val="18"/>
                <w:szCs w:val="18"/>
              </w:rPr>
            </w:pPr>
          </w:p>
        </w:tc>
        <w:tc>
          <w:tcPr>
            <w:tcW w:w="2677" w:type="dxa"/>
            <w:vAlign w:val="top"/>
          </w:tcPr>
          <w:p w14:paraId="2A94181E">
            <w:pPr>
              <w:pStyle w:val="15"/>
              <w:spacing w:before="279" w:line="219" w:lineRule="auto"/>
              <w:ind w:left="73"/>
              <w:rPr>
                <w:sz w:val="18"/>
                <w:szCs w:val="18"/>
              </w:rPr>
            </w:pPr>
          </w:p>
        </w:tc>
        <w:tc>
          <w:tcPr>
            <w:tcW w:w="1968" w:type="dxa"/>
            <w:vAlign w:val="top"/>
          </w:tcPr>
          <w:p w14:paraId="76EE9A3C">
            <w:pPr>
              <w:pStyle w:val="15"/>
              <w:spacing w:before="296"/>
              <w:ind w:left="487"/>
              <w:rPr>
                <w:sz w:val="18"/>
                <w:szCs w:val="18"/>
              </w:rPr>
            </w:pPr>
          </w:p>
        </w:tc>
        <w:tc>
          <w:tcPr>
            <w:tcW w:w="1423" w:type="dxa"/>
            <w:vAlign w:val="top"/>
          </w:tcPr>
          <w:p w14:paraId="3DAE1939">
            <w:pPr>
              <w:pStyle w:val="15"/>
              <w:spacing w:before="296"/>
              <w:ind w:left="208"/>
              <w:rPr>
                <w:sz w:val="18"/>
                <w:szCs w:val="18"/>
              </w:rPr>
            </w:pPr>
          </w:p>
        </w:tc>
      </w:tr>
      <w:tr w14:paraId="7D77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354" w:type="dxa"/>
            <w:vAlign w:val="top"/>
          </w:tcPr>
          <w:p w14:paraId="452042B8">
            <w:pPr>
              <w:pStyle w:val="15"/>
              <w:spacing w:before="298" w:line="241" w:lineRule="auto"/>
              <w:ind w:left="124"/>
              <w:rPr>
                <w:sz w:val="18"/>
                <w:szCs w:val="18"/>
              </w:rPr>
            </w:pPr>
          </w:p>
        </w:tc>
        <w:tc>
          <w:tcPr>
            <w:tcW w:w="1128" w:type="dxa"/>
            <w:vAlign w:val="top"/>
          </w:tcPr>
          <w:p w14:paraId="0F4E811A">
            <w:pPr>
              <w:pStyle w:val="15"/>
              <w:spacing w:before="262" w:line="219" w:lineRule="auto"/>
              <w:ind w:left="211"/>
              <w:rPr>
                <w:sz w:val="23"/>
                <w:szCs w:val="23"/>
              </w:rPr>
            </w:pPr>
          </w:p>
        </w:tc>
        <w:tc>
          <w:tcPr>
            <w:tcW w:w="999" w:type="dxa"/>
            <w:vAlign w:val="top"/>
          </w:tcPr>
          <w:p w14:paraId="55140C0D">
            <w:pPr>
              <w:pStyle w:val="15"/>
              <w:spacing w:before="161" w:line="270" w:lineRule="auto"/>
              <w:ind w:left="312" w:right="235" w:hanging="90"/>
              <w:rPr>
                <w:sz w:val="18"/>
                <w:szCs w:val="18"/>
              </w:rPr>
            </w:pPr>
          </w:p>
        </w:tc>
        <w:tc>
          <w:tcPr>
            <w:tcW w:w="2677" w:type="dxa"/>
            <w:vAlign w:val="top"/>
          </w:tcPr>
          <w:p w14:paraId="1A82B493">
            <w:pPr>
              <w:pStyle w:val="15"/>
              <w:spacing w:before="280" w:line="219" w:lineRule="auto"/>
              <w:ind w:left="613"/>
              <w:rPr>
                <w:sz w:val="18"/>
                <w:szCs w:val="18"/>
              </w:rPr>
            </w:pPr>
          </w:p>
        </w:tc>
        <w:tc>
          <w:tcPr>
            <w:tcW w:w="1968" w:type="dxa"/>
            <w:vAlign w:val="top"/>
          </w:tcPr>
          <w:p w14:paraId="21F98A11">
            <w:pPr>
              <w:pStyle w:val="15"/>
              <w:spacing w:before="297"/>
              <w:ind w:left="256"/>
              <w:rPr>
                <w:sz w:val="18"/>
                <w:szCs w:val="18"/>
              </w:rPr>
            </w:pPr>
          </w:p>
        </w:tc>
        <w:tc>
          <w:tcPr>
            <w:tcW w:w="1423" w:type="dxa"/>
            <w:vAlign w:val="top"/>
          </w:tcPr>
          <w:p w14:paraId="644E0F23">
            <w:pPr>
              <w:pStyle w:val="15"/>
              <w:spacing w:before="297"/>
              <w:ind w:left="208"/>
              <w:rPr>
                <w:sz w:val="18"/>
                <w:szCs w:val="18"/>
              </w:rPr>
            </w:pPr>
          </w:p>
        </w:tc>
      </w:tr>
      <w:tr w14:paraId="3388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54" w:type="dxa"/>
            <w:vAlign w:val="top"/>
          </w:tcPr>
          <w:p w14:paraId="05D6F1CF">
            <w:pPr>
              <w:pStyle w:val="15"/>
              <w:spacing w:before="297"/>
              <w:ind w:left="124"/>
              <w:rPr>
                <w:sz w:val="18"/>
                <w:szCs w:val="18"/>
              </w:rPr>
            </w:pPr>
          </w:p>
        </w:tc>
        <w:tc>
          <w:tcPr>
            <w:tcW w:w="1128" w:type="dxa"/>
            <w:vAlign w:val="top"/>
          </w:tcPr>
          <w:p w14:paraId="79ECF08A">
            <w:pPr>
              <w:pStyle w:val="15"/>
              <w:spacing w:before="262" w:line="219" w:lineRule="auto"/>
              <w:ind w:left="211"/>
              <w:rPr>
                <w:sz w:val="23"/>
                <w:szCs w:val="23"/>
              </w:rPr>
            </w:pPr>
          </w:p>
        </w:tc>
        <w:tc>
          <w:tcPr>
            <w:tcW w:w="999" w:type="dxa"/>
            <w:vAlign w:val="top"/>
          </w:tcPr>
          <w:p w14:paraId="2C2EE7BF">
            <w:pPr>
              <w:pStyle w:val="15"/>
              <w:spacing w:before="180" w:line="250" w:lineRule="auto"/>
              <w:ind w:left="312" w:right="235" w:hanging="90"/>
              <w:rPr>
                <w:sz w:val="18"/>
                <w:szCs w:val="18"/>
              </w:rPr>
            </w:pPr>
          </w:p>
        </w:tc>
        <w:tc>
          <w:tcPr>
            <w:tcW w:w="2677" w:type="dxa"/>
            <w:vAlign w:val="top"/>
          </w:tcPr>
          <w:p w14:paraId="5D7B3E41">
            <w:pPr>
              <w:pStyle w:val="15"/>
              <w:spacing w:before="18" w:line="220" w:lineRule="auto"/>
              <w:ind w:left="793"/>
              <w:rPr>
                <w:sz w:val="18"/>
                <w:szCs w:val="18"/>
              </w:rPr>
            </w:pPr>
          </w:p>
        </w:tc>
        <w:tc>
          <w:tcPr>
            <w:tcW w:w="1968" w:type="dxa"/>
            <w:vAlign w:val="top"/>
          </w:tcPr>
          <w:p w14:paraId="54E7D815">
            <w:pPr>
              <w:pStyle w:val="15"/>
              <w:spacing w:line="239" w:lineRule="auto"/>
              <w:ind w:left="76"/>
              <w:rPr>
                <w:sz w:val="18"/>
                <w:szCs w:val="18"/>
              </w:rPr>
            </w:pPr>
          </w:p>
        </w:tc>
        <w:tc>
          <w:tcPr>
            <w:tcW w:w="1423" w:type="dxa"/>
            <w:vAlign w:val="top"/>
          </w:tcPr>
          <w:p w14:paraId="2563A392">
            <w:pPr>
              <w:pStyle w:val="15"/>
              <w:spacing w:before="297"/>
              <w:ind w:left="208"/>
              <w:rPr>
                <w:sz w:val="18"/>
                <w:szCs w:val="18"/>
              </w:rPr>
            </w:pPr>
          </w:p>
        </w:tc>
      </w:tr>
      <w:tr w14:paraId="220A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4" w:type="dxa"/>
            <w:vAlign w:val="top"/>
          </w:tcPr>
          <w:p w14:paraId="1263F9E8">
            <w:pPr>
              <w:pStyle w:val="15"/>
              <w:spacing w:before="59"/>
              <w:ind w:left="124"/>
              <w:rPr>
                <w:sz w:val="18"/>
                <w:szCs w:val="18"/>
              </w:rPr>
            </w:pPr>
          </w:p>
        </w:tc>
        <w:tc>
          <w:tcPr>
            <w:tcW w:w="1128" w:type="dxa"/>
            <w:vAlign w:val="top"/>
          </w:tcPr>
          <w:p w14:paraId="74F53C4E">
            <w:pPr>
              <w:pStyle w:val="15"/>
              <w:spacing w:before="284" w:line="220" w:lineRule="auto"/>
              <w:ind w:left="211"/>
              <w:rPr>
                <w:sz w:val="23"/>
                <w:szCs w:val="23"/>
              </w:rPr>
            </w:pPr>
          </w:p>
        </w:tc>
        <w:tc>
          <w:tcPr>
            <w:tcW w:w="999" w:type="dxa"/>
            <w:vAlign w:val="top"/>
          </w:tcPr>
          <w:p w14:paraId="73ABB7E8">
            <w:pPr>
              <w:pStyle w:val="15"/>
              <w:spacing w:before="191" w:line="250" w:lineRule="auto"/>
              <w:ind w:left="312" w:right="235" w:hanging="90"/>
              <w:rPr>
                <w:sz w:val="18"/>
                <w:szCs w:val="18"/>
              </w:rPr>
            </w:pPr>
          </w:p>
        </w:tc>
        <w:tc>
          <w:tcPr>
            <w:tcW w:w="2677" w:type="dxa"/>
            <w:vAlign w:val="top"/>
          </w:tcPr>
          <w:p w14:paraId="707CFBCA">
            <w:pPr>
              <w:pStyle w:val="15"/>
              <w:spacing w:before="58" w:line="219" w:lineRule="auto"/>
              <w:ind w:left="613"/>
              <w:rPr>
                <w:sz w:val="18"/>
                <w:szCs w:val="18"/>
              </w:rPr>
            </w:pPr>
          </w:p>
        </w:tc>
        <w:tc>
          <w:tcPr>
            <w:tcW w:w="1968" w:type="dxa"/>
            <w:vAlign w:val="top"/>
          </w:tcPr>
          <w:p w14:paraId="17F761F4">
            <w:pPr>
              <w:pStyle w:val="15"/>
              <w:spacing w:before="59"/>
              <w:ind w:left="76"/>
              <w:rPr>
                <w:sz w:val="18"/>
                <w:szCs w:val="18"/>
              </w:rPr>
            </w:pPr>
          </w:p>
        </w:tc>
        <w:tc>
          <w:tcPr>
            <w:tcW w:w="1423" w:type="dxa"/>
            <w:vAlign w:val="top"/>
          </w:tcPr>
          <w:p w14:paraId="6D586514">
            <w:pPr>
              <w:pStyle w:val="15"/>
              <w:spacing w:before="59"/>
              <w:ind w:left="208"/>
              <w:rPr>
                <w:sz w:val="18"/>
                <w:szCs w:val="18"/>
              </w:rPr>
            </w:pPr>
          </w:p>
        </w:tc>
      </w:tr>
      <w:tr w14:paraId="4B54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354" w:type="dxa"/>
            <w:vAlign w:val="top"/>
          </w:tcPr>
          <w:p w14:paraId="3FB3AB7E">
            <w:pPr>
              <w:pStyle w:val="15"/>
              <w:spacing w:before="59"/>
              <w:ind w:left="124"/>
              <w:rPr>
                <w:sz w:val="18"/>
                <w:szCs w:val="18"/>
              </w:rPr>
            </w:pPr>
          </w:p>
        </w:tc>
        <w:tc>
          <w:tcPr>
            <w:tcW w:w="1128" w:type="dxa"/>
            <w:vAlign w:val="top"/>
          </w:tcPr>
          <w:p w14:paraId="3889B4BC">
            <w:pPr>
              <w:pStyle w:val="15"/>
              <w:spacing w:before="264" w:line="219" w:lineRule="auto"/>
              <w:ind w:left="320"/>
              <w:rPr>
                <w:sz w:val="23"/>
                <w:szCs w:val="23"/>
              </w:rPr>
            </w:pPr>
          </w:p>
        </w:tc>
        <w:tc>
          <w:tcPr>
            <w:tcW w:w="999" w:type="dxa"/>
            <w:vAlign w:val="top"/>
          </w:tcPr>
          <w:p w14:paraId="3D3555B2">
            <w:pPr>
              <w:pStyle w:val="15"/>
              <w:spacing w:before="182" w:line="260" w:lineRule="auto"/>
              <w:ind w:left="312" w:right="235" w:hanging="90"/>
              <w:rPr>
                <w:sz w:val="18"/>
                <w:szCs w:val="18"/>
              </w:rPr>
            </w:pPr>
          </w:p>
        </w:tc>
        <w:tc>
          <w:tcPr>
            <w:tcW w:w="2677" w:type="dxa"/>
            <w:vAlign w:val="top"/>
          </w:tcPr>
          <w:p w14:paraId="77CD5C70">
            <w:pPr>
              <w:pStyle w:val="15"/>
              <w:spacing w:before="292" w:line="219" w:lineRule="auto"/>
              <w:ind w:left="164"/>
              <w:rPr>
                <w:sz w:val="18"/>
                <w:szCs w:val="18"/>
              </w:rPr>
            </w:pPr>
          </w:p>
        </w:tc>
        <w:tc>
          <w:tcPr>
            <w:tcW w:w="1968" w:type="dxa"/>
            <w:vAlign w:val="top"/>
          </w:tcPr>
          <w:p w14:paraId="49221B9F">
            <w:pPr>
              <w:pStyle w:val="15"/>
              <w:spacing w:before="59" w:line="184" w:lineRule="auto"/>
              <w:ind w:left="76"/>
              <w:rPr>
                <w:sz w:val="18"/>
                <w:szCs w:val="18"/>
              </w:rPr>
            </w:pPr>
          </w:p>
        </w:tc>
        <w:tc>
          <w:tcPr>
            <w:tcW w:w="1423" w:type="dxa"/>
            <w:vAlign w:val="top"/>
          </w:tcPr>
          <w:p w14:paraId="4CFB9AAA">
            <w:pPr>
              <w:pStyle w:val="15"/>
              <w:spacing w:before="59"/>
              <w:ind w:left="208"/>
              <w:rPr>
                <w:sz w:val="18"/>
                <w:szCs w:val="18"/>
              </w:rPr>
            </w:pPr>
          </w:p>
        </w:tc>
      </w:tr>
      <w:tr w14:paraId="0DF8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54" w:type="dxa"/>
            <w:vAlign w:val="top"/>
          </w:tcPr>
          <w:p w14:paraId="0D70E64F">
            <w:pPr>
              <w:pStyle w:val="15"/>
              <w:spacing w:before="59"/>
              <w:ind w:left="124"/>
              <w:rPr>
                <w:sz w:val="18"/>
                <w:szCs w:val="18"/>
              </w:rPr>
            </w:pPr>
          </w:p>
        </w:tc>
        <w:tc>
          <w:tcPr>
            <w:tcW w:w="1128" w:type="dxa"/>
            <w:vAlign w:val="top"/>
          </w:tcPr>
          <w:p w14:paraId="263EFEC0">
            <w:pPr>
              <w:pStyle w:val="15"/>
              <w:spacing w:before="265" w:line="219" w:lineRule="auto"/>
              <w:ind w:left="211"/>
              <w:rPr>
                <w:sz w:val="23"/>
                <w:szCs w:val="23"/>
              </w:rPr>
            </w:pPr>
          </w:p>
        </w:tc>
        <w:tc>
          <w:tcPr>
            <w:tcW w:w="999" w:type="dxa"/>
            <w:vAlign w:val="top"/>
          </w:tcPr>
          <w:p w14:paraId="4E383AF4">
            <w:pPr>
              <w:pStyle w:val="15"/>
              <w:spacing w:before="182"/>
              <w:ind w:left="312" w:right="235" w:hanging="90"/>
              <w:rPr>
                <w:sz w:val="18"/>
                <w:szCs w:val="18"/>
              </w:rPr>
            </w:pPr>
          </w:p>
        </w:tc>
        <w:tc>
          <w:tcPr>
            <w:tcW w:w="2677" w:type="dxa"/>
            <w:vAlign w:val="top"/>
          </w:tcPr>
          <w:p w14:paraId="633C2614">
            <w:pPr>
              <w:pStyle w:val="15"/>
              <w:spacing w:before="15" w:line="219" w:lineRule="auto"/>
              <w:ind w:left="523"/>
              <w:rPr>
                <w:sz w:val="18"/>
                <w:szCs w:val="18"/>
              </w:rPr>
            </w:pPr>
          </w:p>
        </w:tc>
        <w:tc>
          <w:tcPr>
            <w:tcW w:w="1968" w:type="dxa"/>
            <w:vAlign w:val="top"/>
          </w:tcPr>
          <w:p w14:paraId="278E9522">
            <w:pPr>
              <w:pStyle w:val="15"/>
              <w:spacing w:before="59" w:line="185" w:lineRule="auto"/>
              <w:ind w:left="306"/>
              <w:rPr>
                <w:sz w:val="18"/>
                <w:szCs w:val="18"/>
              </w:rPr>
            </w:pPr>
          </w:p>
        </w:tc>
        <w:tc>
          <w:tcPr>
            <w:tcW w:w="1423" w:type="dxa"/>
            <w:vAlign w:val="top"/>
          </w:tcPr>
          <w:p w14:paraId="7D7A00AC">
            <w:pPr>
              <w:pStyle w:val="15"/>
              <w:spacing w:before="59"/>
              <w:ind w:left="208"/>
              <w:rPr>
                <w:sz w:val="18"/>
                <w:szCs w:val="18"/>
              </w:rPr>
            </w:pPr>
          </w:p>
        </w:tc>
      </w:tr>
      <w:tr w14:paraId="1C412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354" w:type="dxa"/>
            <w:vAlign w:val="top"/>
          </w:tcPr>
          <w:p w14:paraId="214274BB">
            <w:pPr>
              <w:pStyle w:val="15"/>
              <w:spacing w:before="59"/>
              <w:ind w:left="124"/>
              <w:rPr>
                <w:sz w:val="18"/>
                <w:szCs w:val="18"/>
              </w:rPr>
            </w:pPr>
          </w:p>
        </w:tc>
        <w:tc>
          <w:tcPr>
            <w:tcW w:w="1128" w:type="dxa"/>
            <w:vAlign w:val="top"/>
          </w:tcPr>
          <w:p w14:paraId="4DE58A5A">
            <w:pPr>
              <w:pStyle w:val="15"/>
              <w:spacing w:before="266" w:line="219" w:lineRule="auto"/>
              <w:ind w:left="211"/>
              <w:rPr>
                <w:sz w:val="23"/>
                <w:szCs w:val="23"/>
              </w:rPr>
            </w:pPr>
          </w:p>
        </w:tc>
        <w:tc>
          <w:tcPr>
            <w:tcW w:w="999" w:type="dxa"/>
            <w:vAlign w:val="top"/>
          </w:tcPr>
          <w:p w14:paraId="6BD17742">
            <w:pPr>
              <w:pStyle w:val="15"/>
              <w:spacing w:before="195" w:line="239" w:lineRule="auto"/>
              <w:ind w:left="312" w:right="235" w:hanging="90"/>
              <w:rPr>
                <w:sz w:val="18"/>
                <w:szCs w:val="18"/>
              </w:rPr>
            </w:pPr>
          </w:p>
        </w:tc>
        <w:tc>
          <w:tcPr>
            <w:tcW w:w="2677" w:type="dxa"/>
            <w:vAlign w:val="top"/>
          </w:tcPr>
          <w:p w14:paraId="7A2D37B4">
            <w:pPr>
              <w:pStyle w:val="15"/>
              <w:spacing w:before="25" w:line="219" w:lineRule="auto"/>
              <w:ind w:left="523"/>
              <w:rPr>
                <w:sz w:val="18"/>
                <w:szCs w:val="18"/>
              </w:rPr>
            </w:pPr>
          </w:p>
        </w:tc>
        <w:tc>
          <w:tcPr>
            <w:tcW w:w="1968" w:type="dxa"/>
            <w:vAlign w:val="top"/>
          </w:tcPr>
          <w:p w14:paraId="7D5A5345">
            <w:pPr>
              <w:pStyle w:val="15"/>
              <w:spacing w:before="297" w:line="222" w:lineRule="auto"/>
              <w:ind w:left="126"/>
              <w:rPr>
                <w:sz w:val="18"/>
                <w:szCs w:val="18"/>
              </w:rPr>
            </w:pPr>
          </w:p>
        </w:tc>
        <w:tc>
          <w:tcPr>
            <w:tcW w:w="1423" w:type="dxa"/>
            <w:vAlign w:val="top"/>
          </w:tcPr>
          <w:p w14:paraId="65E949F4">
            <w:pPr>
              <w:pStyle w:val="15"/>
              <w:spacing w:before="59"/>
              <w:ind w:left="208"/>
              <w:rPr>
                <w:sz w:val="18"/>
                <w:szCs w:val="18"/>
              </w:rPr>
            </w:pPr>
          </w:p>
        </w:tc>
      </w:tr>
      <w:tr w14:paraId="7CF8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54" w:type="dxa"/>
            <w:vAlign w:val="top"/>
          </w:tcPr>
          <w:p w14:paraId="19EAA994">
            <w:pPr>
              <w:pStyle w:val="15"/>
              <w:spacing w:before="59"/>
              <w:ind w:left="74"/>
              <w:rPr>
                <w:sz w:val="18"/>
                <w:szCs w:val="18"/>
              </w:rPr>
            </w:pPr>
          </w:p>
        </w:tc>
        <w:tc>
          <w:tcPr>
            <w:tcW w:w="1128" w:type="dxa"/>
            <w:vAlign w:val="top"/>
          </w:tcPr>
          <w:p w14:paraId="64C51A92">
            <w:pPr>
              <w:pStyle w:val="15"/>
              <w:spacing w:before="267" w:line="219" w:lineRule="auto"/>
              <w:ind w:left="211"/>
              <w:rPr>
                <w:sz w:val="23"/>
                <w:szCs w:val="23"/>
              </w:rPr>
            </w:pPr>
          </w:p>
        </w:tc>
        <w:tc>
          <w:tcPr>
            <w:tcW w:w="999" w:type="dxa"/>
            <w:vAlign w:val="top"/>
          </w:tcPr>
          <w:p w14:paraId="44244739">
            <w:pPr>
              <w:pStyle w:val="15"/>
              <w:spacing w:before="196" w:line="229" w:lineRule="auto"/>
              <w:ind w:left="312" w:right="235" w:hanging="90"/>
              <w:rPr>
                <w:sz w:val="18"/>
                <w:szCs w:val="18"/>
              </w:rPr>
            </w:pPr>
          </w:p>
        </w:tc>
        <w:tc>
          <w:tcPr>
            <w:tcW w:w="2677" w:type="dxa"/>
            <w:vAlign w:val="top"/>
          </w:tcPr>
          <w:p w14:paraId="043FD586">
            <w:pPr>
              <w:pStyle w:val="15"/>
              <w:spacing w:line="222" w:lineRule="auto"/>
              <w:ind w:left="754"/>
              <w:rPr>
                <w:sz w:val="18"/>
                <w:szCs w:val="18"/>
              </w:rPr>
            </w:pPr>
          </w:p>
        </w:tc>
        <w:tc>
          <w:tcPr>
            <w:tcW w:w="1968" w:type="dxa"/>
            <w:vAlign w:val="top"/>
          </w:tcPr>
          <w:p w14:paraId="2C176664">
            <w:pPr>
              <w:pStyle w:val="15"/>
              <w:spacing w:line="239" w:lineRule="auto"/>
              <w:ind w:left="846"/>
              <w:rPr>
                <w:sz w:val="18"/>
                <w:szCs w:val="18"/>
              </w:rPr>
            </w:pPr>
          </w:p>
        </w:tc>
        <w:tc>
          <w:tcPr>
            <w:tcW w:w="1423" w:type="dxa"/>
            <w:vAlign w:val="top"/>
          </w:tcPr>
          <w:p w14:paraId="5309D69E">
            <w:pPr>
              <w:pStyle w:val="15"/>
              <w:spacing w:before="59"/>
              <w:ind w:left="208"/>
              <w:rPr>
                <w:sz w:val="18"/>
                <w:szCs w:val="18"/>
              </w:rPr>
            </w:pPr>
          </w:p>
        </w:tc>
      </w:tr>
      <w:tr w14:paraId="09AB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354" w:type="dxa"/>
            <w:vAlign w:val="top"/>
          </w:tcPr>
          <w:p w14:paraId="1F1B6EFA">
            <w:pPr>
              <w:pStyle w:val="15"/>
              <w:spacing w:before="58" w:line="241" w:lineRule="auto"/>
              <w:ind w:left="74"/>
              <w:rPr>
                <w:sz w:val="18"/>
                <w:szCs w:val="18"/>
              </w:rPr>
            </w:pPr>
          </w:p>
        </w:tc>
        <w:tc>
          <w:tcPr>
            <w:tcW w:w="1128" w:type="dxa"/>
            <w:vAlign w:val="top"/>
          </w:tcPr>
          <w:p w14:paraId="6D7E9393">
            <w:pPr>
              <w:pStyle w:val="15"/>
              <w:spacing w:before="278" w:line="219" w:lineRule="auto"/>
              <w:ind w:left="211"/>
              <w:rPr>
                <w:sz w:val="23"/>
                <w:szCs w:val="23"/>
              </w:rPr>
            </w:pPr>
          </w:p>
        </w:tc>
        <w:tc>
          <w:tcPr>
            <w:tcW w:w="999" w:type="dxa"/>
            <w:vAlign w:val="top"/>
          </w:tcPr>
          <w:p w14:paraId="3A3E8E15">
            <w:pPr>
              <w:pStyle w:val="15"/>
              <w:spacing w:before="196" w:line="250" w:lineRule="auto"/>
              <w:ind w:left="312" w:right="235" w:hanging="90"/>
              <w:rPr>
                <w:sz w:val="18"/>
                <w:szCs w:val="18"/>
              </w:rPr>
            </w:pPr>
          </w:p>
        </w:tc>
        <w:tc>
          <w:tcPr>
            <w:tcW w:w="2677" w:type="dxa"/>
            <w:vAlign w:val="top"/>
          </w:tcPr>
          <w:p w14:paraId="6BD6703B">
            <w:pPr>
              <w:pStyle w:val="15"/>
              <w:spacing w:before="30" w:line="222" w:lineRule="auto"/>
              <w:ind w:left="703"/>
              <w:rPr>
                <w:sz w:val="18"/>
                <w:szCs w:val="18"/>
              </w:rPr>
            </w:pPr>
          </w:p>
        </w:tc>
        <w:tc>
          <w:tcPr>
            <w:tcW w:w="1968" w:type="dxa"/>
            <w:vAlign w:val="top"/>
          </w:tcPr>
          <w:p w14:paraId="66D567B1">
            <w:pPr>
              <w:pStyle w:val="15"/>
              <w:spacing w:line="239" w:lineRule="auto"/>
              <w:ind w:left="846"/>
              <w:rPr>
                <w:sz w:val="18"/>
                <w:szCs w:val="18"/>
              </w:rPr>
            </w:pPr>
          </w:p>
        </w:tc>
        <w:tc>
          <w:tcPr>
            <w:tcW w:w="1423" w:type="dxa"/>
            <w:vAlign w:val="top"/>
          </w:tcPr>
          <w:p w14:paraId="12820BEF">
            <w:pPr>
              <w:pStyle w:val="15"/>
              <w:spacing w:before="59"/>
              <w:ind w:left="208"/>
              <w:rPr>
                <w:sz w:val="18"/>
                <w:szCs w:val="18"/>
              </w:rPr>
            </w:pPr>
          </w:p>
        </w:tc>
      </w:tr>
      <w:tr w14:paraId="4AD70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354" w:type="dxa"/>
            <w:vAlign w:val="top"/>
          </w:tcPr>
          <w:p w14:paraId="114176E8">
            <w:pPr>
              <w:rPr>
                <w:rFonts w:ascii="Arial"/>
                <w:sz w:val="21"/>
              </w:rPr>
            </w:pPr>
          </w:p>
        </w:tc>
        <w:tc>
          <w:tcPr>
            <w:tcW w:w="1128" w:type="dxa"/>
            <w:vAlign w:val="top"/>
          </w:tcPr>
          <w:p w14:paraId="615C783A">
            <w:pPr>
              <w:rPr>
                <w:rFonts w:ascii="Arial"/>
                <w:sz w:val="21"/>
              </w:rPr>
            </w:pPr>
          </w:p>
        </w:tc>
        <w:tc>
          <w:tcPr>
            <w:tcW w:w="999" w:type="dxa"/>
            <w:vAlign w:val="top"/>
          </w:tcPr>
          <w:p w14:paraId="06B22A73">
            <w:pPr>
              <w:rPr>
                <w:rFonts w:ascii="Arial"/>
                <w:sz w:val="21"/>
              </w:rPr>
            </w:pPr>
          </w:p>
        </w:tc>
        <w:tc>
          <w:tcPr>
            <w:tcW w:w="2677" w:type="dxa"/>
            <w:vAlign w:val="top"/>
          </w:tcPr>
          <w:p w14:paraId="14C7BD67">
            <w:pPr>
              <w:rPr>
                <w:rFonts w:ascii="Arial"/>
                <w:sz w:val="21"/>
              </w:rPr>
            </w:pPr>
          </w:p>
        </w:tc>
        <w:tc>
          <w:tcPr>
            <w:tcW w:w="1968" w:type="dxa"/>
            <w:vAlign w:val="top"/>
          </w:tcPr>
          <w:p w14:paraId="3C4BC58A">
            <w:pPr>
              <w:rPr>
                <w:rFonts w:ascii="Arial"/>
                <w:sz w:val="21"/>
              </w:rPr>
            </w:pPr>
          </w:p>
        </w:tc>
        <w:tc>
          <w:tcPr>
            <w:tcW w:w="1423" w:type="dxa"/>
            <w:vAlign w:val="top"/>
          </w:tcPr>
          <w:p w14:paraId="18C616F3">
            <w:pPr>
              <w:rPr>
                <w:rFonts w:ascii="Arial"/>
                <w:sz w:val="21"/>
              </w:rPr>
            </w:pPr>
          </w:p>
        </w:tc>
      </w:tr>
    </w:tbl>
    <w:p w14:paraId="5388619C">
      <w:pPr>
        <w:rPr>
          <w:rFonts w:ascii="Arial"/>
          <w:sz w:val="21"/>
        </w:rPr>
      </w:pPr>
    </w:p>
    <w:p w14:paraId="16321504">
      <w:pPr>
        <w:rPr>
          <w:rFonts w:ascii="Arial" w:hAnsi="Arial" w:eastAsia="Arial" w:cs="Arial"/>
          <w:sz w:val="21"/>
          <w:szCs w:val="21"/>
        </w:rPr>
        <w:sectPr>
          <w:pgSz w:w="11900" w:h="16830"/>
          <w:pgMar w:top="1430" w:right="1675" w:bottom="1461" w:left="1665" w:header="0" w:footer="1212" w:gutter="0"/>
          <w:pgNumType w:fmt="decimal"/>
          <w:cols w:space="720" w:num="1"/>
        </w:sectPr>
      </w:pPr>
    </w:p>
    <w:p w14:paraId="7BABB0C9">
      <w:pPr>
        <w:pStyle w:val="6"/>
        <w:spacing w:before="124" w:line="222" w:lineRule="auto"/>
        <w:ind w:left="368"/>
        <w:rPr>
          <w:rFonts w:ascii="Arial"/>
          <w:sz w:val="21"/>
        </w:rPr>
      </w:pPr>
      <w:r>
        <w:rPr>
          <w:b/>
          <w:bCs/>
          <w:spacing w:val="12"/>
          <w:sz w:val="23"/>
          <w:szCs w:val="23"/>
        </w:rPr>
        <w:t>附件三：</w:t>
      </w:r>
    </w:p>
    <w:p w14:paraId="2F810B85">
      <w:pPr>
        <w:keepNext w:val="0"/>
        <w:keepLines w:val="0"/>
        <w:pageBreakBefore w:val="0"/>
        <w:widowControl/>
        <w:kinsoku/>
        <w:wordWrap/>
        <w:overflowPunct/>
        <w:topLinePunct w:val="0"/>
        <w:autoSpaceDE/>
        <w:autoSpaceDN/>
        <w:bidi w:val="0"/>
        <w:adjustRightInd/>
        <w:snapToGrid/>
        <w:spacing w:line="500" w:lineRule="atLeast"/>
        <w:ind w:left="638" w:leftChars="304" w:firstLine="0" w:firstLineChars="0"/>
        <w:jc w:val="left"/>
        <w:textAlignment w:val="auto"/>
        <w:rPr>
          <w:rFonts w:hint="eastAsia" w:ascii="仿宋" w:hAnsi="仿宋" w:eastAsia="仿宋" w:cs="仿宋"/>
          <w:b/>
          <w:bCs/>
          <w:snapToGrid/>
          <w:color w:val="000000"/>
          <w:kern w:val="0"/>
          <w:sz w:val="32"/>
          <w:szCs w:val="32"/>
          <w:lang w:eastAsia="zh-CN"/>
        </w:rPr>
      </w:pPr>
    </w:p>
    <w:p w14:paraId="30D4F3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caps w:val="0"/>
          <w:color w:val="auto"/>
          <w:spacing w:val="0"/>
          <w:sz w:val="44"/>
          <w:szCs w:val="44"/>
          <w:shd w:val="clear" w:color="auto" w:fill="FFFFFF"/>
          <w:lang w:eastAsia="zh-CN"/>
        </w:rPr>
        <w:t>龙岗区进一步规范政商交往行为告知书</w:t>
      </w:r>
    </w:p>
    <w:p w14:paraId="4BB536AE">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5C3271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1D8236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一、不得向公职人员赠送礼品、礼金、消费卡等财物。</w:t>
      </w:r>
    </w:p>
    <w:p w14:paraId="00C010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二、不得违规向公职人员提供宴请、旅游、娱乐等安排。</w:t>
      </w:r>
    </w:p>
    <w:p w14:paraId="189091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三、不得通过打麻将等形式向公职人员输送利益。</w:t>
      </w:r>
    </w:p>
    <w:p w14:paraId="02370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四、不得为公职人员报销应由其个人支付的费用。</w:t>
      </w:r>
    </w:p>
    <w:p w14:paraId="0D8B1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五、不得违规向公职人员及其亲友借贷款。</w:t>
      </w:r>
    </w:p>
    <w:p w14:paraId="569B57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六、不得违规将车辆、住房等借给公职人员使用。</w:t>
      </w:r>
    </w:p>
    <w:p w14:paraId="72EE98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七、不得在招投标中与公职人员搞暗箱操作、围标串标。</w:t>
      </w:r>
    </w:p>
    <w:p w14:paraId="4921D3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八、不得为利益相关人和公职人员牵线搭桥或者代为传递信息、传递财物。</w:t>
      </w:r>
    </w:p>
    <w:p w14:paraId="621A28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九、不得让公职人员在企业违规兼职取酬。</w:t>
      </w:r>
    </w:p>
    <w:p w14:paraId="24A3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十、不得为公职人员亲友违规承揽业务提供便利。</w:t>
      </w:r>
    </w:p>
    <w:p w14:paraId="785B5A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54CF74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20" w:firstLineChars="200"/>
        <w:jc w:val="both"/>
        <w:textAlignment w:val="auto"/>
        <w:outlineLvl w:val="9"/>
        <w:rPr>
          <w:rFonts w:hint="eastAsia" w:ascii="仿宋_GB2312" w:hAnsi="仿宋_GB2312" w:eastAsia="仿宋_GB2312" w:cs="仿宋_GB2312"/>
          <w:color w:val="auto"/>
          <w:spacing w:val="-20"/>
          <w:sz w:val="30"/>
          <w:szCs w:val="30"/>
          <w:lang w:eastAsia="zh-CN"/>
        </w:rPr>
      </w:pPr>
    </w:p>
    <w:p w14:paraId="3A248E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20" w:firstLineChars="200"/>
        <w:jc w:val="both"/>
        <w:textAlignment w:val="auto"/>
        <w:outlineLvl w:val="9"/>
        <w:rPr>
          <w:rFonts w:hint="eastAsia" w:ascii="仿宋_GB2312" w:hAnsi="仿宋_GB2312" w:eastAsia="仿宋_GB2312" w:cs="仿宋_GB2312"/>
          <w:color w:val="auto"/>
          <w:spacing w:val="-20"/>
          <w:sz w:val="30"/>
          <w:szCs w:val="30"/>
          <w:u w:val="single"/>
          <w:lang w:val="en-US" w:eastAsia="zh-CN"/>
        </w:rPr>
      </w:pPr>
      <w:r>
        <w:rPr>
          <w:rFonts w:hint="eastAsia" w:ascii="仿宋_GB2312" w:hAnsi="仿宋_GB2312" w:eastAsia="仿宋_GB2312" w:cs="仿宋_GB2312"/>
          <w:color w:val="auto"/>
          <w:spacing w:val="-20"/>
          <w:sz w:val="30"/>
          <w:szCs w:val="30"/>
          <w:lang w:eastAsia="zh-CN"/>
        </w:rPr>
        <w:t>本人已知晓上述告知内容，并愿意遵照执行（签名）：</w:t>
      </w:r>
      <w:r>
        <w:rPr>
          <w:rFonts w:hint="eastAsia" w:ascii="仿宋_GB2312" w:hAnsi="仿宋_GB2312" w:eastAsia="仿宋_GB2312" w:cs="仿宋_GB2312"/>
          <w:color w:val="auto"/>
          <w:spacing w:val="-20"/>
          <w:sz w:val="30"/>
          <w:szCs w:val="30"/>
          <w:u w:val="single"/>
          <w:lang w:val="en-US" w:eastAsia="zh-CN"/>
        </w:rPr>
        <w:t xml:space="preserve">             </w:t>
      </w:r>
    </w:p>
    <w:p w14:paraId="58C37F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20" w:firstLineChars="200"/>
        <w:jc w:val="both"/>
        <w:textAlignment w:val="auto"/>
        <w:outlineLvl w:val="9"/>
        <w:rPr>
          <w:rFonts w:hint="eastAsia"/>
          <w:sz w:val="30"/>
          <w:szCs w:val="30"/>
          <w:lang w:val="en-US" w:eastAsia="zh-CN"/>
        </w:rPr>
      </w:pPr>
      <w:r>
        <w:rPr>
          <w:rFonts w:hint="eastAsia" w:ascii="仿宋_GB2312" w:hAnsi="仿宋_GB2312" w:eastAsia="仿宋_GB2312" w:cs="仿宋_GB2312"/>
          <w:color w:val="auto"/>
          <w:spacing w:val="-20"/>
          <w:sz w:val="30"/>
          <w:szCs w:val="30"/>
          <w:u w:val="none"/>
          <w:lang w:val="en-US" w:eastAsia="zh-CN"/>
        </w:rPr>
        <w:t xml:space="preserve">                                   20</w:t>
      </w:r>
      <w:r>
        <w:rPr>
          <w:rFonts w:hint="eastAsia" w:ascii="仿宋_GB2312" w:hAnsi="仿宋_GB2312" w:eastAsia="仿宋_GB2312" w:cs="仿宋_GB2312"/>
          <w:color w:val="auto"/>
          <w:spacing w:val="-20"/>
          <w:sz w:val="30"/>
          <w:szCs w:val="30"/>
          <w:u w:val="single"/>
          <w:lang w:val="en-US" w:eastAsia="zh-CN"/>
        </w:rPr>
        <w:t xml:space="preserve">    </w:t>
      </w:r>
      <w:r>
        <w:rPr>
          <w:rFonts w:hint="eastAsia" w:ascii="仿宋_GB2312" w:hAnsi="仿宋_GB2312" w:eastAsia="仿宋_GB2312" w:cs="仿宋_GB2312"/>
          <w:color w:val="auto"/>
          <w:spacing w:val="-20"/>
          <w:sz w:val="30"/>
          <w:szCs w:val="30"/>
          <w:u w:val="none"/>
          <w:lang w:val="en-US" w:eastAsia="zh-CN"/>
        </w:rPr>
        <w:t>年</w:t>
      </w:r>
      <w:r>
        <w:rPr>
          <w:rFonts w:hint="eastAsia" w:ascii="仿宋_GB2312" w:hAnsi="仿宋_GB2312" w:eastAsia="仿宋_GB2312" w:cs="仿宋_GB2312"/>
          <w:color w:val="auto"/>
          <w:spacing w:val="-20"/>
          <w:sz w:val="30"/>
          <w:szCs w:val="30"/>
          <w:u w:val="single"/>
          <w:lang w:val="en-US" w:eastAsia="zh-CN"/>
        </w:rPr>
        <w:t xml:space="preserve">    </w:t>
      </w:r>
      <w:r>
        <w:rPr>
          <w:rFonts w:hint="eastAsia" w:ascii="仿宋_GB2312" w:hAnsi="仿宋_GB2312" w:eastAsia="仿宋_GB2312" w:cs="仿宋_GB2312"/>
          <w:color w:val="auto"/>
          <w:spacing w:val="-20"/>
          <w:sz w:val="30"/>
          <w:szCs w:val="30"/>
          <w:u w:val="none"/>
          <w:lang w:val="en-US" w:eastAsia="zh-CN"/>
        </w:rPr>
        <w:t>月</w:t>
      </w:r>
      <w:r>
        <w:rPr>
          <w:rFonts w:hint="eastAsia" w:ascii="仿宋_GB2312" w:hAnsi="仿宋_GB2312" w:eastAsia="仿宋_GB2312" w:cs="仿宋_GB2312"/>
          <w:color w:val="auto"/>
          <w:spacing w:val="-20"/>
          <w:sz w:val="30"/>
          <w:szCs w:val="30"/>
          <w:u w:val="single"/>
          <w:lang w:val="en-US" w:eastAsia="zh-CN"/>
        </w:rPr>
        <w:t xml:space="preserve">    </w:t>
      </w:r>
      <w:r>
        <w:rPr>
          <w:rFonts w:hint="eastAsia" w:ascii="仿宋_GB2312" w:hAnsi="仿宋_GB2312" w:eastAsia="仿宋_GB2312" w:cs="仿宋_GB2312"/>
          <w:color w:val="auto"/>
          <w:spacing w:val="-20"/>
          <w:sz w:val="30"/>
          <w:szCs w:val="30"/>
          <w:u w:val="none"/>
          <w:lang w:val="en-US" w:eastAsia="zh-CN"/>
        </w:rPr>
        <w:t>日</w:t>
      </w:r>
    </w:p>
    <w:p w14:paraId="727ED8BC">
      <w:pPr>
        <w:keepNext w:val="0"/>
        <w:keepLines w:val="0"/>
        <w:pageBreakBefore w:val="0"/>
        <w:widowControl/>
        <w:kinsoku/>
        <w:wordWrap/>
        <w:overflowPunct/>
        <w:topLinePunct w:val="0"/>
        <w:autoSpaceDE/>
        <w:autoSpaceDN/>
        <w:bidi w:val="0"/>
        <w:adjustRightInd/>
        <w:snapToGrid/>
        <w:spacing w:line="500" w:lineRule="atLeast"/>
        <w:jc w:val="right"/>
        <w:textAlignment w:val="auto"/>
        <w:rPr>
          <w:rFonts w:hint="eastAsia" w:ascii="仿宋" w:hAnsi="仿宋" w:eastAsia="仿宋" w:cs="仿宋"/>
          <w:snapToGrid/>
          <w:color w:val="000000"/>
          <w:kern w:val="0"/>
          <w:sz w:val="28"/>
          <w:szCs w:val="28"/>
          <w:lang w:eastAsia="zh-CN"/>
        </w:rPr>
      </w:pPr>
    </w:p>
    <w:p w14:paraId="1C911AA5">
      <w:pPr>
        <w:pStyle w:val="7"/>
        <w:rPr>
          <w:rFonts w:hint="eastAsia" w:ascii="仿宋" w:hAnsi="仿宋" w:eastAsia="仿宋" w:cs="仿宋"/>
          <w:snapToGrid/>
          <w:color w:val="000000"/>
          <w:kern w:val="0"/>
          <w:sz w:val="28"/>
          <w:szCs w:val="28"/>
          <w:lang w:eastAsia="zh-CN"/>
        </w:rPr>
      </w:pPr>
    </w:p>
    <w:p w14:paraId="6E1B4226">
      <w:pPr>
        <w:pStyle w:val="4"/>
        <w:rPr>
          <w:rFonts w:hint="eastAsia" w:ascii="仿宋" w:hAnsi="仿宋" w:eastAsia="仿宋" w:cs="仿宋"/>
          <w:snapToGrid/>
          <w:color w:val="000000"/>
          <w:kern w:val="0"/>
          <w:sz w:val="28"/>
          <w:szCs w:val="28"/>
          <w:lang w:eastAsia="zh-CN"/>
        </w:rPr>
      </w:pPr>
    </w:p>
    <w:p w14:paraId="07D2106E">
      <w:pPr>
        <w:rPr>
          <w:rFonts w:hint="eastAsia" w:ascii="仿宋" w:hAnsi="仿宋" w:eastAsia="仿宋" w:cs="仿宋"/>
          <w:snapToGrid/>
          <w:color w:val="000000"/>
          <w:kern w:val="0"/>
          <w:sz w:val="28"/>
          <w:szCs w:val="28"/>
          <w:lang w:eastAsia="zh-CN"/>
        </w:rPr>
      </w:pPr>
    </w:p>
    <w:p w14:paraId="4FFA228E">
      <w:pPr>
        <w:pStyle w:val="2"/>
        <w:rPr>
          <w:rFonts w:hint="eastAsia"/>
          <w:lang w:eastAsia="zh-CN"/>
        </w:rPr>
      </w:pPr>
    </w:p>
    <w:p w14:paraId="0E712977">
      <w:pPr>
        <w:rPr>
          <w:rFonts w:hint="eastAsia"/>
          <w:lang w:eastAsia="zh-CN"/>
        </w:rPr>
      </w:pPr>
    </w:p>
    <w:p w14:paraId="7008BAD7">
      <w:pPr>
        <w:pStyle w:val="7"/>
        <w:rPr>
          <w:rFonts w:hint="eastAsia" w:ascii="仿宋" w:hAnsi="仿宋" w:eastAsia="仿宋" w:cs="仿宋"/>
          <w:snapToGrid/>
          <w:color w:val="000000"/>
          <w:kern w:val="0"/>
          <w:sz w:val="28"/>
          <w:szCs w:val="28"/>
          <w:lang w:eastAsia="zh-CN"/>
        </w:rPr>
      </w:pPr>
    </w:p>
    <w:p w14:paraId="02C5D8CA">
      <w:pPr>
        <w:pStyle w:val="6"/>
        <w:spacing w:before="124" w:line="222" w:lineRule="auto"/>
        <w:ind w:left="368"/>
        <w:rPr>
          <w:b/>
          <w:bCs/>
          <w:spacing w:val="12"/>
          <w:sz w:val="23"/>
          <w:szCs w:val="23"/>
        </w:rPr>
      </w:pPr>
      <w:r>
        <w:rPr>
          <w:b/>
          <w:bCs/>
          <w:spacing w:val="12"/>
          <w:sz w:val="23"/>
          <w:szCs w:val="23"/>
        </w:rPr>
        <w:t>附件</w:t>
      </w:r>
      <w:r>
        <w:rPr>
          <w:rFonts w:hint="eastAsia"/>
          <w:b/>
          <w:bCs/>
          <w:spacing w:val="12"/>
          <w:sz w:val="23"/>
          <w:szCs w:val="23"/>
          <w:lang w:val="en-US" w:eastAsia="zh-CN"/>
        </w:rPr>
        <w:t>四</w:t>
      </w:r>
      <w:r>
        <w:rPr>
          <w:b/>
          <w:bCs/>
          <w:spacing w:val="12"/>
          <w:sz w:val="23"/>
          <w:szCs w:val="23"/>
        </w:rPr>
        <w:t>：</w:t>
      </w:r>
    </w:p>
    <w:p w14:paraId="7F20888B">
      <w:pPr>
        <w:pStyle w:val="4"/>
        <w:rPr>
          <w:rFonts w:hint="eastAsia" w:ascii="仿宋" w:hAnsi="仿宋" w:eastAsia="仿宋" w:cs="仿宋"/>
          <w:snapToGrid/>
          <w:color w:val="000000"/>
          <w:kern w:val="0"/>
          <w:sz w:val="28"/>
          <w:szCs w:val="28"/>
          <w:lang w:eastAsia="zh-CN"/>
        </w:rPr>
      </w:pPr>
    </w:p>
    <w:tbl>
      <w:tblPr>
        <w:tblStyle w:val="11"/>
        <w:tblW w:w="5160" w:type="pct"/>
        <w:tblInd w:w="0" w:type="dxa"/>
        <w:tblLayout w:type="fixed"/>
        <w:tblCellMar>
          <w:top w:w="0" w:type="dxa"/>
          <w:left w:w="108" w:type="dxa"/>
          <w:bottom w:w="0" w:type="dxa"/>
          <w:right w:w="108" w:type="dxa"/>
        </w:tblCellMar>
      </w:tblPr>
      <w:tblGrid>
        <w:gridCol w:w="1345"/>
        <w:gridCol w:w="4285"/>
        <w:gridCol w:w="974"/>
        <w:gridCol w:w="1263"/>
        <w:gridCol w:w="952"/>
      </w:tblGrid>
      <w:tr w14:paraId="033B4436">
        <w:tblPrEx>
          <w:tblCellMar>
            <w:top w:w="0" w:type="dxa"/>
            <w:left w:w="108" w:type="dxa"/>
            <w:bottom w:w="0" w:type="dxa"/>
            <w:right w:w="108" w:type="dxa"/>
          </w:tblCellMar>
        </w:tblPrEx>
        <w:trPr>
          <w:trHeight w:val="88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C4CCF74">
            <w:pPr>
              <w:autoSpaceDE w:val="0"/>
              <w:autoSpaceDN w:val="0"/>
              <w:spacing w:line="240" w:lineRule="auto"/>
              <w:ind w:firstLine="0" w:firstLineChars="0"/>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eastAsia="zh-CN" w:bidi="ar"/>
              </w:rPr>
              <w:t>履约评价报告</w:t>
            </w:r>
          </w:p>
        </w:tc>
      </w:tr>
      <w:tr w14:paraId="17394E3C">
        <w:tblPrEx>
          <w:tblCellMar>
            <w:top w:w="0" w:type="dxa"/>
            <w:left w:w="108" w:type="dxa"/>
            <w:bottom w:w="0" w:type="dxa"/>
            <w:right w:w="108" w:type="dxa"/>
          </w:tblCellMar>
        </w:tblPrEx>
        <w:trPr>
          <w:trHeight w:val="762"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07CCA5D5">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被评价单位</w:t>
            </w:r>
          </w:p>
        </w:tc>
        <w:tc>
          <w:tcPr>
            <w:tcW w:w="2429" w:type="pct"/>
            <w:tcBorders>
              <w:top w:val="single" w:color="000000" w:sz="4" w:space="0"/>
              <w:left w:val="single" w:color="000000" w:sz="4" w:space="0"/>
              <w:bottom w:val="single" w:color="000000" w:sz="4" w:space="0"/>
              <w:right w:val="single" w:color="000000" w:sz="4" w:space="0"/>
            </w:tcBorders>
            <w:noWrap/>
            <w:vAlign w:val="center"/>
          </w:tcPr>
          <w:p w14:paraId="78D94856">
            <w:pPr>
              <w:spacing w:line="240" w:lineRule="exact"/>
              <w:ind w:firstLine="0" w:firstLineChars="0"/>
              <w:jc w:val="left"/>
              <w:textAlignment w:val="center"/>
              <w:rPr>
                <w:rFonts w:hint="eastAsia" w:ascii="宋体" w:hAnsi="宋体" w:eastAsia="宋体" w:cs="宋体"/>
                <w:color w:val="000000"/>
                <w:sz w:val="22"/>
                <w:szCs w:val="22"/>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6798947D">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评价日期</w:t>
            </w:r>
          </w:p>
        </w:tc>
        <w:tc>
          <w:tcPr>
            <w:tcW w:w="1256" w:type="pct"/>
            <w:gridSpan w:val="2"/>
            <w:tcBorders>
              <w:top w:val="single" w:color="000000" w:sz="4" w:space="0"/>
              <w:left w:val="single" w:color="000000" w:sz="4" w:space="0"/>
              <w:bottom w:val="single" w:color="000000" w:sz="4" w:space="0"/>
              <w:right w:val="single" w:color="000000" w:sz="4" w:space="0"/>
            </w:tcBorders>
            <w:noWrap/>
            <w:vAlign w:val="center"/>
          </w:tcPr>
          <w:p w14:paraId="0749A026">
            <w:pPr>
              <w:widowControl w:val="0"/>
              <w:spacing w:line="240" w:lineRule="exact"/>
              <w:ind w:firstLine="0" w:firstLineChars="0"/>
              <w:jc w:val="left"/>
              <w:rPr>
                <w:rFonts w:hint="eastAsia" w:ascii="宋体" w:hAnsi="宋体" w:eastAsia="宋体" w:cs="宋体"/>
                <w:color w:val="000000"/>
                <w:sz w:val="22"/>
                <w:szCs w:val="22"/>
              </w:rPr>
            </w:pPr>
          </w:p>
        </w:tc>
      </w:tr>
      <w:tr w14:paraId="7DBF7CED">
        <w:tblPrEx>
          <w:tblCellMar>
            <w:top w:w="0" w:type="dxa"/>
            <w:left w:w="108" w:type="dxa"/>
            <w:bottom w:w="0" w:type="dxa"/>
            <w:right w:w="108" w:type="dxa"/>
          </w:tblCellMar>
        </w:tblPrEx>
        <w:trPr>
          <w:trHeight w:val="787"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33FEBAED">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评价单位</w:t>
            </w:r>
          </w:p>
        </w:tc>
        <w:tc>
          <w:tcPr>
            <w:tcW w:w="2429" w:type="pct"/>
            <w:tcBorders>
              <w:top w:val="single" w:color="000000" w:sz="4" w:space="0"/>
              <w:left w:val="single" w:color="000000" w:sz="4" w:space="0"/>
              <w:bottom w:val="single" w:color="000000" w:sz="4" w:space="0"/>
              <w:right w:val="single" w:color="000000" w:sz="4" w:space="0"/>
            </w:tcBorders>
            <w:noWrap/>
            <w:vAlign w:val="center"/>
          </w:tcPr>
          <w:p w14:paraId="6061F080">
            <w:pPr>
              <w:spacing w:line="240" w:lineRule="exact"/>
              <w:ind w:firstLine="0" w:firstLineChars="0"/>
              <w:jc w:val="left"/>
              <w:textAlignment w:val="center"/>
              <w:rPr>
                <w:rFonts w:hint="eastAsia" w:ascii="宋体" w:hAnsi="宋体" w:eastAsia="宋体" w:cs="宋体"/>
                <w:color w:val="000000"/>
                <w:sz w:val="22"/>
                <w:szCs w:val="22"/>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6321BADC">
            <w:pPr>
              <w:spacing w:line="36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类型</w:t>
            </w:r>
          </w:p>
        </w:tc>
        <w:tc>
          <w:tcPr>
            <w:tcW w:w="1256" w:type="pct"/>
            <w:gridSpan w:val="2"/>
            <w:tcBorders>
              <w:top w:val="single" w:color="000000" w:sz="4" w:space="0"/>
              <w:left w:val="single" w:color="000000" w:sz="4" w:space="0"/>
              <w:bottom w:val="single" w:color="000000" w:sz="4" w:space="0"/>
              <w:right w:val="single" w:color="000000" w:sz="4" w:space="0"/>
            </w:tcBorders>
            <w:noWrap/>
            <w:vAlign w:val="center"/>
          </w:tcPr>
          <w:p w14:paraId="062DBE63">
            <w:pPr>
              <w:spacing w:line="360" w:lineRule="exact"/>
              <w:ind w:firstLine="0" w:firstLineChars="0"/>
              <w:jc w:val="left"/>
              <w:textAlignment w:val="center"/>
              <w:rPr>
                <w:rFonts w:ascii="Arial" w:hAnsi="Arial" w:eastAsia="宋体" w:cs="Arial"/>
                <w:color w:val="000000"/>
                <w:sz w:val="36"/>
                <w:szCs w:val="36"/>
                <w:lang w:eastAsia="zh-CN"/>
              </w:rPr>
            </w:pPr>
            <w:r>
              <w:rPr>
                <w:rFonts w:ascii="Arial" w:hAnsi="Arial" w:eastAsia="宋体" w:cs="Arial"/>
                <w:color w:val="000000"/>
                <w:sz w:val="36"/>
                <w:szCs w:val="36"/>
                <w:lang w:eastAsia="zh-CN"/>
              </w:rPr>
              <w:t>□</w:t>
            </w:r>
            <w:r>
              <w:rPr>
                <w:rFonts w:hint="eastAsia" w:ascii="Arial" w:hAnsi="Arial" w:eastAsia="宋体" w:cs="Arial"/>
                <w:color w:val="000000"/>
                <w:sz w:val="21"/>
                <w:szCs w:val="21"/>
                <w:lang w:eastAsia="zh-CN"/>
              </w:rPr>
              <w:t>货物</w:t>
            </w:r>
            <w:r>
              <w:rPr>
                <w:rFonts w:ascii="Arial" w:hAnsi="Arial" w:eastAsia="宋体" w:cs="Arial"/>
                <w:color w:val="000000"/>
                <w:sz w:val="36"/>
                <w:szCs w:val="36"/>
                <w:lang w:eastAsia="zh-CN"/>
              </w:rPr>
              <w:t>□</w:t>
            </w:r>
            <w:r>
              <w:rPr>
                <w:rFonts w:hint="eastAsia" w:ascii="Arial" w:hAnsi="Arial" w:eastAsia="宋体" w:cs="Arial"/>
                <w:color w:val="000000"/>
                <w:sz w:val="21"/>
                <w:szCs w:val="21"/>
                <w:lang w:eastAsia="zh-CN"/>
              </w:rPr>
              <w:t>服务</w:t>
            </w:r>
          </w:p>
        </w:tc>
      </w:tr>
      <w:tr w14:paraId="5BBE5964">
        <w:tblPrEx>
          <w:tblCellMar>
            <w:top w:w="0" w:type="dxa"/>
            <w:left w:w="108" w:type="dxa"/>
            <w:bottom w:w="0" w:type="dxa"/>
            <w:right w:w="108" w:type="dxa"/>
          </w:tblCellMar>
        </w:tblPrEx>
        <w:trPr>
          <w:trHeight w:val="570"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012A2CE4">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合同名称</w:t>
            </w:r>
          </w:p>
        </w:tc>
        <w:tc>
          <w:tcPr>
            <w:tcW w:w="4237" w:type="pct"/>
            <w:gridSpan w:val="4"/>
            <w:tcBorders>
              <w:top w:val="single" w:color="000000" w:sz="4" w:space="0"/>
              <w:left w:val="single" w:color="000000" w:sz="4" w:space="0"/>
              <w:bottom w:val="single" w:color="000000" w:sz="4" w:space="0"/>
              <w:right w:val="single" w:color="000000" w:sz="4" w:space="0"/>
            </w:tcBorders>
            <w:noWrap/>
            <w:vAlign w:val="center"/>
          </w:tcPr>
          <w:p w14:paraId="3CDA0866">
            <w:pPr>
              <w:spacing w:line="240" w:lineRule="exact"/>
              <w:ind w:firstLine="0" w:firstLineChars="0"/>
              <w:jc w:val="left"/>
              <w:textAlignment w:val="center"/>
              <w:rPr>
                <w:rFonts w:hint="eastAsia" w:ascii="宋体" w:hAnsi="宋体" w:eastAsia="宋体" w:cs="宋体"/>
                <w:color w:val="000000"/>
                <w:sz w:val="22"/>
                <w:szCs w:val="22"/>
              </w:rPr>
            </w:pPr>
          </w:p>
        </w:tc>
      </w:tr>
      <w:tr w14:paraId="197A1E39">
        <w:tblPrEx>
          <w:tblCellMar>
            <w:top w:w="0" w:type="dxa"/>
            <w:left w:w="108" w:type="dxa"/>
            <w:bottom w:w="0" w:type="dxa"/>
            <w:right w:w="108" w:type="dxa"/>
          </w:tblCellMar>
        </w:tblPrEx>
        <w:trPr>
          <w:trHeight w:val="546"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2037AED2">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合同号</w:t>
            </w:r>
          </w:p>
        </w:tc>
        <w:tc>
          <w:tcPr>
            <w:tcW w:w="2429" w:type="pct"/>
            <w:tcBorders>
              <w:top w:val="single" w:color="000000" w:sz="4" w:space="0"/>
              <w:left w:val="single" w:color="000000" w:sz="4" w:space="0"/>
              <w:bottom w:val="single" w:color="000000" w:sz="4" w:space="0"/>
              <w:right w:val="single" w:color="000000" w:sz="4" w:space="0"/>
            </w:tcBorders>
            <w:noWrap/>
            <w:vAlign w:val="center"/>
          </w:tcPr>
          <w:p w14:paraId="0BC54CA2">
            <w:pPr>
              <w:spacing w:line="240" w:lineRule="exact"/>
              <w:ind w:firstLine="0" w:firstLineChars="0"/>
              <w:jc w:val="left"/>
              <w:textAlignment w:val="center"/>
              <w:rPr>
                <w:rFonts w:hint="eastAsia" w:ascii="宋体" w:hAnsi="宋体" w:eastAsia="宋体" w:cs="宋体"/>
                <w:color w:val="000000"/>
                <w:sz w:val="22"/>
                <w:szCs w:val="22"/>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45676FA1">
            <w:pPr>
              <w:spacing w:line="240" w:lineRule="exact"/>
              <w:ind w:firstLine="0" w:firstLineChars="0"/>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lang w:eastAsia="zh-CN" w:bidi="ar"/>
              </w:rPr>
              <w:t>合同价</w:t>
            </w:r>
          </w:p>
        </w:tc>
        <w:tc>
          <w:tcPr>
            <w:tcW w:w="1256" w:type="pct"/>
            <w:gridSpan w:val="2"/>
            <w:tcBorders>
              <w:top w:val="single" w:color="000000" w:sz="4" w:space="0"/>
              <w:left w:val="single" w:color="000000" w:sz="4" w:space="0"/>
              <w:bottom w:val="single" w:color="000000" w:sz="4" w:space="0"/>
              <w:right w:val="single" w:color="000000" w:sz="4" w:space="0"/>
            </w:tcBorders>
            <w:noWrap/>
            <w:vAlign w:val="center"/>
          </w:tcPr>
          <w:p w14:paraId="39699238">
            <w:pPr>
              <w:spacing w:line="240" w:lineRule="exact"/>
              <w:ind w:firstLine="0" w:firstLineChars="0"/>
              <w:jc w:val="right"/>
              <w:textAlignment w:val="center"/>
              <w:rPr>
                <w:rFonts w:hint="eastAsia" w:ascii="宋体" w:hAnsi="宋体" w:eastAsia="宋体" w:cs="宋体"/>
                <w:color w:val="000000"/>
                <w:sz w:val="22"/>
                <w:szCs w:val="22"/>
              </w:rPr>
            </w:pPr>
          </w:p>
        </w:tc>
      </w:tr>
      <w:tr w14:paraId="05E69FA6">
        <w:tblPrEx>
          <w:tblCellMar>
            <w:top w:w="0" w:type="dxa"/>
            <w:left w:w="108" w:type="dxa"/>
            <w:bottom w:w="0" w:type="dxa"/>
            <w:right w:w="108" w:type="dxa"/>
          </w:tblCellMar>
        </w:tblPrEx>
        <w:trPr>
          <w:trHeight w:val="736" w:hRule="atLeast"/>
        </w:trPr>
        <w:tc>
          <w:tcPr>
            <w:tcW w:w="4460" w:type="pct"/>
            <w:gridSpan w:val="4"/>
            <w:tcBorders>
              <w:top w:val="single" w:color="000000" w:sz="4" w:space="0"/>
              <w:left w:val="single" w:color="000000" w:sz="4" w:space="0"/>
              <w:bottom w:val="single" w:color="000000" w:sz="4" w:space="0"/>
              <w:right w:val="single" w:color="000000" w:sz="4" w:space="0"/>
            </w:tcBorders>
            <w:noWrap/>
            <w:vAlign w:val="center"/>
          </w:tcPr>
          <w:p w14:paraId="4EE1042F">
            <w:pPr>
              <w:autoSpaceDE w:val="0"/>
              <w:autoSpaceDN w:val="0"/>
              <w:spacing w:line="240" w:lineRule="auto"/>
              <w:ind w:firstLine="0" w:firstLineChars="0"/>
              <w:jc w:val="left"/>
              <w:textAlignment w:val="center"/>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bidi="ar"/>
              </w:rPr>
              <w:t>履约评分项目及得分情况</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D519664">
            <w:pPr>
              <w:widowControl w:val="0"/>
              <w:autoSpaceDE w:val="0"/>
              <w:autoSpaceDN w:val="0"/>
              <w:spacing w:line="240" w:lineRule="auto"/>
              <w:ind w:firstLine="0" w:firstLineChars="0"/>
              <w:jc w:val="left"/>
              <w:rPr>
                <w:rFonts w:hint="eastAsia" w:ascii="宋体" w:hAnsi="宋体" w:eastAsia="宋体" w:cs="宋体"/>
                <w:color w:val="000000"/>
                <w:sz w:val="22"/>
                <w:szCs w:val="22"/>
                <w:lang w:eastAsia="zh-CN"/>
              </w:rPr>
            </w:pPr>
          </w:p>
        </w:tc>
      </w:tr>
      <w:tr w14:paraId="05E39868">
        <w:tblPrEx>
          <w:tblCellMar>
            <w:top w:w="0" w:type="dxa"/>
            <w:left w:w="108" w:type="dxa"/>
            <w:bottom w:w="0" w:type="dxa"/>
            <w:right w:w="108" w:type="dxa"/>
          </w:tblCellMar>
        </w:tblPrEx>
        <w:trPr>
          <w:trHeight w:val="636"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4FF952C3">
            <w:pPr>
              <w:spacing w:line="300" w:lineRule="exact"/>
              <w:ind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序号</w:t>
            </w:r>
          </w:p>
        </w:tc>
        <w:tc>
          <w:tcPr>
            <w:tcW w:w="3697" w:type="pct"/>
            <w:gridSpan w:val="3"/>
            <w:tcBorders>
              <w:top w:val="single" w:color="000000" w:sz="4" w:space="0"/>
              <w:left w:val="single" w:color="000000" w:sz="4" w:space="0"/>
              <w:bottom w:val="single" w:color="000000" w:sz="4" w:space="0"/>
              <w:right w:val="single" w:color="000000" w:sz="4" w:space="0"/>
            </w:tcBorders>
            <w:vAlign w:val="center"/>
          </w:tcPr>
          <w:p w14:paraId="4E4AB52B">
            <w:pPr>
              <w:spacing w:line="300" w:lineRule="exact"/>
              <w:ind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分项内容</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5FBADD56">
            <w:pPr>
              <w:spacing w:line="300" w:lineRule="exact"/>
              <w:ind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得分</w:t>
            </w:r>
          </w:p>
        </w:tc>
      </w:tr>
      <w:tr w14:paraId="6F642D39">
        <w:tblPrEx>
          <w:tblCellMar>
            <w:top w:w="0" w:type="dxa"/>
            <w:left w:w="108" w:type="dxa"/>
            <w:bottom w:w="0" w:type="dxa"/>
            <w:right w:w="108" w:type="dxa"/>
          </w:tblCellMar>
        </w:tblPrEx>
        <w:trPr>
          <w:trHeight w:val="1105"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344D149C">
            <w:pPr>
              <w:spacing w:line="300" w:lineRule="exact"/>
              <w:ind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1</w:t>
            </w:r>
          </w:p>
        </w:tc>
        <w:tc>
          <w:tcPr>
            <w:tcW w:w="3697" w:type="pct"/>
            <w:gridSpan w:val="3"/>
            <w:tcBorders>
              <w:top w:val="single" w:color="000000" w:sz="4" w:space="0"/>
              <w:left w:val="single" w:color="000000" w:sz="4" w:space="0"/>
              <w:bottom w:val="single" w:color="000000" w:sz="4" w:space="0"/>
              <w:right w:val="single" w:color="000000" w:sz="4" w:space="0"/>
            </w:tcBorders>
            <w:noWrap/>
            <w:vAlign w:val="center"/>
          </w:tcPr>
          <w:p w14:paraId="0BFB71BB">
            <w:pPr>
              <w:spacing w:line="300" w:lineRule="exact"/>
              <w:ind w:firstLine="0" w:firstLineChars="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服务商具备快速解决问题的能力，能快速有效解决实施过程中出现的故障，故障处理率达100%得20分，其余酌情给分。</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70F9A34E">
            <w:pPr>
              <w:spacing w:line="300" w:lineRule="exact"/>
              <w:ind w:firstLine="0" w:firstLineChars="0"/>
              <w:jc w:val="left"/>
              <w:rPr>
                <w:rFonts w:hint="eastAsia" w:ascii="宋体" w:hAnsi="宋体" w:eastAsia="宋体" w:cs="宋体"/>
                <w:color w:val="000000"/>
                <w:sz w:val="22"/>
                <w:szCs w:val="22"/>
                <w:lang w:eastAsia="zh-CN"/>
              </w:rPr>
            </w:pPr>
          </w:p>
        </w:tc>
      </w:tr>
      <w:tr w14:paraId="35FB31F0">
        <w:tblPrEx>
          <w:tblCellMar>
            <w:top w:w="0" w:type="dxa"/>
            <w:left w:w="108" w:type="dxa"/>
            <w:bottom w:w="0" w:type="dxa"/>
            <w:right w:w="108" w:type="dxa"/>
          </w:tblCellMar>
        </w:tblPrEx>
        <w:trPr>
          <w:trHeight w:val="1033"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499A4D54">
            <w:pPr>
              <w:spacing w:line="300" w:lineRule="exact"/>
              <w:ind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2</w:t>
            </w:r>
          </w:p>
        </w:tc>
        <w:tc>
          <w:tcPr>
            <w:tcW w:w="3697" w:type="pct"/>
            <w:gridSpan w:val="3"/>
            <w:tcBorders>
              <w:top w:val="single" w:color="000000" w:sz="4" w:space="0"/>
              <w:left w:val="single" w:color="000000" w:sz="4" w:space="0"/>
              <w:bottom w:val="single" w:color="000000" w:sz="4" w:space="0"/>
              <w:right w:val="single" w:color="000000" w:sz="4" w:space="0"/>
            </w:tcBorders>
            <w:noWrap/>
            <w:vAlign w:val="center"/>
          </w:tcPr>
          <w:p w14:paraId="1AB5BA2C">
            <w:pPr>
              <w:spacing w:line="300" w:lineRule="exact"/>
              <w:ind w:firstLine="0" w:firstLineChars="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服务商在项目实施过程中满足各合同条款的约定，严格执行合同要求得20分，每不满足一项扣2分，扣完为止。</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4683FDA4">
            <w:pPr>
              <w:spacing w:line="300" w:lineRule="exact"/>
              <w:ind w:firstLine="0" w:firstLineChars="0"/>
              <w:jc w:val="left"/>
              <w:rPr>
                <w:rFonts w:hint="eastAsia" w:ascii="宋体" w:hAnsi="宋体" w:eastAsia="宋体" w:cs="宋体"/>
                <w:color w:val="000000"/>
                <w:sz w:val="22"/>
                <w:szCs w:val="22"/>
                <w:lang w:eastAsia="zh-CN"/>
              </w:rPr>
            </w:pPr>
          </w:p>
        </w:tc>
      </w:tr>
      <w:tr w14:paraId="52365530">
        <w:tblPrEx>
          <w:tblCellMar>
            <w:top w:w="0" w:type="dxa"/>
            <w:left w:w="108" w:type="dxa"/>
            <w:bottom w:w="0" w:type="dxa"/>
            <w:right w:w="108" w:type="dxa"/>
          </w:tblCellMar>
        </w:tblPrEx>
        <w:trPr>
          <w:trHeight w:val="775"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0604FFC6">
            <w:pPr>
              <w:spacing w:line="300" w:lineRule="exact"/>
              <w:ind w:firstLine="0" w:firstLineChars="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bidi="ar"/>
              </w:rPr>
              <w:t>3</w:t>
            </w:r>
          </w:p>
        </w:tc>
        <w:tc>
          <w:tcPr>
            <w:tcW w:w="3697" w:type="pct"/>
            <w:gridSpan w:val="3"/>
            <w:tcBorders>
              <w:top w:val="single" w:color="000000" w:sz="4" w:space="0"/>
              <w:left w:val="single" w:color="000000" w:sz="4" w:space="0"/>
              <w:bottom w:val="single" w:color="000000" w:sz="4" w:space="0"/>
              <w:right w:val="single" w:color="000000" w:sz="4" w:space="0"/>
            </w:tcBorders>
            <w:noWrap/>
            <w:vAlign w:val="center"/>
          </w:tcPr>
          <w:p w14:paraId="3D5C3111">
            <w:pPr>
              <w:spacing w:line="300" w:lineRule="exact"/>
              <w:ind w:firstLine="0" w:firstLineChars="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未发现有泄露客户技术、商业等信息得30分，发现一次扣5分，扣完为止。</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2FF53727">
            <w:pPr>
              <w:spacing w:line="300" w:lineRule="exact"/>
              <w:ind w:firstLine="0" w:firstLineChars="0"/>
              <w:jc w:val="left"/>
              <w:rPr>
                <w:rFonts w:hint="eastAsia" w:ascii="宋体" w:hAnsi="宋体" w:eastAsia="宋体" w:cs="宋体"/>
                <w:color w:val="000000"/>
                <w:sz w:val="22"/>
                <w:szCs w:val="22"/>
                <w:lang w:eastAsia="zh-CN"/>
              </w:rPr>
            </w:pPr>
          </w:p>
        </w:tc>
      </w:tr>
      <w:tr w14:paraId="4ADE3F2E">
        <w:trPr>
          <w:trHeight w:val="996"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2BB8C57C">
            <w:pPr>
              <w:spacing w:line="300" w:lineRule="exact"/>
              <w:ind w:firstLine="0" w:firstLineChars="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bidi="ar"/>
              </w:rPr>
              <w:t>4</w:t>
            </w:r>
          </w:p>
        </w:tc>
        <w:tc>
          <w:tcPr>
            <w:tcW w:w="3697" w:type="pct"/>
            <w:gridSpan w:val="3"/>
            <w:tcBorders>
              <w:top w:val="single" w:color="000000" w:sz="4" w:space="0"/>
              <w:left w:val="single" w:color="000000" w:sz="4" w:space="0"/>
              <w:bottom w:val="single" w:color="000000" w:sz="4" w:space="0"/>
              <w:right w:val="single" w:color="000000" w:sz="4" w:space="0"/>
            </w:tcBorders>
            <w:noWrap/>
            <w:vAlign w:val="center"/>
          </w:tcPr>
          <w:p w14:paraId="34D4A372">
            <w:pPr>
              <w:spacing w:line="300" w:lineRule="exact"/>
              <w:ind w:firstLine="0" w:firstLineChars="0"/>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服务商在项目实施中未出现违反国家法律法规、监管要求等情况得30分，每出现一次扣5分，扣完为止。</w:t>
            </w:r>
          </w:p>
        </w:tc>
        <w:tc>
          <w:tcPr>
            <w:tcW w:w="539" w:type="pct"/>
            <w:tcBorders>
              <w:top w:val="single" w:color="000000" w:sz="4" w:space="0"/>
              <w:left w:val="single" w:color="000000" w:sz="4" w:space="0"/>
              <w:bottom w:val="single" w:color="000000" w:sz="4" w:space="0"/>
              <w:right w:val="single" w:color="000000" w:sz="4" w:space="0"/>
            </w:tcBorders>
            <w:noWrap/>
            <w:vAlign w:val="center"/>
          </w:tcPr>
          <w:p w14:paraId="3B8EADB0">
            <w:pPr>
              <w:spacing w:line="300" w:lineRule="exact"/>
              <w:ind w:firstLine="0" w:firstLineChars="0"/>
              <w:jc w:val="left"/>
              <w:rPr>
                <w:rFonts w:hint="eastAsia" w:ascii="宋体" w:hAnsi="宋体" w:eastAsia="宋体" w:cs="宋体"/>
                <w:color w:val="000000"/>
                <w:sz w:val="22"/>
                <w:szCs w:val="22"/>
                <w:lang w:eastAsia="zh-CN"/>
              </w:rPr>
            </w:pPr>
          </w:p>
        </w:tc>
      </w:tr>
      <w:tr w14:paraId="131504C5">
        <w:tblPrEx>
          <w:tblCellMar>
            <w:top w:w="0" w:type="dxa"/>
            <w:left w:w="108" w:type="dxa"/>
            <w:bottom w:w="0" w:type="dxa"/>
            <w:right w:w="108" w:type="dxa"/>
          </w:tblCellMar>
        </w:tblPrEx>
        <w:trPr>
          <w:trHeight w:val="736"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711921C4">
            <w:pPr>
              <w:autoSpaceDE w:val="0"/>
              <w:autoSpaceDN w:val="0"/>
              <w:spacing w:line="240" w:lineRule="auto"/>
              <w:ind w:firstLine="0"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最终得分</w:t>
            </w:r>
          </w:p>
        </w:tc>
        <w:tc>
          <w:tcPr>
            <w:tcW w:w="4237" w:type="pct"/>
            <w:gridSpan w:val="4"/>
            <w:tcBorders>
              <w:top w:val="single" w:color="000000" w:sz="4" w:space="0"/>
              <w:left w:val="single" w:color="000000" w:sz="4" w:space="0"/>
              <w:bottom w:val="single" w:color="000000" w:sz="4" w:space="0"/>
              <w:right w:val="single" w:color="000000" w:sz="4" w:space="0"/>
            </w:tcBorders>
            <w:noWrap/>
            <w:vAlign w:val="center"/>
          </w:tcPr>
          <w:p w14:paraId="45ECE393">
            <w:pPr>
              <w:widowControl w:val="0"/>
              <w:autoSpaceDE w:val="0"/>
              <w:autoSpaceDN w:val="0"/>
              <w:spacing w:line="240" w:lineRule="auto"/>
              <w:ind w:firstLine="0" w:firstLineChars="0"/>
              <w:jc w:val="center"/>
              <w:rPr>
                <w:rFonts w:hint="eastAsia" w:ascii="宋体" w:hAnsi="宋体" w:eastAsia="宋体" w:cs="宋体"/>
                <w:color w:val="000000"/>
                <w:sz w:val="22"/>
                <w:szCs w:val="22"/>
              </w:rPr>
            </w:pPr>
          </w:p>
        </w:tc>
      </w:tr>
      <w:tr w14:paraId="2D534012">
        <w:tblPrEx>
          <w:tblCellMar>
            <w:top w:w="0" w:type="dxa"/>
            <w:left w:w="108" w:type="dxa"/>
            <w:bottom w:w="0" w:type="dxa"/>
            <w:right w:w="108" w:type="dxa"/>
          </w:tblCellMar>
        </w:tblPrEx>
        <w:trPr>
          <w:trHeight w:val="756"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21AE0236">
            <w:pPr>
              <w:autoSpaceDE w:val="0"/>
              <w:autoSpaceDN w:val="0"/>
              <w:spacing w:line="240" w:lineRule="auto"/>
              <w:ind w:firstLine="0"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评价等级</w:t>
            </w:r>
          </w:p>
        </w:tc>
        <w:tc>
          <w:tcPr>
            <w:tcW w:w="4237" w:type="pct"/>
            <w:gridSpan w:val="4"/>
            <w:tcBorders>
              <w:top w:val="single" w:color="000000" w:sz="4" w:space="0"/>
              <w:left w:val="single" w:color="000000" w:sz="4" w:space="0"/>
              <w:bottom w:val="single" w:color="000000" w:sz="4" w:space="0"/>
              <w:right w:val="single" w:color="000000" w:sz="4" w:space="0"/>
            </w:tcBorders>
            <w:noWrap/>
            <w:vAlign w:val="center"/>
          </w:tcPr>
          <w:p w14:paraId="65C47DDA">
            <w:pPr>
              <w:autoSpaceDE w:val="0"/>
              <w:autoSpaceDN w:val="0"/>
              <w:spacing w:line="240" w:lineRule="auto"/>
              <w:ind w:firstLine="0" w:firstLineChars="0"/>
              <w:jc w:val="left"/>
              <w:textAlignment w:val="center"/>
              <w:rPr>
                <w:rFonts w:hint="eastAsia" w:ascii="宋体" w:hAnsi="宋体" w:eastAsia="宋体" w:cs="宋体"/>
                <w:color w:val="000000"/>
                <w:sz w:val="36"/>
                <w:szCs w:val="36"/>
              </w:rPr>
            </w:pPr>
            <w:r>
              <w:rPr>
                <w:rFonts w:hint="eastAsia" w:ascii="宋体" w:hAnsi="宋体" w:eastAsia="宋体" w:cs="宋体"/>
                <w:color w:val="000000"/>
                <w:sz w:val="36"/>
                <w:szCs w:val="36"/>
                <w:lang w:eastAsia="zh-CN" w:bidi="ar"/>
              </w:rPr>
              <w:t>□</w:t>
            </w:r>
            <w:r>
              <w:rPr>
                <w:rFonts w:hint="eastAsia" w:ascii="宋体" w:hAnsi="宋体" w:eastAsia="宋体" w:cs="宋体"/>
                <w:color w:val="000000"/>
                <w:sz w:val="22"/>
                <w:szCs w:val="22"/>
                <w:lang w:eastAsia="zh-CN" w:bidi="ar"/>
              </w:rPr>
              <w:t>不合格&lt;60；</w:t>
            </w:r>
            <w:r>
              <w:rPr>
                <w:rFonts w:hint="eastAsia" w:ascii="宋体" w:hAnsi="宋体" w:eastAsia="宋体" w:cs="宋体"/>
                <w:color w:val="000000"/>
                <w:sz w:val="36"/>
                <w:szCs w:val="36"/>
                <w:lang w:eastAsia="zh-CN" w:bidi="ar"/>
              </w:rPr>
              <w:t>□</w:t>
            </w:r>
            <w:r>
              <w:rPr>
                <w:rFonts w:hint="eastAsia" w:ascii="宋体" w:hAnsi="宋体" w:eastAsia="宋体" w:cs="宋体"/>
                <w:color w:val="000000"/>
                <w:sz w:val="22"/>
                <w:szCs w:val="22"/>
                <w:lang w:eastAsia="zh-CN" w:bidi="ar"/>
              </w:rPr>
              <w:t>合格60-70;</w:t>
            </w:r>
            <w:r>
              <w:rPr>
                <w:rFonts w:hint="eastAsia" w:ascii="宋体" w:hAnsi="宋体" w:eastAsia="宋体" w:cs="宋体"/>
                <w:color w:val="000000"/>
                <w:sz w:val="36"/>
                <w:szCs w:val="36"/>
                <w:lang w:eastAsia="zh-CN" w:bidi="ar"/>
              </w:rPr>
              <w:t>□</w:t>
            </w:r>
            <w:r>
              <w:rPr>
                <w:rFonts w:hint="eastAsia" w:ascii="宋体" w:hAnsi="宋体" w:eastAsia="宋体" w:cs="宋体"/>
                <w:color w:val="000000"/>
                <w:sz w:val="22"/>
                <w:szCs w:val="22"/>
                <w:lang w:eastAsia="zh-CN" w:bidi="ar"/>
              </w:rPr>
              <w:t>中等70-80；</w:t>
            </w:r>
            <w:r>
              <w:rPr>
                <w:rFonts w:hint="eastAsia" w:ascii="宋体" w:hAnsi="宋体" w:eastAsia="宋体" w:cs="宋体"/>
                <w:color w:val="000000"/>
                <w:sz w:val="36"/>
                <w:szCs w:val="36"/>
                <w:lang w:eastAsia="zh-CN" w:bidi="ar"/>
              </w:rPr>
              <w:t>□</w:t>
            </w:r>
            <w:r>
              <w:rPr>
                <w:rFonts w:hint="eastAsia" w:ascii="宋体" w:hAnsi="宋体" w:eastAsia="宋体" w:cs="宋体"/>
                <w:color w:val="000000"/>
                <w:sz w:val="22"/>
                <w:szCs w:val="22"/>
                <w:lang w:eastAsia="zh-CN" w:bidi="ar"/>
              </w:rPr>
              <w:t>良好80-90；</w:t>
            </w:r>
            <w:r>
              <w:rPr>
                <w:rFonts w:hint="eastAsia" w:ascii="宋体" w:hAnsi="宋体" w:eastAsia="宋体" w:cs="宋体"/>
                <w:color w:val="000000"/>
                <w:sz w:val="36"/>
                <w:szCs w:val="36"/>
                <w:lang w:eastAsia="zh-CN" w:bidi="ar"/>
              </w:rPr>
              <w:t>□</w:t>
            </w:r>
            <w:r>
              <w:rPr>
                <w:rFonts w:hint="eastAsia" w:ascii="宋体" w:hAnsi="宋体" w:eastAsia="宋体" w:cs="宋体"/>
                <w:color w:val="000000"/>
                <w:sz w:val="22"/>
                <w:szCs w:val="22"/>
                <w:lang w:eastAsia="zh-CN" w:bidi="ar"/>
              </w:rPr>
              <w:t>优秀90-100。</w:t>
            </w:r>
          </w:p>
        </w:tc>
      </w:tr>
      <w:tr w14:paraId="56636C11">
        <w:tblPrEx>
          <w:tblCellMar>
            <w:top w:w="0" w:type="dxa"/>
            <w:left w:w="108" w:type="dxa"/>
            <w:bottom w:w="0" w:type="dxa"/>
            <w:right w:w="108" w:type="dxa"/>
          </w:tblCellMar>
        </w:tblPrEx>
        <w:trPr>
          <w:trHeight w:val="1503"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0DAFBE66">
            <w:pPr>
              <w:autoSpaceDE w:val="0"/>
              <w:autoSpaceDN w:val="0"/>
              <w:spacing w:line="240" w:lineRule="auto"/>
              <w:ind w:firstLine="0"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bidi="ar"/>
              </w:rPr>
              <w:t>单位盖章</w:t>
            </w:r>
          </w:p>
        </w:tc>
        <w:tc>
          <w:tcPr>
            <w:tcW w:w="4237" w:type="pct"/>
            <w:gridSpan w:val="4"/>
            <w:tcBorders>
              <w:top w:val="single" w:color="000000" w:sz="4" w:space="0"/>
              <w:left w:val="single" w:color="000000" w:sz="4" w:space="0"/>
              <w:bottom w:val="single" w:color="000000" w:sz="4" w:space="0"/>
              <w:right w:val="single" w:color="000000" w:sz="4" w:space="0"/>
            </w:tcBorders>
            <w:noWrap/>
            <w:vAlign w:val="center"/>
          </w:tcPr>
          <w:p w14:paraId="03628606">
            <w:pPr>
              <w:autoSpaceDE w:val="0"/>
              <w:autoSpaceDN w:val="0"/>
              <w:spacing w:line="240" w:lineRule="auto"/>
              <w:ind w:firstLine="0" w:firstLineChars="0"/>
              <w:jc w:val="left"/>
              <w:textAlignment w:val="center"/>
              <w:rPr>
                <w:rFonts w:hint="eastAsia" w:ascii="宋体" w:hAnsi="宋体" w:eastAsia="宋体" w:cs="宋体"/>
                <w:color w:val="000000"/>
                <w:sz w:val="22"/>
                <w:szCs w:val="22"/>
              </w:rPr>
            </w:pPr>
          </w:p>
        </w:tc>
      </w:tr>
    </w:tbl>
    <w:p w14:paraId="5906C885"/>
    <w:sectPr>
      <w:pgSz w:w="11900" w:h="16830"/>
      <w:pgMar w:top="1430" w:right="1785"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7B4A">
    <w:pPr>
      <w:spacing w:line="214" w:lineRule="auto"/>
      <w:ind w:left="3555"/>
      <w:rPr>
        <w:rFonts w:ascii="宋体" w:hAnsi="宋体" w:eastAsia="宋体" w:cs="宋体"/>
        <w:sz w:val="26"/>
        <w:szCs w:val="26"/>
      </w:rPr>
    </w:pPr>
    <w:r>
      <w:rPr>
        <w:sz w:val="19"/>
      </w:rPr>
      <mc:AlternateContent>
        <mc:Choice Requires="wps">
          <w:drawing>
            <wp:anchor distT="0" distB="0" distL="114300" distR="114300" simplePos="0" relativeHeight="251659264" behindDoc="0" locked="0" layoutInCell="1" allowOverlap="1">
              <wp:simplePos x="0" y="0"/>
              <wp:positionH relativeFrom="margin">
                <wp:posOffset>2395855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305EE">
                          <w:pPr>
                            <w:pStyle w:val="8"/>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8.65pt;margin-top:1.5pt;height:144pt;width:144pt;mso-position-horizontal-relative:margin;mso-wrap-style:none;z-index:251659264;mso-width-relative:page;mso-height-relative:page;" filled="f" stroked="f" coordsize="21600,21600" o:gfxdata="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WUugD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9A305EE">
                    <w:pPr>
                      <w:pStyle w:val="8"/>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0B47ED"/>
    <w:rsid w:val="10AA5E64"/>
    <w:rsid w:val="15835F06"/>
    <w:rsid w:val="15A8795A"/>
    <w:rsid w:val="1818774A"/>
    <w:rsid w:val="18E20A34"/>
    <w:rsid w:val="198A086E"/>
    <w:rsid w:val="1ADB6959"/>
    <w:rsid w:val="1F9820E8"/>
    <w:rsid w:val="22646623"/>
    <w:rsid w:val="274C7289"/>
    <w:rsid w:val="29A462E1"/>
    <w:rsid w:val="34A54888"/>
    <w:rsid w:val="3592691D"/>
    <w:rsid w:val="359606A2"/>
    <w:rsid w:val="37FE2FFD"/>
    <w:rsid w:val="391042C3"/>
    <w:rsid w:val="3A1005F4"/>
    <w:rsid w:val="3BA1366A"/>
    <w:rsid w:val="3EC17D9D"/>
    <w:rsid w:val="407411E7"/>
    <w:rsid w:val="432248E3"/>
    <w:rsid w:val="438F6F4D"/>
    <w:rsid w:val="47253D5E"/>
    <w:rsid w:val="4B766C85"/>
    <w:rsid w:val="507171EA"/>
    <w:rsid w:val="53AA2853"/>
    <w:rsid w:val="56862AB8"/>
    <w:rsid w:val="56A9669F"/>
    <w:rsid w:val="56F87A38"/>
    <w:rsid w:val="61C86CA3"/>
    <w:rsid w:val="6C333DFD"/>
    <w:rsid w:val="6DD208FC"/>
    <w:rsid w:val="6E480966"/>
    <w:rsid w:val="711D7CB7"/>
    <w:rsid w:val="737D1F6C"/>
    <w:rsid w:val="783F2F8B"/>
    <w:rsid w:val="7BAE3B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40" w:after="240"/>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4">
    <w:name w:val="index 8"/>
    <w:basedOn w:val="1"/>
    <w:next w:val="1"/>
    <w:semiHidden/>
    <w:qFormat/>
    <w:uiPriority w:val="0"/>
    <w:pPr>
      <w:ind w:left="1680" w:hanging="210"/>
      <w:jc w:val="left"/>
    </w:pPr>
    <w:rPr>
      <w:rFonts w:ascii="Times New Roman" w:hAnsi="Times New Roman"/>
      <w:sz w:val="20"/>
      <w:szCs w:val="20"/>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27"/>
      <w:szCs w:val="27"/>
      <w:lang w:val="en-US" w:eastAsia="en-US" w:bidi="ar-SA"/>
    </w:rPr>
  </w:style>
  <w:style w:type="paragraph" w:styleId="7">
    <w:name w:val="Plain Text"/>
    <w:basedOn w:val="1"/>
    <w:next w:val="4"/>
    <w:qFormat/>
    <w:uiPriority w:val="0"/>
    <w:rPr>
      <w:rFonts w:ascii="宋体" w:hAnsi="Courier New"/>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13142</Words>
  <Characters>13342</Characters>
  <TotalTime>2</TotalTime>
  <ScaleCrop>false</ScaleCrop>
  <LinksUpToDate>false</LinksUpToDate>
  <CharactersWithSpaces>13431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2025-09-24T17:39:00Z</dcterms:created>
  <dc:creator>Administrator</dc:creator>
  <cp:lastModifiedBy>實誠</cp:lastModifiedBy>
  <dcterms:modified xsi:type="dcterms:W3CDTF">2025-09-29T07:31:54Z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2025-09-24T17:39:51Z</vt:filetime>
  </property>
  <property fmtid="{D5CDD505-2E9C-101B-9397-08002B2CF9AE}" pid="4" name="UsrData">
    <vt:lpwstr>68d3bc512ad49d001f758258wl</vt:lpwstr>
  </property>
  <property fmtid="{D5CDD505-2E9C-101B-9397-08002B2CF9AE}" pid="5" name="KSOProductBuildVer">
    <vt:lpwstr>2052-12.1.0.22529</vt:lpwstr>
  </property>
  <property fmtid="{D5CDD505-2E9C-101B-9397-08002B2CF9AE}" pid="6" name="ICV">
    <vt:lpwstr>E59E25B71EFD457F9332DD131B51BB16</vt:lpwstr>
  </property>
  <property fmtid="{D5CDD505-2E9C-101B-9397-08002B2CF9AE}" pid="7" name="KSOTemplateDocerSaveRecord">
    <vt:lpwstr>eyJoZGlkIjoiZjYxZTUyYjc1MzQwNWRmNjlmMWQyYmQ2NmM1M2U4MmMiLCJ1c2VySWQiOiI2OTk3NTA5NDAifQ==</vt:lpwstr>
  </property>
</Properties>
</file>