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/>
        </w:rPr>
        <w:t>附件四：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龙岗区进一步规范政商交往行为告知书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深入构建“亲”“清”新型政商关系，努力打造尊商、亲商、助商、安商良好营商环境，龙岗区委区政府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一、不得向公职人员赠送礼品、礼金、消费卡等财物。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二、不得违规向公职人员提供宴请、旅游、娱乐等安排。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三、不得通过打麻将等形式向公职人员输送利益。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四、不得为公职人员报销应由其个人支付的费用。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五、不得违规向公职人员及其亲友借贷款。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六、不得违规将车辆、住房等借给公职人员使用。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七、不得在招投标中与公职人员搞暗箱操作、围标串标。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八、不得为利益相关人和公职人员牵线搭桥或者代为传递信息、传递财物。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九、不得让公职人员在企业违规兼职取酬。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十、不得为公职人员亲友违规承揽业务提供便利。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述“十个不得”，请您严格遵守。同时，在政商交往中，如有发现我区公职人员存在违反“十个不准”的问题，请及时通过网络举报平台或者12388举报电话等方式，向纪检监察机关反映举报，我们将一律严格保密、一律优先处置、一律严肃查处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eastAsia="zh-CN"/>
        </w:rPr>
        <w:t>本人已知晓上述告知内容，并愿意遵照执行（签名）：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        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 xml:space="preserve">                                         20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WUxMDgxODE0ZTk4NTJhOTVkYmEwNThkNjQzYjcifQ=="/>
  </w:docVars>
  <w:rsids>
    <w:rsidRoot w:val="52393D7C"/>
    <w:rsid w:val="22AB2C71"/>
    <w:rsid w:val="27E142A8"/>
    <w:rsid w:val="41F136F7"/>
    <w:rsid w:val="52393D7C"/>
    <w:rsid w:val="7526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535</Words>
  <Characters>540</Characters>
  <Lines>0</Lines>
  <Paragraphs>0</Paragraphs>
  <TotalTime>8</TotalTime>
  <ScaleCrop>false</ScaleCrop>
  <LinksUpToDate>false</LinksUpToDate>
  <CharactersWithSpaces>606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2021-06-23T08:10:00Z</dcterms:created>
  <dc:creator>candi </dc:creator>
  <cp:lastModifiedBy>陈媚</cp:lastModifiedBy>
  <dcterms:modified xsi:type="dcterms:W3CDTF">2025-09-28T04:07:22Z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E40D566CFF9645F0B871D076D491C471_13</vt:lpwstr>
  </property>
</Properties>
</file>