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613F7">
      <w:pPr>
        <w:pStyle w:val="7"/>
        <w:spacing w:before="55"/>
        <w:rPr>
          <w:rFonts w:hint="eastAsia"/>
          <w:b/>
          <w:sz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6：</w:t>
      </w:r>
    </w:p>
    <w:p w14:paraId="6C21D01E">
      <w:pPr>
        <w:jc w:val="center"/>
        <w:rPr>
          <w:rFonts w:hint="eastAsia"/>
          <w:b/>
          <w:sz w:val="32"/>
          <w:lang w:eastAsia="zh-CN"/>
        </w:rPr>
      </w:pPr>
      <w:r>
        <w:rPr>
          <w:rFonts w:hint="eastAsia"/>
          <w:b/>
          <w:sz w:val="32"/>
          <w:lang w:eastAsia="zh-CN"/>
        </w:rPr>
        <w:t>综合评分表</w:t>
      </w:r>
    </w:p>
    <w:p w14:paraId="34F17B72">
      <w:pPr>
        <w:spacing w:line="400" w:lineRule="exact"/>
        <w:jc w:val="left"/>
        <w:rPr>
          <w:rFonts w:hint="eastAsia" w:ascii="仿宋" w:hAnsi="仿宋" w:eastAsia="仿宋" w:cs="仿宋"/>
          <w:sz w:val="28"/>
          <w:szCs w:val="28"/>
        </w:rPr>
      </w:pPr>
      <w:r>
        <w:rPr>
          <w:rFonts w:hint="eastAsia" w:ascii="仿宋" w:hAnsi="仿宋" w:eastAsia="仿宋" w:cs="仿宋"/>
          <w:sz w:val="28"/>
          <w:szCs w:val="28"/>
        </w:rPr>
        <w:t>招标名称：</w:t>
      </w:r>
      <w:r>
        <w:rPr>
          <w:rFonts w:hint="eastAsia" w:ascii="仿宋" w:hAnsi="仿宋" w:eastAsia="仿宋" w:cs="仿宋"/>
          <w:sz w:val="28"/>
          <w:szCs w:val="28"/>
          <w:lang w:eastAsia="zh-CN"/>
        </w:rPr>
        <w:t>智慧家园等</w:t>
      </w:r>
      <w:r>
        <w:rPr>
          <w:rFonts w:hint="eastAsia" w:ascii="仿宋" w:hAnsi="仿宋" w:eastAsia="仿宋" w:cs="仿宋"/>
          <w:sz w:val="28"/>
          <w:szCs w:val="28"/>
          <w:lang w:val="en-US" w:eastAsia="zh-CN"/>
        </w:rPr>
        <w:t>4个</w:t>
      </w:r>
      <w:r>
        <w:rPr>
          <w:rFonts w:hint="eastAsia" w:ascii="仿宋" w:hAnsi="仿宋" w:eastAsia="仿宋" w:cs="仿宋"/>
          <w:sz w:val="28"/>
          <w:szCs w:val="28"/>
        </w:rPr>
        <w:t>项目消防设备设施维保服务遴选采购公告</w:t>
      </w:r>
    </w:p>
    <w:p w14:paraId="5F6AFA9D">
      <w:pPr>
        <w:spacing w:line="400" w:lineRule="exact"/>
        <w:jc w:val="left"/>
        <w:rPr>
          <w:rFonts w:hint="eastAsia" w:ascii="仿宋" w:hAnsi="仿宋" w:eastAsia="仿宋" w:cs="仿宋"/>
          <w:sz w:val="28"/>
          <w:szCs w:val="28"/>
        </w:rPr>
      </w:pPr>
      <w:r>
        <w:rPr>
          <w:rFonts w:hint="eastAsia" w:ascii="仿宋" w:hAnsi="仿宋" w:eastAsia="仿宋" w:cs="仿宋"/>
          <w:sz w:val="28"/>
          <w:szCs w:val="28"/>
        </w:rPr>
        <w:t>开标时间：</w:t>
      </w:r>
    </w:p>
    <w:p w14:paraId="2D24D1F1">
      <w:pPr>
        <w:spacing w:line="400" w:lineRule="exact"/>
        <w:jc w:val="left"/>
        <w:rPr>
          <w:rFonts w:hint="eastAsia" w:ascii="仿宋" w:hAnsi="仿宋" w:eastAsia="仿宋" w:cs="仿宋"/>
          <w:sz w:val="28"/>
          <w:szCs w:val="28"/>
          <w:lang w:val="en-US" w:eastAsia="zh-CN"/>
        </w:rPr>
      </w:pPr>
      <w:r>
        <w:rPr>
          <w:rFonts w:hint="eastAsia" w:ascii="仿宋" w:hAnsi="仿宋" w:eastAsia="仿宋" w:cs="仿宋"/>
          <w:sz w:val="28"/>
          <w:szCs w:val="28"/>
        </w:rPr>
        <w:t xml:space="preserve">开标地点：                     </w:t>
      </w:r>
      <w:r>
        <w:rPr>
          <w:rFonts w:hint="eastAsia" w:ascii="仿宋" w:hAnsi="仿宋" w:eastAsia="仿宋" w:cs="仿宋"/>
          <w:sz w:val="28"/>
          <w:szCs w:val="28"/>
          <w:lang w:val="en-US" w:eastAsia="zh-CN"/>
        </w:rPr>
        <w:t xml:space="preserve">     </w:t>
      </w:r>
    </w:p>
    <w:p w14:paraId="59C98B10">
      <w:pPr>
        <w:spacing w:line="400" w:lineRule="exact"/>
        <w:jc w:val="left"/>
        <w:rPr>
          <w:rFonts w:hint="eastAsia" w:ascii="仿宋" w:hAnsi="仿宋" w:eastAsia="仿宋" w:cs="仿宋"/>
          <w:sz w:val="28"/>
          <w:szCs w:val="28"/>
        </w:rPr>
      </w:pPr>
      <w:r>
        <w:rPr>
          <w:rFonts w:hint="eastAsia" w:ascii="仿宋" w:hAnsi="仿宋" w:eastAsia="仿宋" w:cs="仿宋"/>
          <w:sz w:val="28"/>
          <w:szCs w:val="28"/>
        </w:rPr>
        <w:t>招</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标</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人：</w:t>
      </w:r>
      <w:r>
        <w:rPr>
          <w:rFonts w:hint="eastAsia" w:ascii="仿宋" w:hAnsi="仿宋" w:eastAsia="仿宋" w:cs="仿宋"/>
          <w:sz w:val="28"/>
          <w:szCs w:val="28"/>
          <w:lang w:val="en-US" w:eastAsia="zh-CN"/>
        </w:rPr>
        <w:t>深圳市龙岗区城投城市服务有限公司</w:t>
      </w:r>
    </w:p>
    <w:p w14:paraId="0EB951F8">
      <w:pPr>
        <w:pStyle w:val="8"/>
        <w:rPr>
          <w:rFonts w:hint="eastAsia"/>
        </w:rPr>
      </w:pPr>
    </w:p>
    <w:p w14:paraId="6A7A4163">
      <w:pPr>
        <w:adjustRightInd w:val="0"/>
        <w:snapToGrid w:val="0"/>
        <w:ind w:firstLine="0" w:firstLineChars="0"/>
        <w:jc w:val="center"/>
        <w:rPr>
          <w:rFonts w:hint="eastAsia" w:ascii="仿宋" w:hAnsi="仿宋" w:eastAsia="仿宋" w:cs="仿宋"/>
          <w:b/>
          <w:szCs w:val="21"/>
        </w:rPr>
      </w:pPr>
      <w:r>
        <w:rPr>
          <w:rFonts w:hint="eastAsia" w:ascii="仿宋" w:hAnsi="仿宋" w:eastAsia="仿宋" w:cs="仿宋"/>
          <w:b/>
          <w:szCs w:val="21"/>
        </w:rPr>
        <w:t>《商务标、技术标、价格标权重表和综合得分汇总》</w:t>
      </w:r>
    </w:p>
    <w:tbl>
      <w:tblPr>
        <w:tblStyle w:val="9"/>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2158"/>
        <w:gridCol w:w="2159"/>
        <w:gridCol w:w="2159"/>
      </w:tblGrid>
      <w:tr w14:paraId="4AF3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052" w:type="dxa"/>
            <w:shd w:val="clear" w:color="auto" w:fill="DEEAF6" w:themeFill="accent1" w:themeFillTint="33"/>
            <w:vAlign w:val="center"/>
          </w:tcPr>
          <w:p w14:paraId="241C425E">
            <w:pPr>
              <w:adjustRightInd w:val="0"/>
              <w:snapToGrid w:val="0"/>
              <w:ind w:firstLine="0" w:firstLineChars="0"/>
              <w:jc w:val="center"/>
              <w:rPr>
                <w:rFonts w:hint="eastAsia" w:ascii="仿宋" w:hAnsi="仿宋" w:eastAsia="仿宋" w:cs="仿宋"/>
                <w:b/>
                <w:szCs w:val="21"/>
              </w:rPr>
            </w:pPr>
            <w:r>
              <w:rPr>
                <w:rFonts w:hint="eastAsia" w:ascii="仿宋" w:hAnsi="仿宋" w:eastAsia="仿宋" w:cs="仿宋"/>
                <w:b/>
                <w:szCs w:val="21"/>
              </w:rPr>
              <w:t>权重名称</w:t>
            </w:r>
          </w:p>
        </w:tc>
        <w:tc>
          <w:tcPr>
            <w:tcW w:w="2158" w:type="dxa"/>
            <w:shd w:val="clear" w:color="auto" w:fill="DEEAF6" w:themeFill="accent1" w:themeFillTint="33"/>
            <w:vAlign w:val="center"/>
          </w:tcPr>
          <w:p w14:paraId="738F948A">
            <w:pPr>
              <w:adjustRightInd w:val="0"/>
              <w:snapToGrid w:val="0"/>
              <w:ind w:firstLine="0" w:firstLineChars="0"/>
              <w:jc w:val="center"/>
              <w:rPr>
                <w:rFonts w:hint="eastAsia" w:ascii="仿宋" w:hAnsi="仿宋" w:eastAsia="仿宋" w:cs="仿宋"/>
                <w:b/>
                <w:szCs w:val="21"/>
              </w:rPr>
            </w:pPr>
            <w:r>
              <w:rPr>
                <w:rFonts w:hint="eastAsia" w:ascii="仿宋" w:hAnsi="仿宋" w:eastAsia="仿宋" w:cs="仿宋"/>
                <w:b/>
                <w:szCs w:val="21"/>
              </w:rPr>
              <w:t>价格权重</w:t>
            </w:r>
          </w:p>
        </w:tc>
        <w:tc>
          <w:tcPr>
            <w:tcW w:w="2159" w:type="dxa"/>
            <w:shd w:val="clear" w:color="auto" w:fill="DEEAF6" w:themeFill="accent1" w:themeFillTint="33"/>
            <w:vAlign w:val="center"/>
          </w:tcPr>
          <w:p w14:paraId="4D0BBAA1">
            <w:pPr>
              <w:adjustRightInd w:val="0"/>
              <w:snapToGrid w:val="0"/>
              <w:ind w:firstLine="0" w:firstLineChars="0"/>
              <w:jc w:val="center"/>
              <w:rPr>
                <w:rFonts w:hint="eastAsia" w:ascii="仿宋" w:hAnsi="仿宋" w:eastAsia="仿宋" w:cs="仿宋"/>
                <w:b/>
                <w:szCs w:val="21"/>
              </w:rPr>
            </w:pPr>
            <w:r>
              <w:rPr>
                <w:rFonts w:hint="eastAsia" w:ascii="仿宋" w:hAnsi="仿宋" w:eastAsia="仿宋" w:cs="仿宋"/>
                <w:b/>
                <w:szCs w:val="21"/>
                <w:lang w:val="en-US" w:eastAsia="zh-CN"/>
              </w:rPr>
              <w:t>商务</w:t>
            </w:r>
            <w:r>
              <w:rPr>
                <w:rFonts w:hint="eastAsia" w:ascii="仿宋" w:hAnsi="仿宋" w:eastAsia="仿宋" w:cs="仿宋"/>
                <w:b/>
                <w:szCs w:val="21"/>
              </w:rPr>
              <w:t>权重</w:t>
            </w:r>
          </w:p>
        </w:tc>
        <w:tc>
          <w:tcPr>
            <w:tcW w:w="2159" w:type="dxa"/>
            <w:shd w:val="clear" w:color="auto" w:fill="DEEAF6" w:themeFill="accent1" w:themeFillTint="33"/>
            <w:vAlign w:val="center"/>
          </w:tcPr>
          <w:p w14:paraId="30CD0F74">
            <w:pPr>
              <w:adjustRightInd w:val="0"/>
              <w:snapToGrid w:val="0"/>
              <w:ind w:firstLine="0" w:firstLineChars="0"/>
              <w:jc w:val="center"/>
              <w:rPr>
                <w:rFonts w:hint="eastAsia" w:ascii="仿宋" w:hAnsi="仿宋" w:eastAsia="仿宋" w:cs="仿宋"/>
                <w:b/>
                <w:szCs w:val="21"/>
              </w:rPr>
            </w:pPr>
            <w:r>
              <w:rPr>
                <w:rFonts w:hint="eastAsia" w:ascii="仿宋" w:hAnsi="仿宋" w:eastAsia="仿宋" w:cs="仿宋"/>
                <w:b/>
                <w:szCs w:val="21"/>
                <w:lang w:val="en-US" w:eastAsia="zh-CN"/>
              </w:rPr>
              <w:t>技术</w:t>
            </w:r>
            <w:r>
              <w:rPr>
                <w:rFonts w:hint="eastAsia" w:ascii="仿宋" w:hAnsi="仿宋" w:eastAsia="仿宋" w:cs="仿宋"/>
                <w:b/>
                <w:szCs w:val="21"/>
              </w:rPr>
              <w:t>权重</w:t>
            </w:r>
          </w:p>
        </w:tc>
      </w:tr>
      <w:tr w14:paraId="57B79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052" w:type="dxa"/>
            <w:shd w:val="clear" w:color="auto" w:fill="auto"/>
            <w:vAlign w:val="center"/>
          </w:tcPr>
          <w:p w14:paraId="5140EAED">
            <w:pPr>
              <w:adjustRightInd w:val="0"/>
              <w:snapToGrid w:val="0"/>
              <w:ind w:firstLine="0" w:firstLineChars="0"/>
              <w:jc w:val="center"/>
              <w:rPr>
                <w:rFonts w:hint="eastAsia" w:ascii="仿宋" w:hAnsi="仿宋" w:eastAsia="仿宋" w:cs="仿宋"/>
                <w:szCs w:val="21"/>
              </w:rPr>
            </w:pPr>
            <w:r>
              <w:rPr>
                <w:rFonts w:hint="eastAsia" w:ascii="仿宋" w:hAnsi="仿宋" w:eastAsia="仿宋" w:cs="仿宋"/>
                <w:szCs w:val="21"/>
              </w:rPr>
              <w:t>权重</w:t>
            </w:r>
          </w:p>
        </w:tc>
        <w:tc>
          <w:tcPr>
            <w:tcW w:w="2158" w:type="dxa"/>
            <w:shd w:val="clear" w:color="auto" w:fill="auto"/>
            <w:vAlign w:val="center"/>
          </w:tcPr>
          <w:p w14:paraId="512BC057">
            <w:pPr>
              <w:adjustRightInd w:val="0"/>
              <w:snapToGrid w:val="0"/>
              <w:ind w:firstLine="0" w:firstLineChars="0"/>
              <w:jc w:val="center"/>
              <w:rPr>
                <w:rFonts w:hint="eastAsia" w:ascii="仿宋" w:hAnsi="仿宋" w:eastAsia="仿宋" w:cs="仿宋"/>
                <w:szCs w:val="21"/>
              </w:rPr>
            </w:pPr>
            <w:r>
              <w:rPr>
                <w:rFonts w:hint="eastAsia" w:ascii="仿宋" w:hAnsi="仿宋" w:eastAsia="仿宋" w:cs="仿宋"/>
                <w:szCs w:val="21"/>
                <w:lang w:val="en-US" w:eastAsia="zh-CN"/>
              </w:rPr>
              <w:t>3</w:t>
            </w:r>
            <w:r>
              <w:rPr>
                <w:rFonts w:hint="default" w:ascii="仿宋" w:hAnsi="仿宋" w:eastAsia="仿宋" w:cs="仿宋"/>
                <w:szCs w:val="21"/>
                <w:lang w:eastAsia="zh-CN"/>
              </w:rPr>
              <w:t>5</w:t>
            </w:r>
            <w:r>
              <w:rPr>
                <w:rFonts w:hint="eastAsia" w:ascii="仿宋" w:hAnsi="仿宋" w:eastAsia="仿宋" w:cs="仿宋"/>
                <w:szCs w:val="21"/>
              </w:rPr>
              <w:t>%</w:t>
            </w:r>
          </w:p>
        </w:tc>
        <w:tc>
          <w:tcPr>
            <w:tcW w:w="2159" w:type="dxa"/>
            <w:shd w:val="clear" w:color="auto" w:fill="auto"/>
            <w:vAlign w:val="center"/>
          </w:tcPr>
          <w:p w14:paraId="20476D29">
            <w:pPr>
              <w:adjustRightInd w:val="0"/>
              <w:snapToGrid w:val="0"/>
              <w:ind w:firstLine="0" w:firstLineChars="0"/>
              <w:jc w:val="center"/>
              <w:rPr>
                <w:rFonts w:hint="eastAsia" w:ascii="仿宋" w:hAnsi="仿宋" w:eastAsia="仿宋" w:cs="仿宋"/>
                <w:szCs w:val="21"/>
              </w:rPr>
            </w:pPr>
            <w:r>
              <w:rPr>
                <w:rFonts w:hint="default" w:ascii="仿宋" w:hAnsi="仿宋" w:eastAsia="仿宋" w:cs="仿宋"/>
                <w:szCs w:val="21"/>
              </w:rPr>
              <w:t>20</w:t>
            </w:r>
            <w:r>
              <w:rPr>
                <w:rFonts w:hint="eastAsia" w:ascii="仿宋" w:hAnsi="仿宋" w:eastAsia="仿宋" w:cs="仿宋"/>
                <w:szCs w:val="21"/>
              </w:rPr>
              <w:t>%</w:t>
            </w:r>
          </w:p>
        </w:tc>
        <w:tc>
          <w:tcPr>
            <w:tcW w:w="2159" w:type="dxa"/>
            <w:shd w:val="clear" w:color="auto" w:fill="auto"/>
            <w:vAlign w:val="center"/>
          </w:tcPr>
          <w:p w14:paraId="29EF8FCD">
            <w:pPr>
              <w:adjustRightInd w:val="0"/>
              <w:snapToGrid w:val="0"/>
              <w:ind w:firstLine="0" w:firstLineChars="0"/>
              <w:jc w:val="center"/>
              <w:rPr>
                <w:rFonts w:hint="eastAsia" w:ascii="仿宋" w:hAnsi="仿宋" w:eastAsia="仿宋" w:cs="仿宋"/>
                <w:szCs w:val="21"/>
              </w:rPr>
            </w:pPr>
            <w:r>
              <w:rPr>
                <w:rFonts w:hint="eastAsia" w:ascii="仿宋" w:hAnsi="仿宋" w:eastAsia="仿宋" w:cs="仿宋"/>
                <w:szCs w:val="21"/>
                <w:lang w:val="en-US" w:eastAsia="zh-CN"/>
              </w:rPr>
              <w:t>4</w:t>
            </w:r>
            <w:r>
              <w:rPr>
                <w:rFonts w:hint="default" w:ascii="仿宋" w:hAnsi="仿宋" w:eastAsia="仿宋" w:cs="仿宋"/>
                <w:szCs w:val="21"/>
                <w:lang w:eastAsia="zh-CN"/>
              </w:rPr>
              <w:t>5</w:t>
            </w:r>
            <w:r>
              <w:rPr>
                <w:rFonts w:hint="eastAsia" w:ascii="仿宋" w:hAnsi="仿宋" w:eastAsia="仿宋" w:cs="仿宋"/>
                <w:szCs w:val="21"/>
              </w:rPr>
              <w:t>%</w:t>
            </w:r>
          </w:p>
        </w:tc>
      </w:tr>
      <w:tr w14:paraId="5F265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52" w:type="dxa"/>
            <w:shd w:val="clear" w:color="auto" w:fill="auto"/>
            <w:vAlign w:val="center"/>
          </w:tcPr>
          <w:p w14:paraId="5C4A7C5E">
            <w:pPr>
              <w:adjustRightInd w:val="0"/>
              <w:snapToGrid w:val="0"/>
              <w:ind w:firstLine="0" w:firstLineChars="0"/>
              <w:jc w:val="center"/>
              <w:rPr>
                <w:rFonts w:hint="eastAsia" w:ascii="仿宋" w:hAnsi="仿宋" w:eastAsia="仿宋" w:cs="仿宋"/>
                <w:szCs w:val="21"/>
              </w:rPr>
            </w:pPr>
            <w:r>
              <w:rPr>
                <w:rFonts w:hint="eastAsia" w:ascii="仿宋" w:hAnsi="仿宋" w:eastAsia="仿宋" w:cs="仿宋"/>
                <w:szCs w:val="21"/>
              </w:rPr>
              <w:t>投标人综合得分</w:t>
            </w:r>
          </w:p>
        </w:tc>
        <w:tc>
          <w:tcPr>
            <w:tcW w:w="6476" w:type="dxa"/>
            <w:gridSpan w:val="3"/>
            <w:shd w:val="clear" w:color="auto" w:fill="auto"/>
            <w:vAlign w:val="center"/>
          </w:tcPr>
          <w:p w14:paraId="59FD861E">
            <w:pPr>
              <w:adjustRightInd w:val="0"/>
              <w:snapToGrid w:val="0"/>
              <w:ind w:firstLine="0" w:firstLineChars="0"/>
              <w:jc w:val="center"/>
              <w:rPr>
                <w:rFonts w:hint="eastAsia" w:ascii="仿宋" w:hAnsi="仿宋" w:eastAsia="仿宋" w:cs="仿宋"/>
                <w:szCs w:val="21"/>
              </w:rPr>
            </w:pPr>
            <w:r>
              <w:rPr>
                <w:rFonts w:hint="eastAsia" w:ascii="仿宋" w:hAnsi="仿宋" w:eastAsia="仿宋" w:cs="仿宋"/>
                <w:szCs w:val="21"/>
              </w:rPr>
              <w:t>价格标得分</w:t>
            </w:r>
            <w:r>
              <w:rPr>
                <w:rFonts w:hint="eastAsia" w:ascii="仿宋" w:hAnsi="仿宋" w:eastAsia="仿宋" w:cs="仿宋"/>
                <w:szCs w:val="21"/>
                <w:lang w:val="en-US" w:eastAsia="zh-CN"/>
              </w:rPr>
              <w:t>+</w:t>
            </w:r>
            <w:r>
              <w:rPr>
                <w:rFonts w:hint="eastAsia" w:ascii="仿宋" w:hAnsi="仿宋" w:eastAsia="仿宋" w:cs="仿宋"/>
                <w:szCs w:val="21"/>
              </w:rPr>
              <w:t>商务得分+技术得分=100</w:t>
            </w:r>
          </w:p>
        </w:tc>
      </w:tr>
    </w:tbl>
    <w:p w14:paraId="1AAAEF38">
      <w:pPr>
        <w:pStyle w:val="7"/>
        <w:rPr>
          <w:rFonts w:hint="eastAsia"/>
          <w:lang w:eastAsia="zh-CN"/>
        </w:rPr>
      </w:pPr>
    </w:p>
    <w:tbl>
      <w:tblPr>
        <w:tblStyle w:val="9"/>
        <w:tblW w:w="50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1287"/>
        <w:gridCol w:w="1123"/>
        <w:gridCol w:w="6976"/>
      </w:tblGrid>
      <w:tr w14:paraId="0AD9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311" w:type="pct"/>
            <w:vAlign w:val="center"/>
          </w:tcPr>
          <w:p w14:paraId="09072B6E">
            <w:pPr>
              <w:spacing w:line="276" w:lineRule="auto"/>
              <w:jc w:val="center"/>
              <w:rPr>
                <w:rFonts w:ascii="宋体" w:hAnsi="宋体" w:cs="宋体"/>
                <w:b/>
                <w:sz w:val="22"/>
              </w:rPr>
            </w:pPr>
            <w:r>
              <w:rPr>
                <w:rFonts w:hint="eastAsia" w:ascii="宋体" w:hAnsi="宋体" w:cs="宋体"/>
                <w:b/>
                <w:sz w:val="22"/>
              </w:rPr>
              <w:t>序号</w:t>
            </w:r>
          </w:p>
        </w:tc>
        <w:tc>
          <w:tcPr>
            <w:tcW w:w="643" w:type="pct"/>
            <w:vAlign w:val="center"/>
          </w:tcPr>
          <w:p w14:paraId="4B69264F">
            <w:pPr>
              <w:spacing w:line="276" w:lineRule="auto"/>
              <w:jc w:val="center"/>
              <w:rPr>
                <w:rFonts w:ascii="宋体" w:hAnsi="宋体" w:cs="宋体"/>
                <w:b/>
                <w:sz w:val="22"/>
              </w:rPr>
            </w:pPr>
            <w:r>
              <w:rPr>
                <w:rFonts w:hint="eastAsia" w:ascii="宋体" w:hAnsi="宋体" w:cs="宋体"/>
                <w:b/>
                <w:sz w:val="22"/>
              </w:rPr>
              <w:t>评分内容</w:t>
            </w:r>
          </w:p>
        </w:tc>
        <w:tc>
          <w:tcPr>
            <w:tcW w:w="561" w:type="pct"/>
            <w:vAlign w:val="center"/>
          </w:tcPr>
          <w:p w14:paraId="1B30D74A">
            <w:pPr>
              <w:spacing w:line="276" w:lineRule="auto"/>
              <w:jc w:val="center"/>
              <w:rPr>
                <w:rFonts w:ascii="宋体" w:hAnsi="宋体" w:cs="宋体"/>
                <w:b/>
                <w:sz w:val="22"/>
              </w:rPr>
            </w:pPr>
            <w:r>
              <w:rPr>
                <w:rFonts w:hint="eastAsia" w:ascii="宋体" w:hAnsi="宋体" w:cs="宋体"/>
                <w:b/>
                <w:sz w:val="22"/>
              </w:rPr>
              <w:t>分值</w:t>
            </w:r>
          </w:p>
        </w:tc>
        <w:tc>
          <w:tcPr>
            <w:tcW w:w="3483" w:type="pct"/>
            <w:vAlign w:val="center"/>
          </w:tcPr>
          <w:p w14:paraId="2B282CDD">
            <w:pPr>
              <w:spacing w:line="276" w:lineRule="auto"/>
              <w:jc w:val="center"/>
              <w:rPr>
                <w:rFonts w:ascii="宋体" w:hAnsi="宋体" w:cs="宋体"/>
                <w:b/>
                <w:sz w:val="22"/>
              </w:rPr>
            </w:pPr>
            <w:r>
              <w:rPr>
                <w:rFonts w:hint="eastAsia" w:ascii="宋体" w:hAnsi="宋体" w:cs="宋体"/>
                <w:b/>
                <w:sz w:val="22"/>
              </w:rPr>
              <w:t>评分标准</w:t>
            </w:r>
          </w:p>
        </w:tc>
      </w:tr>
      <w:tr w14:paraId="7B8F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000" w:type="pct"/>
            <w:gridSpan w:val="4"/>
            <w:vAlign w:val="center"/>
          </w:tcPr>
          <w:p w14:paraId="78715401">
            <w:pPr>
              <w:spacing w:line="276" w:lineRule="auto"/>
              <w:jc w:val="center"/>
              <w:rPr>
                <w:rFonts w:ascii="宋体" w:hAnsi="宋体" w:cs="宋体"/>
                <w:b/>
                <w:sz w:val="22"/>
              </w:rPr>
            </w:pPr>
            <w:r>
              <w:rPr>
                <w:rFonts w:hint="eastAsia" w:ascii="宋体" w:hAnsi="宋体" w:cs="宋体"/>
                <w:b/>
                <w:sz w:val="22"/>
              </w:rPr>
              <w:t>价格评分（</w:t>
            </w:r>
            <w:r>
              <w:rPr>
                <w:rFonts w:hint="default" w:ascii="宋体" w:hAnsi="宋体" w:cs="宋体"/>
                <w:b/>
                <w:sz w:val="22"/>
              </w:rPr>
              <w:t>35</w:t>
            </w:r>
            <w:r>
              <w:rPr>
                <w:rFonts w:hint="eastAsia" w:ascii="宋体" w:hAnsi="宋体" w:cs="宋体"/>
                <w:b/>
                <w:sz w:val="22"/>
              </w:rPr>
              <w:t>分）</w:t>
            </w:r>
          </w:p>
        </w:tc>
      </w:tr>
      <w:tr w14:paraId="2FD6B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311" w:type="pct"/>
            <w:vAlign w:val="center"/>
          </w:tcPr>
          <w:p w14:paraId="02A5AF14">
            <w:pPr>
              <w:spacing w:line="276" w:lineRule="auto"/>
              <w:jc w:val="center"/>
              <w:rPr>
                <w:rFonts w:ascii="宋体" w:hAnsi="宋体" w:cs="宋体"/>
                <w:sz w:val="22"/>
              </w:rPr>
            </w:pPr>
            <w:r>
              <w:rPr>
                <w:rFonts w:hint="eastAsia" w:ascii="宋体" w:hAnsi="宋体" w:cs="宋体"/>
                <w:sz w:val="22"/>
              </w:rPr>
              <w:t>1</w:t>
            </w:r>
          </w:p>
        </w:tc>
        <w:tc>
          <w:tcPr>
            <w:tcW w:w="643" w:type="pct"/>
            <w:vAlign w:val="center"/>
          </w:tcPr>
          <w:p w14:paraId="3F2330B1">
            <w:pPr>
              <w:spacing w:line="276" w:lineRule="auto"/>
              <w:jc w:val="center"/>
              <w:rPr>
                <w:rFonts w:ascii="宋体" w:hAnsi="宋体" w:cs="宋体"/>
                <w:sz w:val="22"/>
              </w:rPr>
            </w:pPr>
            <w:r>
              <w:rPr>
                <w:rFonts w:hint="eastAsia" w:ascii="宋体" w:hAnsi="宋体" w:cs="宋体"/>
                <w:sz w:val="22"/>
              </w:rPr>
              <w:t>价格部分</w:t>
            </w:r>
          </w:p>
        </w:tc>
        <w:tc>
          <w:tcPr>
            <w:tcW w:w="561" w:type="pct"/>
            <w:vAlign w:val="center"/>
          </w:tcPr>
          <w:p w14:paraId="364E55FB">
            <w:pPr>
              <w:spacing w:line="276" w:lineRule="auto"/>
              <w:jc w:val="center"/>
              <w:rPr>
                <w:rFonts w:ascii="宋体" w:hAnsi="宋体" w:cs="宋体"/>
                <w:sz w:val="22"/>
              </w:rPr>
            </w:pPr>
            <w:r>
              <w:rPr>
                <w:rFonts w:hint="default" w:ascii="宋体" w:hAnsi="宋体" w:cs="宋体"/>
                <w:sz w:val="22"/>
              </w:rPr>
              <w:t>30</w:t>
            </w:r>
            <w:r>
              <w:rPr>
                <w:rFonts w:hint="eastAsia" w:ascii="宋体" w:hAnsi="宋体" w:cs="宋体"/>
                <w:sz w:val="22"/>
              </w:rPr>
              <w:t>分</w:t>
            </w:r>
          </w:p>
        </w:tc>
        <w:tc>
          <w:tcPr>
            <w:tcW w:w="3483" w:type="pct"/>
            <w:vAlign w:val="center"/>
          </w:tcPr>
          <w:p w14:paraId="6BCD82F7">
            <w:pPr>
              <w:spacing w:line="276" w:lineRule="auto"/>
              <w:rPr>
                <w:rFonts w:ascii="宋体" w:hAnsi="宋体" w:cs="宋体"/>
                <w:sz w:val="22"/>
              </w:rPr>
            </w:pPr>
            <w:r>
              <w:rPr>
                <w:rFonts w:hint="eastAsia" w:ascii="宋体" w:hAnsi="宋体" w:cs="宋体"/>
                <w:sz w:val="22"/>
              </w:rPr>
              <w:t>价格分计算方法：满足招标文件要求且投标价格最低的投标报价为评标基准价，其价格分为满分。其他投标人的价格分统一按照下列公式计算：投标报价得分=</w:t>
            </w:r>
            <w:r>
              <w:rPr>
                <w:rFonts w:hint="eastAsia" w:ascii="宋体" w:hAnsi="宋体" w:cs="宋体"/>
                <w:sz w:val="22"/>
                <w:lang w:eastAsia="zh-CN"/>
              </w:rPr>
              <w:t>（</w:t>
            </w:r>
            <w:r>
              <w:rPr>
                <w:rFonts w:hint="eastAsia" w:ascii="宋体" w:hAnsi="宋体" w:cs="宋体"/>
                <w:sz w:val="22"/>
              </w:rPr>
              <w:t>评标基准价／投标报价</w:t>
            </w:r>
            <w:r>
              <w:rPr>
                <w:rFonts w:hint="eastAsia" w:ascii="宋体" w:hAnsi="宋体" w:cs="宋体"/>
                <w:sz w:val="22"/>
                <w:lang w:eastAsia="zh-CN"/>
              </w:rPr>
              <w:t>）</w:t>
            </w:r>
            <w:r>
              <w:rPr>
                <w:rFonts w:hint="eastAsia" w:ascii="宋体" w:hAnsi="宋体" w:cs="宋体"/>
                <w:sz w:val="22"/>
              </w:rPr>
              <w:t>×价格权重（</w:t>
            </w:r>
            <w:r>
              <w:rPr>
                <w:rFonts w:hint="default" w:ascii="宋体" w:hAnsi="宋体" w:cs="宋体"/>
                <w:sz w:val="22"/>
              </w:rPr>
              <w:t>3</w:t>
            </w:r>
            <w:r>
              <w:rPr>
                <w:rFonts w:hint="eastAsia" w:ascii="宋体" w:hAnsi="宋体" w:cs="宋体"/>
                <w:sz w:val="22"/>
                <w:lang w:val="en-US" w:eastAsia="zh-CN"/>
              </w:rPr>
              <w:t>0</w:t>
            </w:r>
            <w:r>
              <w:rPr>
                <w:rFonts w:hint="eastAsia" w:ascii="宋体" w:hAnsi="宋体" w:cs="宋体"/>
                <w:sz w:val="22"/>
              </w:rPr>
              <w:t>%）×100。</w:t>
            </w:r>
            <w:r>
              <w:rPr>
                <w:rFonts w:hint="eastAsia" w:ascii="宋体" w:hAnsi="宋体" w:cs="宋体"/>
                <w:color w:val="auto"/>
                <w:szCs w:val="21"/>
                <w:highlight w:val="none"/>
                <w:lang w:eastAsia="zh-CN"/>
              </w:rPr>
              <w:t>本项满分为</w:t>
            </w:r>
            <w:r>
              <w:rPr>
                <w:rFonts w:hint="default" w:ascii="宋体" w:hAnsi="宋体" w:cs="宋体"/>
                <w:color w:val="auto"/>
                <w:szCs w:val="21"/>
                <w:highlight w:val="none"/>
                <w:lang w:eastAsia="zh-CN"/>
              </w:rPr>
              <w:t>30</w:t>
            </w:r>
            <w:r>
              <w:rPr>
                <w:rFonts w:hint="eastAsia" w:ascii="宋体" w:hAnsi="宋体" w:cs="宋体"/>
                <w:color w:val="auto"/>
                <w:szCs w:val="21"/>
                <w:highlight w:val="none"/>
                <w:lang w:val="en-US" w:eastAsia="zh-CN"/>
              </w:rPr>
              <w:t>分。</w:t>
            </w:r>
          </w:p>
        </w:tc>
      </w:tr>
      <w:tr w14:paraId="35F4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311" w:type="pct"/>
            <w:vAlign w:val="center"/>
          </w:tcPr>
          <w:p w14:paraId="74FD4E3F">
            <w:pPr>
              <w:spacing w:line="276" w:lineRule="auto"/>
              <w:jc w:val="center"/>
              <w:rPr>
                <w:rFonts w:hint="default" w:ascii="宋体" w:hAnsi="宋体" w:cs="宋体"/>
                <w:sz w:val="22"/>
              </w:rPr>
            </w:pPr>
            <w:r>
              <w:rPr>
                <w:rFonts w:hint="default" w:ascii="宋体" w:hAnsi="宋体" w:cs="宋体"/>
                <w:sz w:val="22"/>
              </w:rPr>
              <w:t>2</w:t>
            </w:r>
          </w:p>
        </w:tc>
        <w:tc>
          <w:tcPr>
            <w:tcW w:w="643" w:type="pct"/>
            <w:vAlign w:val="center"/>
          </w:tcPr>
          <w:p w14:paraId="3CE94EBD">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eastAsia" w:ascii="宋体" w:hAnsi="宋体" w:eastAsia="宋体" w:cs="宋体"/>
                <w:kern w:val="2"/>
                <w:sz w:val="22"/>
                <w:szCs w:val="22"/>
                <w:lang w:val="en-US" w:eastAsia="zh-Hans" w:bidi="ar-SA"/>
              </w:rPr>
            </w:pPr>
            <w:r>
              <w:rPr>
                <w:rFonts w:hint="eastAsia" w:ascii="宋体" w:hAnsi="宋体" w:cs="宋体"/>
                <w:sz w:val="22"/>
                <w:lang w:val="en-US" w:eastAsia="zh-Hans"/>
              </w:rPr>
              <w:t>配件免费更换报价</w:t>
            </w:r>
          </w:p>
        </w:tc>
        <w:tc>
          <w:tcPr>
            <w:tcW w:w="561" w:type="pct"/>
            <w:vAlign w:val="center"/>
          </w:tcPr>
          <w:p w14:paraId="49147A92">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default" w:ascii="宋体" w:hAnsi="宋体" w:eastAsia="宋体" w:cs="宋体"/>
                <w:kern w:val="2"/>
                <w:sz w:val="22"/>
                <w:szCs w:val="22"/>
                <w:lang w:val="en-US" w:eastAsia="zh-Hans" w:bidi="ar-SA"/>
              </w:rPr>
            </w:pPr>
            <w:r>
              <w:rPr>
                <w:rFonts w:hint="default" w:ascii="宋体" w:hAnsi="宋体" w:cs="宋体"/>
                <w:sz w:val="22"/>
                <w:lang w:eastAsia="zh-Hans"/>
              </w:rPr>
              <w:t>5</w:t>
            </w:r>
            <w:r>
              <w:rPr>
                <w:rFonts w:hint="eastAsia" w:ascii="宋体" w:hAnsi="宋体" w:cs="宋体"/>
                <w:sz w:val="22"/>
                <w:lang w:val="en-US" w:eastAsia="zh-Hans"/>
              </w:rPr>
              <w:t>分</w:t>
            </w:r>
          </w:p>
        </w:tc>
        <w:tc>
          <w:tcPr>
            <w:tcW w:w="3483" w:type="pct"/>
            <w:vAlign w:val="center"/>
          </w:tcPr>
          <w:p w14:paraId="6CC6D2D8">
            <w:pPr>
              <w:keepNext w:val="0"/>
              <w:keepLines w:val="0"/>
              <w:pageBreakBefore w:val="0"/>
              <w:widowControl w:val="0"/>
              <w:kinsoku/>
              <w:overflowPunct/>
              <w:topLinePunct w:val="0"/>
              <w:autoSpaceDE/>
              <w:autoSpaceDN/>
              <w:bidi w:val="0"/>
              <w:adjustRightInd/>
              <w:snapToGrid/>
              <w:spacing w:line="440" w:lineRule="exact"/>
              <w:textAlignment w:val="auto"/>
              <w:rPr>
                <w:rFonts w:hint="eastAsia" w:ascii="宋体" w:hAnsi="宋体" w:eastAsia="宋体" w:cs="宋体"/>
                <w:kern w:val="2"/>
                <w:sz w:val="22"/>
                <w:szCs w:val="22"/>
                <w:lang w:val="en-US" w:eastAsia="zh-CN" w:bidi="ar-SA"/>
              </w:rPr>
            </w:pPr>
            <w:r>
              <w:rPr>
                <w:rFonts w:hint="eastAsia" w:ascii="宋体" w:hAnsi="宋体" w:cs="宋体"/>
                <w:sz w:val="22"/>
              </w:rPr>
              <w:t>价格分计算方法：</w:t>
            </w:r>
            <w:r>
              <w:rPr>
                <w:rFonts w:hint="eastAsia" w:ascii="宋体" w:hAnsi="宋体" w:cs="宋体"/>
                <w:sz w:val="22"/>
                <w:lang w:eastAsia="zh-CN"/>
              </w:rPr>
              <w:t>单次配件免费更换价格不少于</w:t>
            </w:r>
            <w:r>
              <w:rPr>
                <w:rFonts w:hint="default" w:ascii="宋体" w:hAnsi="宋体" w:cs="宋体"/>
                <w:sz w:val="22"/>
                <w:lang w:eastAsia="zh-CN"/>
              </w:rPr>
              <w:t>2</w:t>
            </w:r>
            <w:r>
              <w:rPr>
                <w:rFonts w:hint="eastAsia" w:ascii="宋体" w:hAnsi="宋体" w:cs="宋体"/>
                <w:sz w:val="22"/>
                <w:lang w:val="en-US" w:eastAsia="zh-CN"/>
              </w:rPr>
              <w:t>00元，</w:t>
            </w:r>
            <w:r>
              <w:rPr>
                <w:rFonts w:hint="eastAsia" w:ascii="宋体" w:hAnsi="宋体" w:cs="宋体"/>
                <w:sz w:val="22"/>
                <w:lang w:eastAsia="zh-CN"/>
              </w:rPr>
              <w:t>当次配件免费更换价格</w:t>
            </w:r>
            <w:r>
              <w:rPr>
                <w:rFonts w:hint="eastAsia" w:ascii="宋体" w:hAnsi="宋体" w:cs="宋体"/>
                <w:sz w:val="22"/>
              </w:rPr>
              <w:t>最</w:t>
            </w:r>
            <w:r>
              <w:rPr>
                <w:rFonts w:hint="eastAsia" w:ascii="宋体" w:hAnsi="宋体" w:cs="宋体"/>
                <w:sz w:val="22"/>
                <w:lang w:eastAsia="zh-CN"/>
              </w:rPr>
              <w:t>高</w:t>
            </w:r>
            <w:r>
              <w:rPr>
                <w:rFonts w:hint="eastAsia" w:ascii="宋体" w:hAnsi="宋体" w:cs="宋体"/>
                <w:sz w:val="22"/>
              </w:rPr>
              <w:t>的投标报价为评标基准价，其价格分为满分。其他投标人的价格分统一按照下列公式计算：投标报价得分=</w:t>
            </w:r>
            <w:r>
              <w:rPr>
                <w:rFonts w:hint="eastAsia" w:ascii="宋体" w:hAnsi="宋体" w:cs="宋体"/>
                <w:sz w:val="22"/>
                <w:lang w:eastAsia="zh-CN"/>
              </w:rPr>
              <w:t>（</w:t>
            </w:r>
            <w:r>
              <w:rPr>
                <w:rFonts w:hint="eastAsia" w:ascii="宋体" w:hAnsi="宋体" w:cs="宋体"/>
                <w:sz w:val="22"/>
              </w:rPr>
              <w:t>投标报价／评标基准价</w:t>
            </w:r>
            <w:r>
              <w:rPr>
                <w:rFonts w:hint="eastAsia" w:ascii="宋体" w:hAnsi="宋体" w:cs="宋体"/>
                <w:sz w:val="22"/>
                <w:lang w:eastAsia="zh-CN"/>
              </w:rPr>
              <w:t>）</w:t>
            </w:r>
            <w:r>
              <w:rPr>
                <w:rFonts w:hint="eastAsia" w:ascii="宋体" w:hAnsi="宋体" w:cs="宋体"/>
                <w:sz w:val="22"/>
              </w:rPr>
              <w:t>×价格权重（</w:t>
            </w:r>
            <w:r>
              <w:rPr>
                <w:rFonts w:hint="eastAsia" w:ascii="宋体" w:hAnsi="宋体" w:cs="宋体"/>
                <w:sz w:val="22"/>
                <w:lang w:val="en-US" w:eastAsia="zh-CN"/>
              </w:rPr>
              <w:t>5</w:t>
            </w:r>
            <w:r>
              <w:rPr>
                <w:rFonts w:hint="eastAsia" w:ascii="宋体" w:hAnsi="宋体" w:cs="宋体"/>
                <w:sz w:val="22"/>
              </w:rPr>
              <w:t>%）×100。</w:t>
            </w:r>
            <w:r>
              <w:rPr>
                <w:rFonts w:hint="eastAsia" w:ascii="宋体" w:hAnsi="宋体" w:cs="宋体"/>
                <w:color w:val="auto"/>
                <w:szCs w:val="21"/>
                <w:highlight w:val="none"/>
                <w:lang w:eastAsia="zh-CN"/>
              </w:rPr>
              <w:t>本项满分为</w:t>
            </w:r>
            <w:r>
              <w:rPr>
                <w:rFonts w:hint="default" w:ascii="宋体" w:hAnsi="宋体" w:cs="宋体"/>
                <w:color w:val="auto"/>
                <w:szCs w:val="21"/>
                <w:highlight w:val="none"/>
                <w:lang w:eastAsia="zh-CN"/>
              </w:rPr>
              <w:t>5</w:t>
            </w:r>
            <w:r>
              <w:rPr>
                <w:rFonts w:hint="eastAsia" w:ascii="宋体" w:hAnsi="宋体" w:cs="宋体"/>
                <w:color w:val="auto"/>
                <w:szCs w:val="21"/>
                <w:highlight w:val="none"/>
                <w:lang w:val="en-US" w:eastAsia="zh-CN"/>
              </w:rPr>
              <w:t>分。</w:t>
            </w:r>
          </w:p>
        </w:tc>
      </w:tr>
      <w:tr w14:paraId="5124F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000" w:type="pct"/>
            <w:gridSpan w:val="4"/>
            <w:vAlign w:val="center"/>
          </w:tcPr>
          <w:p w14:paraId="77852E6D">
            <w:pPr>
              <w:spacing w:line="276" w:lineRule="auto"/>
              <w:jc w:val="center"/>
              <w:rPr>
                <w:rFonts w:ascii="宋体" w:hAnsi="宋体" w:cs="宋体"/>
                <w:b/>
                <w:sz w:val="22"/>
              </w:rPr>
            </w:pPr>
            <w:r>
              <w:rPr>
                <w:rFonts w:hint="eastAsia" w:ascii="宋体" w:hAnsi="宋体" w:cs="宋体"/>
                <w:b/>
                <w:sz w:val="22"/>
              </w:rPr>
              <w:t>商务评分（</w:t>
            </w:r>
            <w:r>
              <w:rPr>
                <w:rFonts w:hint="default" w:ascii="宋体" w:hAnsi="宋体" w:cs="宋体"/>
                <w:b/>
                <w:sz w:val="22"/>
              </w:rPr>
              <w:t>20</w:t>
            </w:r>
            <w:r>
              <w:rPr>
                <w:rFonts w:hint="eastAsia" w:ascii="宋体" w:hAnsi="宋体" w:cs="宋体"/>
                <w:b/>
                <w:sz w:val="22"/>
              </w:rPr>
              <w:t>分）</w:t>
            </w:r>
          </w:p>
        </w:tc>
      </w:tr>
      <w:tr w14:paraId="76393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1" w:type="pct"/>
            <w:vAlign w:val="center"/>
          </w:tcPr>
          <w:p w14:paraId="7C6268FE">
            <w:pPr>
              <w:spacing w:before="156" w:beforeLines="50" w:line="276" w:lineRule="auto"/>
              <w:jc w:val="center"/>
              <w:rPr>
                <w:rFonts w:hint="eastAsia" w:ascii="宋体" w:hAnsi="宋体" w:eastAsia="宋体" w:cs="宋体"/>
                <w:sz w:val="22"/>
                <w:lang w:val="en-US" w:eastAsia="zh-CN"/>
              </w:rPr>
            </w:pPr>
            <w:r>
              <w:rPr>
                <w:rFonts w:hint="eastAsia" w:ascii="宋体" w:hAnsi="宋体" w:cs="宋体"/>
                <w:sz w:val="22"/>
                <w:lang w:val="en-US" w:eastAsia="zh-CN"/>
              </w:rPr>
              <w:t>1</w:t>
            </w:r>
          </w:p>
        </w:tc>
        <w:tc>
          <w:tcPr>
            <w:tcW w:w="643" w:type="pct"/>
            <w:vAlign w:val="center"/>
          </w:tcPr>
          <w:p w14:paraId="640EB7BA">
            <w:pPr>
              <w:widowControl/>
              <w:jc w:val="left"/>
              <w:rPr>
                <w:rFonts w:hint="eastAsia" w:ascii="宋体" w:hAnsi="宋体" w:cs="宋体"/>
                <w:color w:val="auto"/>
                <w:sz w:val="22"/>
              </w:rPr>
            </w:pPr>
            <w:r>
              <w:rPr>
                <w:rFonts w:hint="eastAsia" w:ascii="宋体" w:hAnsi="宋体" w:eastAsia="宋体" w:cs="宋体"/>
                <w:color w:val="auto"/>
                <w:szCs w:val="21"/>
              </w:rPr>
              <w:t>投标人企业资质情况</w:t>
            </w:r>
          </w:p>
        </w:tc>
        <w:tc>
          <w:tcPr>
            <w:tcW w:w="561" w:type="pct"/>
            <w:vAlign w:val="center"/>
          </w:tcPr>
          <w:p w14:paraId="1941E614">
            <w:pPr>
              <w:widowControl/>
              <w:spacing w:after="78"/>
              <w:jc w:val="center"/>
              <w:rPr>
                <w:rFonts w:hint="eastAsia" w:ascii="宋体" w:hAnsi="宋体" w:cs="宋体"/>
                <w:color w:val="auto"/>
                <w:sz w:val="22"/>
              </w:rPr>
            </w:pPr>
            <w:r>
              <w:rPr>
                <w:rFonts w:hint="eastAsia" w:ascii="宋体" w:hAnsi="宋体" w:cs="宋体"/>
                <w:color w:val="auto"/>
                <w:szCs w:val="21"/>
                <w:lang w:val="en-US" w:eastAsia="zh-CN"/>
              </w:rPr>
              <w:t>5分</w:t>
            </w:r>
          </w:p>
        </w:tc>
        <w:tc>
          <w:tcPr>
            <w:tcW w:w="3483" w:type="pct"/>
            <w:vAlign w:val="center"/>
          </w:tcPr>
          <w:p w14:paraId="2243ACF0">
            <w:pPr>
              <w:widowControl/>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2"/>
                <w:szCs w:val="22"/>
                <w:highlight w:val="none"/>
              </w:rPr>
              <w:t>一）评分内容</w:t>
            </w:r>
            <w:r>
              <w:rPr>
                <w:rFonts w:hint="eastAsia" w:ascii="宋体" w:hAnsi="宋体" w:cs="宋体"/>
                <w:color w:val="auto"/>
                <w:sz w:val="22"/>
                <w:szCs w:val="22"/>
                <w:highlight w:val="none"/>
                <w:lang w:eastAsia="zh-CN"/>
              </w:rPr>
              <w:t>：</w:t>
            </w:r>
          </w:p>
          <w:p w14:paraId="573B52C0">
            <w:pPr>
              <w:numPr>
                <w:ilvl w:val="0"/>
                <w:numId w:val="0"/>
              </w:numPr>
              <w:spacing w:line="276" w:lineRule="auto"/>
              <w:jc w:val="both"/>
              <w:rPr>
                <w:rFonts w:hint="default" w:ascii="宋体" w:hAnsi="宋体" w:eastAsia="宋体" w:cs="宋体"/>
                <w:sz w:val="22"/>
                <w:szCs w:val="22"/>
                <w:lang w:val="en-US" w:eastAsia="zh-CN"/>
              </w:rPr>
            </w:pPr>
            <w:r>
              <w:rPr>
                <w:rFonts w:hint="eastAsia" w:ascii="宋体" w:hAnsi="宋体" w:cs="宋体"/>
                <w:color w:val="auto"/>
                <w:sz w:val="22"/>
                <w:szCs w:val="22"/>
                <w:highlight w:val="none"/>
                <w:lang w:eastAsia="zh-CN"/>
              </w:rPr>
              <w:t>1.</w:t>
            </w:r>
            <w:r>
              <w:rPr>
                <w:rFonts w:hint="eastAsia" w:ascii="宋体" w:hAnsi="宋体" w:eastAsia="宋体" w:cs="宋体"/>
                <w:sz w:val="22"/>
                <w:szCs w:val="22"/>
                <w:lang w:val="en-US" w:eastAsia="zh-CN"/>
              </w:rPr>
              <w:t>具有消防设施工程专业承包一级得5分，二级得3分，其他不得分。本项满分为5分。</w:t>
            </w:r>
          </w:p>
          <w:p w14:paraId="49DCDB12">
            <w:pPr>
              <w:numPr>
                <w:ilvl w:val="0"/>
                <w:numId w:val="0"/>
              </w:numPr>
              <w:spacing w:line="276" w:lineRule="auto"/>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（二）评分依据：</w:t>
            </w:r>
          </w:p>
          <w:p w14:paraId="4C06FB8C">
            <w:pPr>
              <w:numPr>
                <w:ilvl w:val="0"/>
                <w:numId w:val="0"/>
              </w:numPr>
              <w:spacing w:line="276" w:lineRule="auto"/>
              <w:jc w:val="both"/>
              <w:rPr>
                <w:color w:val="auto"/>
              </w:rPr>
            </w:pPr>
            <w:r>
              <w:rPr>
                <w:rFonts w:hint="eastAsia" w:ascii="宋体" w:hAnsi="宋体" w:eastAsia="宋体" w:cs="宋体"/>
                <w:sz w:val="22"/>
                <w:szCs w:val="22"/>
                <w:lang w:val="en-US" w:eastAsia="zh-CN"/>
              </w:rPr>
              <w:t>提供有效期内的证书复印件并加盖公章，原件备查。</w:t>
            </w:r>
          </w:p>
        </w:tc>
      </w:tr>
      <w:tr w14:paraId="0B73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1" w:hRule="atLeast"/>
          <w:jc w:val="center"/>
        </w:trPr>
        <w:tc>
          <w:tcPr>
            <w:tcW w:w="311" w:type="pct"/>
            <w:vAlign w:val="center"/>
          </w:tcPr>
          <w:p w14:paraId="4F3EE566">
            <w:pPr>
              <w:spacing w:before="156" w:beforeLines="50" w:line="276" w:lineRule="auto"/>
              <w:jc w:val="center"/>
              <w:rPr>
                <w:rFonts w:hint="eastAsia" w:ascii="宋体" w:hAnsi="宋体" w:cs="宋体"/>
                <w:sz w:val="22"/>
                <w:lang w:val="en-US" w:eastAsia="zh-CN"/>
              </w:rPr>
            </w:pPr>
            <w:r>
              <w:rPr>
                <w:rFonts w:hint="eastAsia" w:ascii="宋体" w:hAnsi="宋体" w:cs="宋体"/>
                <w:sz w:val="22"/>
                <w:lang w:val="en-US" w:eastAsia="zh-CN"/>
              </w:rPr>
              <w:t>3</w:t>
            </w:r>
          </w:p>
        </w:tc>
        <w:tc>
          <w:tcPr>
            <w:tcW w:w="643" w:type="pct"/>
            <w:vAlign w:val="center"/>
          </w:tcPr>
          <w:p w14:paraId="32B999DA">
            <w:pPr>
              <w:spacing w:before="156" w:beforeLines="50" w:line="276" w:lineRule="auto"/>
              <w:jc w:val="center"/>
              <w:rPr>
                <w:rFonts w:hint="eastAsia" w:ascii="宋体" w:hAnsi="宋体" w:cs="宋体"/>
                <w:sz w:val="22"/>
              </w:rPr>
            </w:pPr>
            <w:r>
              <w:rPr>
                <w:rFonts w:hint="eastAsia" w:ascii="宋体" w:hAnsi="宋体" w:cs="宋体"/>
                <w:sz w:val="22"/>
              </w:rPr>
              <w:t>业绩</w:t>
            </w:r>
          </w:p>
        </w:tc>
        <w:tc>
          <w:tcPr>
            <w:tcW w:w="561" w:type="pct"/>
            <w:vAlign w:val="center"/>
          </w:tcPr>
          <w:p w14:paraId="08A7E3AC">
            <w:pPr>
              <w:spacing w:before="156" w:beforeLines="50" w:line="276" w:lineRule="auto"/>
              <w:jc w:val="center"/>
              <w:rPr>
                <w:rFonts w:hint="eastAsia" w:ascii="宋体" w:hAnsi="宋体" w:cs="宋体"/>
                <w:sz w:val="22"/>
                <w:lang w:val="en-US" w:eastAsia="zh-CN"/>
              </w:rPr>
            </w:pPr>
            <w:r>
              <w:rPr>
                <w:rFonts w:hint="default" w:ascii="宋体" w:hAnsi="宋体" w:cs="宋体"/>
                <w:sz w:val="22"/>
              </w:rPr>
              <w:t>15</w:t>
            </w:r>
            <w:r>
              <w:rPr>
                <w:rFonts w:hint="eastAsia" w:ascii="宋体" w:hAnsi="宋体" w:cs="宋体"/>
                <w:sz w:val="22"/>
              </w:rPr>
              <w:t>分</w:t>
            </w:r>
          </w:p>
        </w:tc>
        <w:tc>
          <w:tcPr>
            <w:tcW w:w="3483" w:type="pct"/>
            <w:vAlign w:val="center"/>
          </w:tcPr>
          <w:p w14:paraId="47F12164">
            <w:pPr>
              <w:numPr>
                <w:ilvl w:val="0"/>
                <w:numId w:val="0"/>
              </w:numPr>
              <w:spacing w:line="276" w:lineRule="auto"/>
              <w:jc w:val="both"/>
              <w:rPr>
                <w:rFonts w:hint="default" w:ascii="宋体" w:hAnsi="宋体" w:eastAsia="宋体" w:cs="宋体"/>
                <w:sz w:val="22"/>
                <w:szCs w:val="22"/>
                <w:lang w:val="en-US" w:eastAsia="zh-CN"/>
              </w:rPr>
            </w:pPr>
            <w:r>
              <w:rPr>
                <w:rFonts w:hint="eastAsia" w:ascii="宋体" w:hAnsi="宋体" w:eastAsia="宋体" w:cs="宋体"/>
                <w:b/>
                <w:bCs/>
                <w:sz w:val="22"/>
                <w:szCs w:val="22"/>
                <w:lang w:eastAsia="zh-CN"/>
              </w:rPr>
              <w:t>（</w:t>
            </w:r>
            <w:r>
              <w:rPr>
                <w:rFonts w:hint="eastAsia" w:ascii="宋体" w:hAnsi="宋体" w:eastAsia="宋体" w:cs="宋体"/>
                <w:sz w:val="22"/>
                <w:szCs w:val="22"/>
                <w:lang w:val="en-US" w:eastAsia="zh-CN"/>
              </w:rPr>
              <w:t>一）评审标准</w:t>
            </w:r>
          </w:p>
          <w:p w14:paraId="44619EAB">
            <w:pPr>
              <w:numPr>
                <w:ilvl w:val="0"/>
                <w:numId w:val="0"/>
              </w:numPr>
              <w:spacing w:line="276" w:lineRule="auto"/>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投标人近3年（本项目投标截止日止倒算）内有</w:t>
            </w:r>
            <w:r>
              <w:rPr>
                <w:rFonts w:hint="eastAsia" w:ascii="宋体" w:hAnsi="宋体" w:eastAsia="宋体" w:cs="宋体"/>
                <w:sz w:val="22"/>
                <w:szCs w:val="22"/>
                <w:lang w:val="en-US" w:eastAsia="zh-Hans"/>
              </w:rPr>
              <w:t>商写</w:t>
            </w:r>
            <w:r>
              <w:rPr>
                <w:rFonts w:hint="eastAsia" w:ascii="宋体" w:hAnsi="宋体" w:eastAsia="宋体" w:cs="宋体"/>
                <w:sz w:val="22"/>
                <w:szCs w:val="22"/>
                <w:lang w:val="en-US" w:eastAsia="zh-CN"/>
              </w:rPr>
              <w:t>类</w:t>
            </w:r>
            <w:r>
              <w:rPr>
                <w:rFonts w:hint="eastAsia" w:ascii="宋体" w:hAnsi="宋体" w:eastAsia="宋体" w:cs="宋体"/>
                <w:sz w:val="22"/>
                <w:szCs w:val="22"/>
                <w:lang w:val="en-US" w:eastAsia="zh-Hans"/>
              </w:rPr>
              <w:t>业态消防设备设施</w:t>
            </w:r>
            <w:r>
              <w:rPr>
                <w:rFonts w:hint="eastAsia" w:ascii="宋体" w:hAnsi="宋体" w:eastAsia="宋体" w:cs="宋体"/>
                <w:sz w:val="22"/>
                <w:szCs w:val="22"/>
                <w:lang w:val="en-US" w:eastAsia="zh-CN"/>
              </w:rPr>
              <w:t>维保服务合同</w:t>
            </w:r>
            <w:r>
              <w:rPr>
                <w:rFonts w:hint="eastAsia" w:ascii="宋体" w:hAnsi="宋体" w:eastAsia="宋体" w:cs="宋体"/>
                <w:sz w:val="22"/>
                <w:szCs w:val="22"/>
                <w:lang w:val="en-US" w:eastAsia="zh-Hans"/>
              </w:rPr>
              <w:t>，</w:t>
            </w:r>
            <w:r>
              <w:rPr>
                <w:rFonts w:hint="eastAsia" w:ascii="宋体" w:hAnsi="宋体" w:eastAsia="宋体" w:cs="宋体"/>
                <w:sz w:val="22"/>
                <w:szCs w:val="22"/>
                <w:lang w:val="en-US" w:eastAsia="zh-CN"/>
              </w:rPr>
              <w:t>每提供一份得</w:t>
            </w:r>
            <w:r>
              <w:rPr>
                <w:rFonts w:hint="default" w:ascii="宋体" w:hAnsi="宋体" w:cs="宋体"/>
                <w:sz w:val="22"/>
                <w:szCs w:val="22"/>
                <w:lang w:eastAsia="zh-CN"/>
              </w:rPr>
              <w:t>3</w:t>
            </w:r>
            <w:r>
              <w:rPr>
                <w:rFonts w:hint="eastAsia" w:ascii="宋体" w:hAnsi="宋体" w:eastAsia="宋体" w:cs="宋体"/>
                <w:sz w:val="22"/>
                <w:szCs w:val="22"/>
                <w:lang w:val="en-US" w:eastAsia="zh-CN"/>
              </w:rPr>
              <w:t>分；以上总计最高</w:t>
            </w:r>
            <w:r>
              <w:rPr>
                <w:rFonts w:hint="default" w:ascii="宋体" w:hAnsi="宋体" w:cs="宋体"/>
                <w:sz w:val="22"/>
                <w:szCs w:val="22"/>
                <w:lang w:eastAsia="zh-CN"/>
              </w:rPr>
              <w:t>15</w:t>
            </w:r>
            <w:r>
              <w:rPr>
                <w:rFonts w:hint="eastAsia" w:ascii="宋体" w:hAnsi="宋体" w:eastAsia="宋体" w:cs="宋体"/>
                <w:sz w:val="22"/>
                <w:szCs w:val="22"/>
                <w:lang w:val="en-US" w:eastAsia="zh-CN"/>
              </w:rPr>
              <w:t>分。</w:t>
            </w:r>
          </w:p>
          <w:p w14:paraId="3C395EE3">
            <w:pPr>
              <w:numPr>
                <w:ilvl w:val="0"/>
                <w:numId w:val="0"/>
              </w:numPr>
              <w:spacing w:line="276" w:lineRule="auto"/>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证明材料：</w:t>
            </w:r>
          </w:p>
          <w:p w14:paraId="3A99868D">
            <w:pPr>
              <w:numPr>
                <w:ilvl w:val="0"/>
                <w:numId w:val="0"/>
              </w:numPr>
              <w:spacing w:line="276" w:lineRule="auto"/>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提供合同关键信息页信息包括但不限于，服务内容、甲乙双方盖章页（商务价格信息可隐藏）、发票（可隐藏具体金额）、提供服务评价扫描件。</w:t>
            </w:r>
          </w:p>
          <w:p w14:paraId="1993B2AD">
            <w:pPr>
              <w:numPr>
                <w:ilvl w:val="0"/>
                <w:numId w:val="0"/>
              </w:numPr>
              <w:spacing w:line="276" w:lineRule="auto"/>
              <w:jc w:val="both"/>
              <w:rPr>
                <w:rFonts w:hint="eastAsia" w:ascii="宋体" w:hAnsi="宋体" w:eastAsia="宋体" w:cs="宋体"/>
                <w:sz w:val="22"/>
                <w:szCs w:val="22"/>
              </w:rPr>
            </w:pPr>
            <w:r>
              <w:rPr>
                <w:rFonts w:hint="eastAsia" w:ascii="宋体" w:hAnsi="宋体" w:eastAsia="宋体" w:cs="宋体"/>
                <w:sz w:val="22"/>
                <w:szCs w:val="22"/>
                <w:lang w:val="en-US" w:eastAsia="zh-CN"/>
              </w:rPr>
              <w:t>备注：上述同一个项目续签合同的不重复计分；如涉及到需要判断是否为同一项目续签的情形，例如项目名称相同、出具评价证明单位相同的，投标人应另外提供能判别为不属同一项目续签的相关证明材料（如中标通知书或能反映不属同一项目续签的合同关键页），如不能判断，评标小组有权对投标人作出不利判断。项目名称相同，出具服务评价证明单位相同，但是经过重新组织招标、招标编号不同的，不属于同一项目续签。</w:t>
            </w:r>
          </w:p>
        </w:tc>
      </w:tr>
      <w:tr w14:paraId="241A6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000" w:type="pct"/>
            <w:gridSpan w:val="4"/>
            <w:vAlign w:val="center"/>
          </w:tcPr>
          <w:p w14:paraId="7BEA9C85">
            <w:pPr>
              <w:spacing w:line="276" w:lineRule="auto"/>
              <w:ind w:firstLine="455" w:firstLineChars="206"/>
              <w:jc w:val="center"/>
              <w:rPr>
                <w:rFonts w:ascii="宋体" w:hAnsi="宋体"/>
                <w:sz w:val="22"/>
              </w:rPr>
            </w:pPr>
            <w:r>
              <w:rPr>
                <w:rFonts w:hint="eastAsia" w:ascii="宋体" w:hAnsi="宋体" w:cs="宋体"/>
                <w:b/>
                <w:sz w:val="22"/>
              </w:rPr>
              <w:t>技术评分（</w:t>
            </w:r>
            <w:r>
              <w:rPr>
                <w:rFonts w:hint="eastAsia" w:ascii="宋体" w:hAnsi="宋体" w:cs="宋体"/>
                <w:b/>
                <w:sz w:val="22"/>
                <w:lang w:val="en-US" w:eastAsia="zh-CN"/>
              </w:rPr>
              <w:t>4</w:t>
            </w:r>
            <w:r>
              <w:rPr>
                <w:rFonts w:hint="default" w:ascii="宋体" w:hAnsi="宋体" w:cs="宋体"/>
                <w:b/>
                <w:sz w:val="22"/>
                <w:lang w:eastAsia="zh-CN"/>
              </w:rPr>
              <w:t>5</w:t>
            </w:r>
            <w:r>
              <w:rPr>
                <w:rFonts w:hint="eastAsia" w:ascii="宋体" w:hAnsi="宋体" w:cs="宋体"/>
                <w:b/>
                <w:sz w:val="22"/>
              </w:rPr>
              <w:t>分）</w:t>
            </w:r>
          </w:p>
        </w:tc>
      </w:tr>
      <w:tr w14:paraId="2F6AF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9" w:hRule="atLeast"/>
          <w:jc w:val="center"/>
        </w:trPr>
        <w:tc>
          <w:tcPr>
            <w:tcW w:w="311" w:type="pct"/>
            <w:vAlign w:val="center"/>
          </w:tcPr>
          <w:p w14:paraId="51B0349B">
            <w:pPr>
              <w:spacing w:before="156" w:beforeLines="50" w:line="276" w:lineRule="auto"/>
              <w:jc w:val="center"/>
              <w:rPr>
                <w:rFonts w:hint="eastAsia" w:ascii="宋体" w:hAnsi="宋体" w:eastAsia="宋体" w:cs="宋体"/>
                <w:sz w:val="22"/>
                <w:lang w:val="en-US" w:eastAsia="zh-CN"/>
              </w:rPr>
            </w:pPr>
            <w:r>
              <w:rPr>
                <w:rFonts w:hint="eastAsia" w:ascii="宋体" w:hAnsi="宋体" w:cs="宋体"/>
                <w:sz w:val="22"/>
                <w:lang w:val="en-US" w:eastAsia="zh-CN"/>
              </w:rPr>
              <w:t>1</w:t>
            </w:r>
          </w:p>
        </w:tc>
        <w:tc>
          <w:tcPr>
            <w:tcW w:w="643" w:type="pct"/>
            <w:vMerge w:val="restart"/>
            <w:vAlign w:val="center"/>
          </w:tcPr>
          <w:p w14:paraId="24620DD9">
            <w:pPr>
              <w:wordWrap w:val="0"/>
              <w:jc w:val="center"/>
              <w:rPr>
                <w:rFonts w:hint="eastAsia"/>
                <w:lang w:val="en-US" w:eastAsia="zh-CN"/>
              </w:rPr>
            </w:pPr>
          </w:p>
          <w:p w14:paraId="152C8EE8">
            <w:pPr>
              <w:bidi w:val="0"/>
              <w:rPr>
                <w:rFonts w:hint="eastAsia"/>
                <w:lang w:val="en-US" w:eastAsia="zh-CN"/>
              </w:rPr>
            </w:pPr>
          </w:p>
          <w:p w14:paraId="6FDA372E">
            <w:pPr>
              <w:bidi w:val="0"/>
              <w:rPr>
                <w:rFonts w:hint="eastAsia"/>
                <w:lang w:val="en-US" w:eastAsia="zh-CN"/>
              </w:rPr>
            </w:pPr>
          </w:p>
          <w:p w14:paraId="5CFD35BE">
            <w:pPr>
              <w:bidi w:val="0"/>
              <w:rPr>
                <w:rFonts w:hint="eastAsia"/>
                <w:lang w:val="en-US" w:eastAsia="zh-CN"/>
              </w:rPr>
            </w:pPr>
          </w:p>
          <w:p w14:paraId="0F750EE6">
            <w:pPr>
              <w:bidi w:val="0"/>
              <w:rPr>
                <w:rFonts w:hint="eastAsia"/>
                <w:lang w:val="en-US" w:eastAsia="zh-CN"/>
              </w:rPr>
            </w:pPr>
          </w:p>
          <w:p w14:paraId="51F50C7E">
            <w:pPr>
              <w:bidi w:val="0"/>
              <w:rPr>
                <w:rFonts w:hint="eastAsia"/>
                <w:lang w:val="en-US" w:eastAsia="zh-CN"/>
              </w:rPr>
            </w:pPr>
          </w:p>
          <w:p w14:paraId="53E28FF5">
            <w:pPr>
              <w:jc w:val="center"/>
              <w:rPr>
                <w:rFonts w:hint="eastAsia" w:ascii="宋体" w:hAnsi="宋体" w:eastAsia="宋体" w:cs="宋体"/>
                <w:sz w:val="22"/>
                <w:szCs w:val="22"/>
              </w:rPr>
            </w:pPr>
            <w:r>
              <w:rPr>
                <w:rFonts w:hint="eastAsia" w:ascii="宋体" w:hAnsi="宋体" w:eastAsia="宋体" w:cs="宋体"/>
                <w:sz w:val="22"/>
                <w:szCs w:val="22"/>
              </w:rPr>
              <w:t>项目</w:t>
            </w:r>
          </w:p>
          <w:p w14:paraId="3585EB93">
            <w:pPr>
              <w:jc w:val="center"/>
              <w:rPr>
                <w:rFonts w:hint="eastAsia" w:ascii="宋体" w:hAnsi="宋体" w:eastAsia="宋体" w:cs="宋体"/>
                <w:sz w:val="22"/>
                <w:szCs w:val="22"/>
              </w:rPr>
            </w:pPr>
            <w:r>
              <w:rPr>
                <w:rFonts w:hint="eastAsia" w:ascii="宋体" w:hAnsi="宋体" w:eastAsia="宋体" w:cs="宋体"/>
                <w:sz w:val="22"/>
                <w:szCs w:val="22"/>
              </w:rPr>
              <w:t>实施</w:t>
            </w:r>
          </w:p>
          <w:p w14:paraId="791930C6">
            <w:pPr>
              <w:bidi w:val="0"/>
              <w:jc w:val="center"/>
              <w:rPr>
                <w:rFonts w:hint="default" w:eastAsia="宋体"/>
                <w:lang w:val="en-US" w:eastAsia="zh-CN"/>
              </w:rPr>
            </w:pPr>
            <w:r>
              <w:rPr>
                <w:rFonts w:hint="eastAsia" w:ascii="宋体" w:hAnsi="宋体" w:eastAsia="宋体" w:cs="宋体"/>
                <w:sz w:val="22"/>
                <w:szCs w:val="22"/>
              </w:rPr>
              <w:t>方案</w:t>
            </w:r>
          </w:p>
        </w:tc>
        <w:tc>
          <w:tcPr>
            <w:tcW w:w="561" w:type="pct"/>
            <w:vAlign w:val="center"/>
          </w:tcPr>
          <w:p w14:paraId="47CA89E6">
            <w:pPr>
              <w:spacing w:before="156" w:beforeLines="50" w:line="276" w:lineRule="auto"/>
              <w:jc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rPr>
              <w:t>项目组人员配备情况</w:t>
            </w:r>
            <w:r>
              <w:rPr>
                <w:rFonts w:hint="eastAsia" w:ascii="宋体" w:hAnsi="宋体" w:cs="宋体"/>
                <w:sz w:val="22"/>
                <w:szCs w:val="22"/>
                <w:lang w:val="en-US" w:eastAsia="zh-CN"/>
              </w:rPr>
              <w:t>10分</w:t>
            </w:r>
          </w:p>
        </w:tc>
        <w:tc>
          <w:tcPr>
            <w:tcW w:w="3483" w:type="pct"/>
            <w:vAlign w:val="center"/>
          </w:tcPr>
          <w:p w14:paraId="29A77526">
            <w:pPr>
              <w:numPr>
                <w:ilvl w:val="0"/>
                <w:numId w:val="0"/>
              </w:numPr>
              <w:spacing w:line="276" w:lineRule="auto"/>
              <w:jc w:val="both"/>
              <w:rPr>
                <w:rFonts w:hint="eastAsia" w:ascii="宋体" w:hAnsi="宋体" w:eastAsia="宋体" w:cs="宋体"/>
                <w:sz w:val="22"/>
                <w:szCs w:val="22"/>
                <w:lang w:val="en-US" w:eastAsia="zh-CN"/>
              </w:rPr>
            </w:pPr>
            <w:r>
              <w:rPr>
                <w:rFonts w:hint="eastAsia"/>
                <w:lang w:eastAsia="zh-CN"/>
              </w:rPr>
              <w:t>（</w:t>
            </w:r>
            <w:r>
              <w:rPr>
                <w:rFonts w:hint="eastAsia" w:ascii="宋体" w:hAnsi="宋体" w:eastAsia="宋体" w:cs="宋体"/>
                <w:sz w:val="22"/>
                <w:szCs w:val="22"/>
                <w:lang w:val="en-US" w:eastAsia="zh-CN"/>
              </w:rPr>
              <w:t>一）评分内容：</w:t>
            </w:r>
          </w:p>
          <w:p w14:paraId="169890C9">
            <w:pPr>
              <w:numPr>
                <w:ilvl w:val="0"/>
                <w:numId w:val="0"/>
              </w:numPr>
              <w:spacing w:line="276" w:lineRule="auto"/>
              <w:jc w:val="both"/>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对项目拟配备人员情况评比，本项满分10分。</w:t>
            </w:r>
          </w:p>
          <w:p w14:paraId="69EA089A">
            <w:pPr>
              <w:numPr>
                <w:ilvl w:val="0"/>
                <w:numId w:val="0"/>
              </w:numPr>
              <w:spacing w:line="276" w:lineRule="auto"/>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（二）评分依据：</w:t>
            </w:r>
          </w:p>
          <w:p w14:paraId="7816023E">
            <w:pPr>
              <w:numPr>
                <w:ilvl w:val="0"/>
                <w:numId w:val="0"/>
              </w:numPr>
              <w:spacing w:line="276" w:lineRule="auto"/>
              <w:jc w:val="both"/>
              <w:rPr>
                <w:rFonts w:hint="eastAsia" w:ascii="宋体" w:hAnsi="宋体" w:eastAsia="宋体" w:cs="宋体"/>
                <w:sz w:val="22"/>
                <w:szCs w:val="22"/>
                <w:lang w:val="en-US" w:eastAsia="zh-CN"/>
              </w:rPr>
            </w:pPr>
            <w:r>
              <w:rPr>
                <w:rFonts w:hint="eastAsia" w:ascii="宋体" w:hAnsi="宋体" w:cs="宋体"/>
                <w:sz w:val="22"/>
                <w:szCs w:val="22"/>
                <w:lang w:val="en-US" w:eastAsia="zh-CN"/>
              </w:rPr>
              <w:t>1.</w:t>
            </w:r>
            <w:r>
              <w:rPr>
                <w:rFonts w:hint="eastAsia" w:ascii="宋体" w:hAnsi="宋体" w:eastAsia="宋体" w:cs="宋体"/>
                <w:sz w:val="22"/>
                <w:szCs w:val="22"/>
                <w:lang w:val="en-US" w:eastAsia="zh-CN"/>
              </w:rPr>
              <w:t>维护保养人员应取得中级建（构）筑物消防员证书，得5分，维护保养人员应取得高级建（构）筑物消防员证书，得7分，不符合得0分。需提供相关证书及证明材料</w:t>
            </w:r>
            <w:r>
              <w:rPr>
                <w:rFonts w:hint="eastAsia" w:ascii="宋体" w:hAnsi="宋体" w:cs="宋体"/>
                <w:sz w:val="22"/>
                <w:szCs w:val="22"/>
                <w:lang w:val="en-US" w:eastAsia="zh-CN"/>
              </w:rPr>
              <w:t>扫描</w:t>
            </w:r>
            <w:r>
              <w:rPr>
                <w:rFonts w:hint="eastAsia" w:ascii="宋体" w:hAnsi="宋体" w:eastAsia="宋体" w:cs="宋体"/>
                <w:sz w:val="22"/>
                <w:szCs w:val="22"/>
                <w:lang w:val="en-US" w:eastAsia="zh-CN"/>
              </w:rPr>
              <w:t>件，没有内容不得分。</w:t>
            </w:r>
          </w:p>
          <w:p w14:paraId="2425C8A2">
            <w:pPr>
              <w:numPr>
                <w:ilvl w:val="0"/>
                <w:numId w:val="0"/>
              </w:numPr>
              <w:spacing w:line="276" w:lineRule="auto"/>
              <w:jc w:val="both"/>
              <w:rPr>
                <w:rFonts w:hint="eastAsia" w:ascii="宋体" w:hAnsi="宋体" w:eastAsia="宋体" w:cs="宋体"/>
                <w:sz w:val="22"/>
                <w:szCs w:val="22"/>
                <w:lang w:val="en-US" w:eastAsia="zh-CN"/>
              </w:rPr>
            </w:pPr>
            <w:r>
              <w:rPr>
                <w:rFonts w:hint="eastAsia" w:ascii="宋体" w:hAnsi="宋体" w:cs="宋体"/>
                <w:sz w:val="22"/>
                <w:szCs w:val="22"/>
                <w:lang w:val="en-US" w:eastAsia="zh-CN"/>
              </w:rPr>
              <w:t>2.</w:t>
            </w:r>
            <w:r>
              <w:rPr>
                <w:rFonts w:hint="eastAsia" w:ascii="宋体" w:hAnsi="宋体" w:eastAsia="宋体" w:cs="宋体"/>
                <w:sz w:val="22"/>
                <w:szCs w:val="22"/>
                <w:lang w:val="en-US" w:eastAsia="zh-CN"/>
              </w:rPr>
              <w:t>提供公司派遣团队员工团体意外保险得3分（提供投保信息扫描件为准，原件备查）。</w:t>
            </w:r>
          </w:p>
          <w:p w14:paraId="70EE2821">
            <w:pPr>
              <w:numPr>
                <w:ilvl w:val="0"/>
                <w:numId w:val="0"/>
              </w:numPr>
              <w:spacing w:line="276" w:lineRule="auto"/>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证明材料：</w:t>
            </w:r>
          </w:p>
          <w:p w14:paraId="36F582DF">
            <w:pPr>
              <w:numPr>
                <w:ilvl w:val="0"/>
                <w:numId w:val="0"/>
              </w:numPr>
              <w:spacing w:line="276" w:lineRule="auto"/>
              <w:jc w:val="both"/>
              <w:rPr>
                <w:rFonts w:hint="default" w:ascii="宋体" w:hAnsi="宋体" w:eastAsia="宋体" w:cs="宋体"/>
                <w:sz w:val="22"/>
                <w:szCs w:val="22"/>
                <w:lang w:val="en-US" w:eastAsia="zh-CN"/>
              </w:rPr>
            </w:pPr>
            <w:r>
              <w:rPr>
                <w:rFonts w:hint="eastAsia" w:ascii="宋体" w:hAnsi="宋体" w:cs="宋体"/>
                <w:sz w:val="22"/>
                <w:szCs w:val="22"/>
                <w:lang w:val="en-US" w:eastAsia="zh-CN"/>
              </w:rPr>
              <w:t>1.</w:t>
            </w:r>
            <w:r>
              <w:rPr>
                <w:rFonts w:hint="eastAsia" w:ascii="宋体" w:hAnsi="宋体" w:eastAsia="宋体" w:cs="宋体"/>
                <w:sz w:val="22"/>
                <w:szCs w:val="22"/>
                <w:lang w:val="en-US" w:eastAsia="zh-CN"/>
              </w:rPr>
              <w:t>提供上述拟安排的项目负责人和团队成员至本项目投标截止之日止近三个月的社保缴纳清单扫描件；</w:t>
            </w:r>
          </w:p>
          <w:p w14:paraId="3D2D8F0D">
            <w:pPr>
              <w:numPr>
                <w:ilvl w:val="0"/>
                <w:numId w:val="0"/>
              </w:numPr>
              <w:spacing w:line="276" w:lineRule="auto"/>
              <w:jc w:val="both"/>
              <w:rPr>
                <w:rFonts w:hint="eastAsia" w:eastAsia="宋体"/>
                <w:lang w:val="en-US" w:eastAsia="zh-Hans"/>
              </w:rPr>
            </w:pPr>
            <w:r>
              <w:rPr>
                <w:rFonts w:hint="eastAsia" w:ascii="宋体" w:hAnsi="宋体" w:cs="宋体"/>
                <w:sz w:val="22"/>
                <w:szCs w:val="22"/>
                <w:lang w:val="en-US" w:eastAsia="zh-CN"/>
              </w:rPr>
              <w:t>2.</w:t>
            </w:r>
            <w:r>
              <w:rPr>
                <w:rFonts w:hint="eastAsia" w:ascii="宋体" w:hAnsi="宋体" w:eastAsia="宋体" w:cs="宋体"/>
                <w:sz w:val="22"/>
                <w:szCs w:val="22"/>
                <w:lang w:val="en-US" w:eastAsia="zh-CN"/>
              </w:rPr>
              <w:t>需提供相关证书</w:t>
            </w:r>
            <w:r>
              <w:rPr>
                <w:rFonts w:hint="eastAsia" w:ascii="宋体" w:hAnsi="宋体" w:cs="宋体"/>
                <w:sz w:val="22"/>
                <w:szCs w:val="22"/>
                <w:lang w:val="en-US" w:eastAsia="zh-CN"/>
              </w:rPr>
              <w:t>扫描</w:t>
            </w:r>
            <w:r>
              <w:rPr>
                <w:rFonts w:hint="eastAsia" w:ascii="宋体" w:hAnsi="宋体" w:eastAsia="宋体" w:cs="宋体"/>
                <w:sz w:val="22"/>
                <w:szCs w:val="22"/>
                <w:lang w:val="en-US" w:eastAsia="zh-CN"/>
              </w:rPr>
              <w:t>件，未提供不得分，投标人对其真实性负责</w:t>
            </w:r>
            <w:r>
              <w:rPr>
                <w:rFonts w:hint="eastAsia" w:ascii="宋体" w:hAnsi="宋体" w:eastAsia="宋体" w:cs="宋体"/>
                <w:sz w:val="22"/>
                <w:szCs w:val="22"/>
                <w:lang w:val="en-US" w:eastAsia="zh-Hans"/>
              </w:rPr>
              <w:t>。</w:t>
            </w:r>
          </w:p>
        </w:tc>
      </w:tr>
      <w:tr w14:paraId="49812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jc w:val="center"/>
        </w:trPr>
        <w:tc>
          <w:tcPr>
            <w:tcW w:w="311" w:type="pct"/>
            <w:vAlign w:val="center"/>
          </w:tcPr>
          <w:p w14:paraId="20DB2CE8">
            <w:pPr>
              <w:spacing w:before="156" w:beforeLines="50" w:line="276" w:lineRule="auto"/>
              <w:jc w:val="center"/>
              <w:rPr>
                <w:rFonts w:hint="eastAsia" w:ascii="宋体" w:hAnsi="宋体" w:eastAsia="宋体" w:cs="宋体"/>
                <w:sz w:val="22"/>
                <w:lang w:val="en-US" w:eastAsia="zh-CN"/>
              </w:rPr>
            </w:pPr>
            <w:r>
              <w:rPr>
                <w:rFonts w:hint="eastAsia" w:ascii="宋体" w:hAnsi="宋体" w:cs="宋体"/>
                <w:sz w:val="22"/>
                <w:lang w:val="en-US" w:eastAsia="zh-CN"/>
              </w:rPr>
              <w:t>2</w:t>
            </w:r>
          </w:p>
        </w:tc>
        <w:tc>
          <w:tcPr>
            <w:tcW w:w="643" w:type="pct"/>
            <w:vMerge w:val="continue"/>
            <w:vAlign w:val="center"/>
          </w:tcPr>
          <w:p w14:paraId="68F552B8">
            <w:pPr>
              <w:wordWrap w:val="0"/>
              <w:jc w:val="center"/>
              <w:rPr>
                <w:rFonts w:hint="eastAsia"/>
                <w:szCs w:val="21"/>
                <w:lang w:val="en-US" w:eastAsia="zh-CN"/>
              </w:rPr>
            </w:pPr>
          </w:p>
        </w:tc>
        <w:tc>
          <w:tcPr>
            <w:tcW w:w="561" w:type="pct"/>
            <w:vAlign w:val="center"/>
          </w:tcPr>
          <w:p w14:paraId="6D6C3B68">
            <w:pPr>
              <w:wordWrap w:val="0"/>
              <w:jc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应对突发事件预案</w:t>
            </w:r>
            <w:r>
              <w:rPr>
                <w:rFonts w:hint="eastAsia" w:ascii="宋体" w:hAnsi="宋体" w:cs="宋体"/>
                <w:sz w:val="22"/>
                <w:szCs w:val="22"/>
                <w:lang w:val="en-US" w:eastAsia="zh-CN"/>
              </w:rPr>
              <w:t xml:space="preserve"> </w:t>
            </w:r>
            <w:r>
              <w:rPr>
                <w:rFonts w:hint="default" w:ascii="宋体" w:hAnsi="宋体" w:cs="宋体"/>
                <w:sz w:val="22"/>
                <w:szCs w:val="22"/>
                <w:lang w:eastAsia="zh-CN"/>
              </w:rPr>
              <w:t>15</w:t>
            </w:r>
            <w:r>
              <w:rPr>
                <w:rFonts w:hint="eastAsia" w:ascii="宋体" w:hAnsi="宋体" w:cs="宋体"/>
                <w:sz w:val="22"/>
                <w:szCs w:val="22"/>
                <w:lang w:val="en-US" w:eastAsia="zh-CN"/>
              </w:rPr>
              <w:t>分</w:t>
            </w:r>
          </w:p>
        </w:tc>
        <w:tc>
          <w:tcPr>
            <w:tcW w:w="3483" w:type="pct"/>
            <w:vAlign w:val="center"/>
          </w:tcPr>
          <w:p w14:paraId="0D8844D7">
            <w:pPr>
              <w:numPr>
                <w:ilvl w:val="0"/>
                <w:numId w:val="0"/>
              </w:numPr>
              <w:spacing w:line="276" w:lineRule="auto"/>
              <w:jc w:val="both"/>
              <w:rPr>
                <w:rFonts w:hint="eastAsia" w:ascii="宋体" w:hAnsi="宋体" w:eastAsia="宋体" w:cs="宋体"/>
                <w:sz w:val="22"/>
                <w:szCs w:val="22"/>
                <w:lang w:val="en-US" w:eastAsia="zh-CN"/>
              </w:rPr>
            </w:pPr>
            <w:r>
              <w:rPr>
                <w:rFonts w:hint="eastAsia" w:ascii="宋体" w:hAnsi="宋体" w:cs="宋体"/>
                <w:sz w:val="22"/>
                <w:szCs w:val="22"/>
                <w:lang w:eastAsia="zh-CN"/>
              </w:rPr>
              <w:t>（</w:t>
            </w:r>
            <w:r>
              <w:rPr>
                <w:rFonts w:hint="eastAsia" w:ascii="宋体" w:hAnsi="宋体" w:eastAsia="宋体" w:cs="宋体"/>
                <w:sz w:val="22"/>
                <w:szCs w:val="22"/>
                <w:lang w:val="en-US" w:eastAsia="zh-CN"/>
              </w:rPr>
              <w:t>一）评分内容：对本项目应对突发事件预案评比，本项满分</w:t>
            </w:r>
            <w:r>
              <w:rPr>
                <w:rFonts w:hint="default" w:ascii="宋体" w:hAnsi="宋体" w:cs="宋体"/>
                <w:sz w:val="22"/>
                <w:szCs w:val="22"/>
                <w:lang w:eastAsia="zh-CN"/>
              </w:rPr>
              <w:t>1</w:t>
            </w:r>
            <w:r>
              <w:rPr>
                <w:rFonts w:hint="eastAsia" w:ascii="宋体" w:hAnsi="宋体" w:eastAsia="宋体" w:cs="宋体"/>
                <w:sz w:val="22"/>
                <w:szCs w:val="22"/>
                <w:lang w:val="en-US" w:eastAsia="zh-CN"/>
              </w:rPr>
              <w:t>5分。</w:t>
            </w:r>
          </w:p>
          <w:p w14:paraId="327F5FB9">
            <w:pPr>
              <w:numPr>
                <w:ilvl w:val="0"/>
                <w:numId w:val="0"/>
              </w:numPr>
              <w:spacing w:line="276" w:lineRule="auto"/>
              <w:jc w:val="both"/>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（二）评分依据：主要包括对消防防范、火警处置及其他突发性事件有相对完善的组织机构和应急预案。本项由评标</w:t>
            </w:r>
            <w:r>
              <w:rPr>
                <w:rFonts w:hint="eastAsia" w:ascii="宋体" w:hAnsi="宋体" w:cs="宋体"/>
                <w:sz w:val="22"/>
                <w:szCs w:val="22"/>
                <w:lang w:val="en-US" w:eastAsia="zh-Hans"/>
              </w:rPr>
              <w:t>小组</w:t>
            </w:r>
            <w:r>
              <w:rPr>
                <w:rFonts w:hint="eastAsia" w:ascii="宋体" w:hAnsi="宋体" w:eastAsia="宋体" w:cs="宋体"/>
                <w:sz w:val="22"/>
                <w:szCs w:val="22"/>
                <w:lang w:val="en-US" w:eastAsia="zh-CN"/>
              </w:rPr>
              <w:t>根据各投标文件内容进行对比打分，分优秀</w:t>
            </w:r>
            <w:r>
              <w:rPr>
                <w:rFonts w:hint="default" w:ascii="宋体" w:hAnsi="宋体" w:cs="宋体"/>
                <w:sz w:val="22"/>
                <w:szCs w:val="22"/>
                <w:lang w:eastAsia="zh-CN"/>
              </w:rPr>
              <w:t>10</w:t>
            </w:r>
            <w:r>
              <w:rPr>
                <w:rFonts w:hint="eastAsia" w:ascii="宋体" w:hAnsi="宋体" w:eastAsia="宋体" w:cs="宋体"/>
                <w:sz w:val="22"/>
                <w:szCs w:val="22"/>
                <w:lang w:val="en-US" w:eastAsia="zh-CN"/>
              </w:rPr>
              <w:t>（含）-</w:t>
            </w:r>
            <w:r>
              <w:rPr>
                <w:rFonts w:hint="default" w:ascii="宋体" w:hAnsi="宋体" w:cs="宋体"/>
                <w:sz w:val="22"/>
                <w:szCs w:val="22"/>
                <w:lang w:eastAsia="zh-CN"/>
              </w:rPr>
              <w:t>1</w:t>
            </w:r>
            <w:r>
              <w:rPr>
                <w:rFonts w:hint="eastAsia" w:ascii="宋体" w:hAnsi="宋体" w:eastAsia="宋体" w:cs="宋体"/>
                <w:sz w:val="22"/>
                <w:szCs w:val="22"/>
                <w:lang w:val="en-US" w:eastAsia="zh-CN"/>
              </w:rPr>
              <w:t>5分、良好</w:t>
            </w:r>
            <w:r>
              <w:rPr>
                <w:rFonts w:hint="default" w:ascii="宋体" w:hAnsi="宋体" w:cs="宋体"/>
                <w:sz w:val="22"/>
                <w:szCs w:val="22"/>
                <w:lang w:eastAsia="zh-CN"/>
              </w:rPr>
              <w:t>5</w:t>
            </w:r>
            <w:r>
              <w:rPr>
                <w:rFonts w:hint="eastAsia" w:ascii="宋体" w:hAnsi="宋体" w:eastAsia="宋体" w:cs="宋体"/>
                <w:sz w:val="22"/>
                <w:szCs w:val="22"/>
                <w:lang w:val="en-US" w:eastAsia="zh-CN"/>
              </w:rPr>
              <w:t>（含）-</w:t>
            </w:r>
            <w:r>
              <w:rPr>
                <w:rFonts w:hint="default" w:ascii="宋体" w:hAnsi="宋体" w:cs="宋体"/>
                <w:sz w:val="22"/>
                <w:szCs w:val="22"/>
                <w:lang w:eastAsia="zh-CN"/>
              </w:rPr>
              <w:t>9</w:t>
            </w:r>
            <w:r>
              <w:rPr>
                <w:rFonts w:hint="eastAsia" w:ascii="宋体" w:hAnsi="宋体" w:eastAsia="宋体" w:cs="宋体"/>
                <w:sz w:val="22"/>
                <w:szCs w:val="22"/>
                <w:lang w:val="en-US" w:eastAsia="zh-CN"/>
              </w:rPr>
              <w:t>分和一般</w:t>
            </w:r>
            <w:r>
              <w:rPr>
                <w:rFonts w:hint="default" w:ascii="宋体" w:hAnsi="宋体" w:cs="宋体"/>
                <w:sz w:val="22"/>
                <w:szCs w:val="22"/>
                <w:lang w:eastAsia="zh-CN"/>
              </w:rPr>
              <w:t>1-4</w:t>
            </w:r>
            <w:r>
              <w:rPr>
                <w:rFonts w:hint="eastAsia" w:ascii="宋体" w:hAnsi="宋体" w:eastAsia="宋体" w:cs="宋体"/>
                <w:sz w:val="22"/>
                <w:szCs w:val="22"/>
                <w:lang w:val="en-US" w:eastAsia="zh-CN"/>
              </w:rPr>
              <w:t>分，没有内容不得分。</w:t>
            </w:r>
          </w:p>
        </w:tc>
      </w:tr>
      <w:tr w14:paraId="6041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jc w:val="center"/>
        </w:trPr>
        <w:tc>
          <w:tcPr>
            <w:tcW w:w="311" w:type="pct"/>
            <w:vAlign w:val="center"/>
          </w:tcPr>
          <w:p w14:paraId="0C194789">
            <w:pPr>
              <w:spacing w:before="156" w:beforeLines="50" w:line="276" w:lineRule="auto"/>
              <w:jc w:val="center"/>
              <w:rPr>
                <w:rFonts w:hint="default" w:ascii="宋体" w:hAnsi="宋体" w:cs="宋体"/>
                <w:sz w:val="22"/>
                <w:lang w:val="en-US" w:eastAsia="zh-CN"/>
              </w:rPr>
            </w:pPr>
            <w:r>
              <w:rPr>
                <w:rFonts w:hint="eastAsia" w:ascii="宋体" w:hAnsi="宋体" w:cs="宋体"/>
                <w:sz w:val="22"/>
                <w:lang w:val="en-US" w:eastAsia="zh-CN"/>
              </w:rPr>
              <w:t>3</w:t>
            </w:r>
          </w:p>
        </w:tc>
        <w:tc>
          <w:tcPr>
            <w:tcW w:w="643" w:type="pct"/>
            <w:vMerge w:val="continue"/>
            <w:vAlign w:val="center"/>
          </w:tcPr>
          <w:p w14:paraId="2F19F096">
            <w:pPr>
              <w:wordWrap w:val="0"/>
              <w:jc w:val="center"/>
              <w:rPr>
                <w:rFonts w:hint="eastAsia"/>
                <w:szCs w:val="21"/>
                <w:lang w:val="en-US" w:eastAsia="zh-CN"/>
              </w:rPr>
            </w:pPr>
          </w:p>
        </w:tc>
        <w:tc>
          <w:tcPr>
            <w:tcW w:w="561" w:type="pct"/>
            <w:vAlign w:val="center"/>
          </w:tcPr>
          <w:p w14:paraId="64C964D1">
            <w:pPr>
              <w:wordWrap w:val="0"/>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建筑消防设施维保报告    5分</w:t>
            </w:r>
          </w:p>
        </w:tc>
        <w:tc>
          <w:tcPr>
            <w:tcW w:w="3483" w:type="pct"/>
            <w:vAlign w:val="center"/>
          </w:tcPr>
          <w:p w14:paraId="6EFB3FF4">
            <w:pPr>
              <w:pStyle w:val="6"/>
              <w:numPr>
                <w:ilvl w:val="0"/>
                <w:numId w:val="1"/>
              </w:numPr>
              <w:ind w:left="0" w:leftChars="0" w:firstLine="0" w:firstLineChars="0"/>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评分内容：提供建筑消防维保报告模板一份（可提供真实业绩项目，如相关内容涉及商业秘密，响应单位可自行隐去关键内容），本项满分5分。</w:t>
            </w:r>
          </w:p>
          <w:p w14:paraId="1EE05736">
            <w:pPr>
              <w:pStyle w:val="6"/>
              <w:numPr>
                <w:ilvl w:val="0"/>
                <w:numId w:val="0"/>
              </w:numPr>
              <w:ind w:leftChars="0"/>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（二）评分依据：主要包括对项目消防设施基本情况、维保内容、维保情况、并对维保情况提出建议等内容。本项由评标</w:t>
            </w:r>
            <w:r>
              <w:rPr>
                <w:rFonts w:hint="eastAsia" w:ascii="宋体" w:hAnsi="宋体" w:cs="宋体"/>
                <w:kern w:val="2"/>
                <w:sz w:val="22"/>
                <w:szCs w:val="22"/>
                <w:lang w:val="en-US" w:eastAsia="zh-CN" w:bidi="ar-SA"/>
              </w:rPr>
              <w:t>小组</w:t>
            </w:r>
            <w:r>
              <w:rPr>
                <w:rFonts w:hint="eastAsia" w:ascii="宋体" w:hAnsi="宋体" w:eastAsia="宋体" w:cs="宋体"/>
                <w:kern w:val="2"/>
                <w:sz w:val="22"/>
                <w:szCs w:val="22"/>
                <w:lang w:val="en-US" w:eastAsia="zh-CN" w:bidi="ar-SA"/>
              </w:rPr>
              <w:t>根据各投标文件内容进行对比打分，分优秀4（含）-5分、良好2（含）-3分和一般1分，没有内容不得分。</w:t>
            </w:r>
          </w:p>
        </w:tc>
      </w:tr>
      <w:tr w14:paraId="5B1F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9" w:hRule="atLeast"/>
          <w:jc w:val="center"/>
        </w:trPr>
        <w:tc>
          <w:tcPr>
            <w:tcW w:w="311" w:type="pct"/>
            <w:vAlign w:val="center"/>
          </w:tcPr>
          <w:p w14:paraId="1FB36563">
            <w:pPr>
              <w:spacing w:before="156" w:beforeLines="50" w:line="276" w:lineRule="auto"/>
              <w:jc w:val="center"/>
              <w:rPr>
                <w:rFonts w:hint="eastAsia" w:ascii="宋体" w:hAnsi="宋体" w:eastAsia="宋体" w:cs="宋体"/>
                <w:sz w:val="22"/>
                <w:lang w:val="en-US" w:eastAsia="zh-CN"/>
              </w:rPr>
            </w:pPr>
            <w:r>
              <w:rPr>
                <w:rFonts w:hint="eastAsia" w:ascii="宋体" w:hAnsi="宋体" w:cs="宋体"/>
                <w:sz w:val="22"/>
                <w:lang w:val="en-US" w:eastAsia="zh-CN"/>
              </w:rPr>
              <w:t>4</w:t>
            </w:r>
          </w:p>
        </w:tc>
        <w:tc>
          <w:tcPr>
            <w:tcW w:w="643" w:type="pct"/>
            <w:vMerge w:val="continue"/>
            <w:vAlign w:val="center"/>
          </w:tcPr>
          <w:p w14:paraId="2168A016">
            <w:pPr>
              <w:wordWrap w:val="0"/>
              <w:jc w:val="center"/>
              <w:rPr>
                <w:rFonts w:hint="eastAsia"/>
                <w:szCs w:val="21"/>
                <w:lang w:val="en-US" w:eastAsia="zh-CN"/>
              </w:rPr>
            </w:pPr>
          </w:p>
        </w:tc>
        <w:tc>
          <w:tcPr>
            <w:tcW w:w="561" w:type="pct"/>
            <w:vAlign w:val="center"/>
          </w:tcPr>
          <w:p w14:paraId="11BB0828">
            <w:pPr>
              <w:spacing w:line="276" w:lineRule="auto"/>
              <w:jc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rPr>
              <w:t>消防技术服务方案</w:t>
            </w:r>
            <w:r>
              <w:rPr>
                <w:rFonts w:hint="eastAsia" w:ascii="宋体" w:hAnsi="宋体" w:cs="宋体"/>
                <w:sz w:val="22"/>
                <w:szCs w:val="22"/>
                <w:lang w:val="en-US" w:eastAsia="zh-CN"/>
              </w:rPr>
              <w:t xml:space="preserve">  </w:t>
            </w:r>
            <w:r>
              <w:rPr>
                <w:rFonts w:hint="default" w:ascii="宋体" w:hAnsi="宋体" w:cs="宋体"/>
                <w:sz w:val="22"/>
                <w:szCs w:val="22"/>
                <w:lang w:eastAsia="zh-CN"/>
              </w:rPr>
              <w:t>10</w:t>
            </w:r>
            <w:r>
              <w:rPr>
                <w:rFonts w:hint="eastAsia" w:ascii="宋体" w:hAnsi="宋体" w:cs="宋体"/>
                <w:sz w:val="22"/>
                <w:szCs w:val="22"/>
                <w:lang w:val="en-US" w:eastAsia="zh-CN"/>
              </w:rPr>
              <w:t>分</w:t>
            </w:r>
          </w:p>
        </w:tc>
        <w:tc>
          <w:tcPr>
            <w:tcW w:w="3483" w:type="pct"/>
            <w:vAlign w:val="center"/>
          </w:tcPr>
          <w:p w14:paraId="06FF60D5">
            <w:pPr>
              <w:pStyle w:val="6"/>
              <w:ind w:left="0" w:leftChars="0" w:firstLine="0" w:firstLineChars="0"/>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（一）评分内容：对本项目消防技术服务方案进行评比，本项满分</w:t>
            </w:r>
            <w:r>
              <w:rPr>
                <w:rFonts w:hint="default" w:ascii="宋体" w:hAnsi="宋体" w:cs="宋体"/>
                <w:kern w:val="2"/>
                <w:sz w:val="22"/>
                <w:szCs w:val="22"/>
                <w:lang w:eastAsia="zh-CN" w:bidi="ar-SA"/>
              </w:rPr>
              <w:t>10</w:t>
            </w:r>
            <w:r>
              <w:rPr>
                <w:rFonts w:hint="eastAsia" w:ascii="宋体" w:hAnsi="宋体" w:eastAsia="宋体" w:cs="宋体"/>
                <w:kern w:val="2"/>
                <w:sz w:val="22"/>
                <w:szCs w:val="22"/>
                <w:lang w:val="en-US" w:eastAsia="zh-CN" w:bidi="ar-SA"/>
              </w:rPr>
              <w:t>分。</w:t>
            </w:r>
          </w:p>
          <w:p w14:paraId="6B98BAA7">
            <w:pPr>
              <w:pStyle w:val="6"/>
              <w:ind w:left="0" w:leftChars="0" w:firstLine="0" w:firstLineChars="0"/>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（二）评分依据：对本项目对投标人内部管理措施设置的合理性、管理模式的先进性以及各项管理规章制度的规范性等进行综合评议，优的得</w:t>
            </w:r>
            <w:r>
              <w:rPr>
                <w:rFonts w:hint="default" w:ascii="宋体" w:hAnsi="宋体" w:cs="宋体"/>
                <w:kern w:val="2"/>
                <w:sz w:val="22"/>
                <w:szCs w:val="22"/>
                <w:lang w:eastAsia="zh-CN" w:bidi="ar-SA"/>
              </w:rPr>
              <w:t>8</w:t>
            </w:r>
            <w:r>
              <w:rPr>
                <w:rFonts w:hint="eastAsia" w:ascii="宋体" w:hAnsi="宋体" w:eastAsia="宋体" w:cs="宋体"/>
                <w:kern w:val="2"/>
                <w:sz w:val="22"/>
                <w:szCs w:val="22"/>
                <w:lang w:val="en-US" w:eastAsia="zh-CN" w:bidi="ar-SA"/>
              </w:rPr>
              <w:t>-</w:t>
            </w:r>
            <w:r>
              <w:rPr>
                <w:rFonts w:hint="default" w:ascii="宋体" w:hAnsi="宋体" w:cs="宋体"/>
                <w:kern w:val="2"/>
                <w:sz w:val="22"/>
                <w:szCs w:val="22"/>
                <w:lang w:eastAsia="zh-CN" w:bidi="ar-SA"/>
              </w:rPr>
              <w:t>10</w:t>
            </w:r>
            <w:r>
              <w:rPr>
                <w:rFonts w:hint="eastAsia" w:ascii="宋体" w:hAnsi="宋体" w:eastAsia="宋体" w:cs="宋体"/>
                <w:kern w:val="2"/>
                <w:sz w:val="22"/>
                <w:szCs w:val="22"/>
                <w:lang w:val="en-US" w:eastAsia="zh-CN" w:bidi="ar-SA"/>
              </w:rPr>
              <w:t>分；良的得</w:t>
            </w:r>
            <w:r>
              <w:rPr>
                <w:rFonts w:hint="default" w:ascii="宋体" w:hAnsi="宋体" w:cs="宋体"/>
                <w:kern w:val="2"/>
                <w:sz w:val="22"/>
                <w:szCs w:val="22"/>
                <w:lang w:eastAsia="zh-CN" w:bidi="ar-SA"/>
              </w:rPr>
              <w:t>4</w:t>
            </w:r>
            <w:r>
              <w:rPr>
                <w:rFonts w:hint="eastAsia" w:ascii="宋体" w:hAnsi="宋体" w:eastAsia="宋体" w:cs="宋体"/>
                <w:kern w:val="2"/>
                <w:sz w:val="22"/>
                <w:szCs w:val="22"/>
                <w:lang w:val="en-US" w:eastAsia="zh-CN" w:bidi="ar-SA"/>
              </w:rPr>
              <w:t>-</w:t>
            </w:r>
            <w:r>
              <w:rPr>
                <w:rFonts w:hint="default" w:ascii="宋体" w:hAnsi="宋体" w:cs="宋体"/>
                <w:kern w:val="2"/>
                <w:sz w:val="22"/>
                <w:szCs w:val="22"/>
                <w:lang w:eastAsia="zh-CN" w:bidi="ar-SA"/>
              </w:rPr>
              <w:t>7</w:t>
            </w:r>
            <w:r>
              <w:rPr>
                <w:rFonts w:hint="eastAsia" w:ascii="宋体" w:hAnsi="宋体" w:eastAsia="宋体" w:cs="宋体"/>
                <w:kern w:val="2"/>
                <w:sz w:val="22"/>
                <w:szCs w:val="22"/>
                <w:lang w:val="en-US" w:eastAsia="zh-CN" w:bidi="ar-SA"/>
              </w:rPr>
              <w:t>分；一般的得</w:t>
            </w:r>
            <w:r>
              <w:rPr>
                <w:rFonts w:hint="default" w:ascii="宋体" w:hAnsi="宋体" w:cs="宋体"/>
                <w:kern w:val="2"/>
                <w:sz w:val="22"/>
                <w:szCs w:val="22"/>
                <w:lang w:eastAsia="zh-CN" w:bidi="ar-SA"/>
              </w:rPr>
              <w:t>1</w:t>
            </w:r>
            <w:r>
              <w:rPr>
                <w:rFonts w:hint="eastAsia" w:ascii="宋体" w:hAnsi="宋体" w:eastAsia="宋体" w:cs="宋体"/>
                <w:kern w:val="2"/>
                <w:sz w:val="22"/>
                <w:szCs w:val="22"/>
                <w:lang w:val="en-US" w:eastAsia="zh-CN" w:bidi="ar-SA"/>
              </w:rPr>
              <w:t>-</w:t>
            </w:r>
            <w:r>
              <w:rPr>
                <w:rFonts w:hint="default" w:ascii="宋体" w:hAnsi="宋体" w:cs="宋体"/>
                <w:kern w:val="2"/>
                <w:sz w:val="22"/>
                <w:szCs w:val="22"/>
                <w:lang w:eastAsia="zh-CN" w:bidi="ar-SA"/>
              </w:rPr>
              <w:t>3</w:t>
            </w:r>
            <w:r>
              <w:rPr>
                <w:rFonts w:hint="eastAsia" w:ascii="宋体" w:hAnsi="宋体" w:eastAsia="宋体" w:cs="宋体"/>
                <w:kern w:val="2"/>
                <w:sz w:val="22"/>
                <w:szCs w:val="22"/>
                <w:lang w:val="en-US" w:eastAsia="zh-CN" w:bidi="ar-SA"/>
              </w:rPr>
              <w:t>分；评价为差不得分。</w:t>
            </w:r>
          </w:p>
        </w:tc>
      </w:tr>
      <w:tr w14:paraId="7F041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311" w:type="pct"/>
            <w:vAlign w:val="center"/>
          </w:tcPr>
          <w:p w14:paraId="73616494">
            <w:pPr>
              <w:widowControl/>
              <w:jc w:val="center"/>
              <w:rPr>
                <w:rFonts w:hint="eastAsia" w:ascii="宋体" w:hAnsi="宋体" w:eastAsia="宋体" w:cs="Times New Roman"/>
                <w:color w:val="auto"/>
                <w:kern w:val="2"/>
                <w:sz w:val="21"/>
                <w:szCs w:val="21"/>
                <w:lang w:val="en-US" w:eastAsia="zh-CN" w:bidi="ar-SA"/>
              </w:rPr>
            </w:pPr>
            <w:r>
              <w:rPr>
                <w:rFonts w:hint="eastAsia" w:ascii="宋体" w:hAnsi="宋体" w:cs="Times New Roman"/>
                <w:color w:val="auto"/>
                <w:szCs w:val="21"/>
                <w:lang w:val="en-US" w:eastAsia="zh-CN"/>
              </w:rPr>
              <w:t>6</w:t>
            </w:r>
          </w:p>
        </w:tc>
        <w:tc>
          <w:tcPr>
            <w:tcW w:w="643" w:type="pct"/>
            <w:vAlign w:val="center"/>
          </w:tcPr>
          <w:p w14:paraId="0FB0A6E8">
            <w:pPr>
              <w:widowControl/>
              <w:jc w:val="center"/>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szCs w:val="21"/>
                <w:lang w:eastAsia="zh-CN"/>
              </w:rPr>
              <w:t>响应文件规范性</w:t>
            </w:r>
          </w:p>
        </w:tc>
        <w:tc>
          <w:tcPr>
            <w:tcW w:w="561" w:type="pct"/>
            <w:vAlign w:val="center"/>
          </w:tcPr>
          <w:p w14:paraId="4FBA7A9E">
            <w:pPr>
              <w:widowControl/>
              <w:spacing w:after="78"/>
              <w:jc w:val="center"/>
              <w:rPr>
                <w:rFonts w:hint="default" w:ascii="宋体" w:hAnsi="宋体" w:eastAsia="宋体" w:cs="Times New Roman"/>
                <w:color w:val="auto"/>
                <w:kern w:val="2"/>
                <w:sz w:val="21"/>
                <w:szCs w:val="21"/>
                <w:lang w:val="en-US" w:eastAsia="zh-CN" w:bidi="ar-SA"/>
              </w:rPr>
            </w:pPr>
            <w:r>
              <w:rPr>
                <w:rFonts w:hint="eastAsia" w:ascii="宋体" w:hAnsi="宋体" w:cs="Times New Roman"/>
                <w:color w:val="auto"/>
                <w:szCs w:val="21"/>
                <w:lang w:val="en-US" w:eastAsia="zh-CN"/>
              </w:rPr>
              <w:t>5</w:t>
            </w:r>
            <w:r>
              <w:rPr>
                <w:rFonts w:hint="eastAsia" w:ascii="宋体" w:hAnsi="宋体" w:cs="宋体"/>
                <w:sz w:val="22"/>
                <w:lang w:val="en-US" w:eastAsia="zh-CN"/>
              </w:rPr>
              <w:t>分</w:t>
            </w:r>
          </w:p>
        </w:tc>
        <w:tc>
          <w:tcPr>
            <w:tcW w:w="3483" w:type="pct"/>
            <w:vAlign w:val="center"/>
          </w:tcPr>
          <w:p w14:paraId="7D1A43A4">
            <w:pPr>
              <w:pStyle w:val="6"/>
              <w:ind w:left="0" w:leftChars="0" w:firstLine="0" w:firstLineChars="0"/>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（一）评分内容</w:t>
            </w:r>
            <w:r>
              <w:rPr>
                <w:rFonts w:hint="eastAsia" w:ascii="宋体" w:hAnsi="宋体" w:cs="宋体"/>
                <w:kern w:val="2"/>
                <w:sz w:val="22"/>
                <w:szCs w:val="22"/>
                <w:lang w:val="en-US" w:eastAsia="zh-CN" w:bidi="ar-SA"/>
              </w:rPr>
              <w:t>：</w:t>
            </w:r>
            <w:r>
              <w:rPr>
                <w:rFonts w:hint="eastAsia" w:ascii="宋体" w:hAnsi="宋体" w:eastAsia="宋体" w:cs="宋体"/>
                <w:kern w:val="2"/>
                <w:sz w:val="22"/>
                <w:szCs w:val="22"/>
                <w:lang w:val="en-US" w:eastAsia="zh-CN" w:bidi="ar-SA"/>
              </w:rPr>
              <w:t>对响应文件质量进行评分。</w:t>
            </w:r>
          </w:p>
          <w:p w14:paraId="01D3F233">
            <w:pPr>
              <w:pStyle w:val="6"/>
              <w:ind w:left="0" w:leftChars="0" w:firstLine="0" w:firstLineChars="0"/>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（二）评分依据：</w:t>
            </w:r>
          </w:p>
          <w:p w14:paraId="39A6648B">
            <w:pPr>
              <w:pStyle w:val="6"/>
              <w:ind w:left="0" w:leftChars="0" w:firstLine="0" w:firstLineChars="0"/>
              <w:rPr>
                <w:rFonts w:hint="eastAsia" w:ascii="宋体" w:hAnsi="宋体" w:eastAsia="宋体" w:cs="宋体"/>
                <w:kern w:val="2"/>
                <w:sz w:val="22"/>
                <w:szCs w:val="22"/>
                <w:lang w:val="en-US" w:eastAsia="zh-CN" w:bidi="ar-SA"/>
              </w:rPr>
            </w:pPr>
            <w:r>
              <w:rPr>
                <w:rFonts w:hint="eastAsia" w:ascii="宋体" w:hAnsi="宋体" w:cs="宋体"/>
                <w:kern w:val="2"/>
                <w:sz w:val="22"/>
                <w:szCs w:val="22"/>
                <w:lang w:val="en-US" w:eastAsia="zh-CN" w:bidi="ar-SA"/>
              </w:rPr>
              <w:t>1.</w:t>
            </w:r>
            <w:r>
              <w:rPr>
                <w:rFonts w:hint="eastAsia" w:ascii="宋体" w:hAnsi="宋体" w:eastAsia="宋体" w:cs="宋体"/>
                <w:kern w:val="2"/>
                <w:sz w:val="22"/>
                <w:szCs w:val="22"/>
                <w:lang w:val="en-US" w:eastAsia="zh-CN" w:bidi="ar-SA"/>
              </w:rPr>
              <w:t>投标文件有缺漏项但未导致实质性偏离的扣1分；</w:t>
            </w:r>
          </w:p>
          <w:p w14:paraId="1174F5A9">
            <w:pPr>
              <w:pStyle w:val="6"/>
              <w:ind w:left="0" w:leftChars="0" w:firstLine="0" w:firstLineChars="0"/>
              <w:rPr>
                <w:rFonts w:hint="eastAsia" w:ascii="宋体" w:hAnsi="宋体" w:eastAsia="宋体" w:cs="宋体"/>
                <w:kern w:val="2"/>
                <w:sz w:val="22"/>
                <w:szCs w:val="22"/>
                <w:lang w:val="en-US" w:eastAsia="zh-CN" w:bidi="ar-SA"/>
              </w:rPr>
            </w:pPr>
            <w:r>
              <w:rPr>
                <w:rFonts w:hint="eastAsia" w:ascii="宋体" w:hAnsi="宋体" w:cs="宋体"/>
                <w:kern w:val="2"/>
                <w:sz w:val="22"/>
                <w:szCs w:val="22"/>
                <w:lang w:val="en-US" w:eastAsia="zh-CN" w:bidi="ar-SA"/>
              </w:rPr>
              <w:t>2.</w:t>
            </w:r>
            <w:r>
              <w:rPr>
                <w:rFonts w:hint="eastAsia" w:ascii="宋体" w:hAnsi="宋体" w:eastAsia="宋体" w:cs="宋体"/>
                <w:kern w:val="2"/>
                <w:sz w:val="22"/>
                <w:szCs w:val="22"/>
                <w:lang w:val="en-US" w:eastAsia="zh-CN" w:bidi="ar-SA"/>
              </w:rPr>
              <w:t>投标文件资料不清晰的扣1分；</w:t>
            </w:r>
          </w:p>
          <w:p w14:paraId="4E86FFAB">
            <w:pPr>
              <w:pStyle w:val="6"/>
              <w:ind w:left="0" w:leftChars="0" w:firstLine="0" w:firstLineChars="0"/>
              <w:rPr>
                <w:rFonts w:hint="eastAsia" w:ascii="宋体" w:hAnsi="宋体" w:eastAsia="宋体" w:cs="宋体"/>
                <w:kern w:val="2"/>
                <w:sz w:val="22"/>
                <w:szCs w:val="22"/>
                <w:lang w:val="en-US" w:eastAsia="zh-CN" w:bidi="ar-SA"/>
              </w:rPr>
            </w:pPr>
            <w:r>
              <w:rPr>
                <w:rFonts w:hint="eastAsia" w:ascii="宋体" w:hAnsi="宋体" w:cs="宋体"/>
                <w:kern w:val="2"/>
                <w:sz w:val="22"/>
                <w:szCs w:val="22"/>
                <w:lang w:val="en-US" w:eastAsia="zh-CN" w:bidi="ar-SA"/>
              </w:rPr>
              <w:t>3.</w:t>
            </w:r>
            <w:r>
              <w:rPr>
                <w:rFonts w:hint="eastAsia" w:ascii="宋体" w:hAnsi="宋体" w:eastAsia="宋体" w:cs="宋体"/>
                <w:kern w:val="2"/>
                <w:sz w:val="22"/>
                <w:szCs w:val="22"/>
                <w:lang w:val="en-US" w:eastAsia="zh-CN" w:bidi="ar-SA"/>
              </w:rPr>
              <w:t>投标文件编排混乱的扣1分；</w:t>
            </w:r>
          </w:p>
          <w:p w14:paraId="11579A90">
            <w:pPr>
              <w:pStyle w:val="6"/>
              <w:ind w:left="0" w:leftChars="0" w:firstLine="0" w:firstLineChars="0"/>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宋体"/>
                <w:kern w:val="2"/>
                <w:sz w:val="22"/>
                <w:szCs w:val="22"/>
                <w:lang w:val="en-US" w:eastAsia="zh-CN" w:bidi="ar-SA"/>
              </w:rPr>
              <w:t>无上述情况本项得5分。</w:t>
            </w:r>
          </w:p>
        </w:tc>
      </w:tr>
    </w:tbl>
    <w:p w14:paraId="5CEEB30C">
      <w:pPr>
        <w:spacing w:line="36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备注：</w:t>
      </w:r>
    </w:p>
    <w:p w14:paraId="1F27BF22">
      <w:pPr>
        <w:pStyle w:val="7"/>
        <w:numPr>
          <w:ilvl w:val="0"/>
          <w:numId w:val="2"/>
        </w:numPr>
        <w:spacing w:line="36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本表评审依据要求的各项证明文件须编入投标文件。</w:t>
      </w:r>
    </w:p>
    <w:p w14:paraId="7769BCD2">
      <w:pPr>
        <w:numPr>
          <w:ilvl w:val="0"/>
          <w:numId w:val="2"/>
        </w:numPr>
        <w:spacing w:line="36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表中要求提供相关证明文件的内容，投标文件中须明确加以说明并提供，未按要求提供相关文件或说明不清楚或评审小组无法凭所提供的材料判断是否得分的情况，一律作不得分处理。</w:t>
      </w:r>
    </w:p>
    <w:p w14:paraId="2037E7FA">
      <w:pPr>
        <w:rPr>
          <w:rFonts w:hint="eastAsia"/>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Wingdings 2"/>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等线">
    <w:altName w:val="Noto Sans CJK SC"/>
    <w:panose1 w:val="00000000000000000000"/>
    <w:charset w:val="86"/>
    <w:family w:val="auto"/>
    <w:pitch w:val="default"/>
    <w:sig w:usb0="00000000" w:usb1="00000000" w:usb2="00000000" w:usb3="00000000" w:csb0="00000000" w:csb1="00000000"/>
  </w:font>
  <w:font w:name="等线">
    <w:altName w:val="Noto Sans CJK SC"/>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52378"/>
    <w:multiLevelType w:val="singleLevel"/>
    <w:tmpl w:val="97B52378"/>
    <w:lvl w:ilvl="0" w:tentative="0">
      <w:start w:val="1"/>
      <w:numFmt w:val="decimal"/>
      <w:suff w:val="nothing"/>
      <w:lvlText w:val="%1、"/>
      <w:lvlJc w:val="left"/>
    </w:lvl>
  </w:abstractNum>
  <w:abstractNum w:abstractNumId="1">
    <w:nsid w:val="B736254E"/>
    <w:multiLevelType w:val="singleLevel"/>
    <w:tmpl w:val="B736254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1ZDhjNmY5NTVjNTFlMjQ1MDc2NDU2ZGE2ZTcyZTgifQ=="/>
  </w:docVars>
  <w:rsids>
    <w:rsidRoot w:val="00B80BD1"/>
    <w:rsid w:val="001D4ABD"/>
    <w:rsid w:val="00400DE8"/>
    <w:rsid w:val="00773861"/>
    <w:rsid w:val="009959FE"/>
    <w:rsid w:val="00B80BD1"/>
    <w:rsid w:val="023A252E"/>
    <w:rsid w:val="09C34DD3"/>
    <w:rsid w:val="0A540ADE"/>
    <w:rsid w:val="0AF21B25"/>
    <w:rsid w:val="108F23BB"/>
    <w:rsid w:val="1200623C"/>
    <w:rsid w:val="152E225E"/>
    <w:rsid w:val="17EE43EC"/>
    <w:rsid w:val="17FFFB24"/>
    <w:rsid w:val="1EFF0B55"/>
    <w:rsid w:val="25093121"/>
    <w:rsid w:val="29437F8A"/>
    <w:rsid w:val="2B595843"/>
    <w:rsid w:val="2C5F0DBB"/>
    <w:rsid w:val="307861BD"/>
    <w:rsid w:val="33FE013C"/>
    <w:rsid w:val="3BE313D4"/>
    <w:rsid w:val="3BFB8C78"/>
    <w:rsid w:val="3E196E1B"/>
    <w:rsid w:val="3F406FEE"/>
    <w:rsid w:val="453D4EFB"/>
    <w:rsid w:val="49592251"/>
    <w:rsid w:val="4A3263F8"/>
    <w:rsid w:val="4D215EA9"/>
    <w:rsid w:val="4E334B73"/>
    <w:rsid w:val="50EA6413"/>
    <w:rsid w:val="54AF7EBA"/>
    <w:rsid w:val="565F3782"/>
    <w:rsid w:val="56C02A96"/>
    <w:rsid w:val="56DA5E2D"/>
    <w:rsid w:val="59091DA7"/>
    <w:rsid w:val="5BEF34D6"/>
    <w:rsid w:val="5BEF91DD"/>
    <w:rsid w:val="5DBF835F"/>
    <w:rsid w:val="5E157430"/>
    <w:rsid w:val="5EFA26D4"/>
    <w:rsid w:val="614953F2"/>
    <w:rsid w:val="626340A8"/>
    <w:rsid w:val="62DA61DD"/>
    <w:rsid w:val="676E5BDD"/>
    <w:rsid w:val="67E404B4"/>
    <w:rsid w:val="67FD341E"/>
    <w:rsid w:val="68CD6753"/>
    <w:rsid w:val="69EC12EB"/>
    <w:rsid w:val="72F54DC3"/>
    <w:rsid w:val="73851FDD"/>
    <w:rsid w:val="76D821C0"/>
    <w:rsid w:val="77BA09E4"/>
    <w:rsid w:val="782818CF"/>
    <w:rsid w:val="789C633C"/>
    <w:rsid w:val="79DF76B8"/>
    <w:rsid w:val="7A6AC8B6"/>
    <w:rsid w:val="7ADE6784"/>
    <w:rsid w:val="7B0F0C87"/>
    <w:rsid w:val="7C2E4759"/>
    <w:rsid w:val="7CA7F19C"/>
    <w:rsid w:val="7CFF75FE"/>
    <w:rsid w:val="7EFE565A"/>
    <w:rsid w:val="7FC250AB"/>
    <w:rsid w:val="7FDEDCA2"/>
    <w:rsid w:val="7FDF22A0"/>
    <w:rsid w:val="7FF2194F"/>
    <w:rsid w:val="ADD9EB43"/>
    <w:rsid w:val="B1FFD883"/>
    <w:rsid w:val="BBFF893F"/>
    <w:rsid w:val="D5DD2482"/>
    <w:rsid w:val="DFFF4908"/>
    <w:rsid w:val="EFFF9456"/>
    <w:rsid w:val="F7FFE5F4"/>
    <w:rsid w:val="FD4F8EB7"/>
    <w:rsid w:val="FF2BA04B"/>
    <w:rsid w:val="FFCFA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qFormat/>
    <w:uiPriority w:val="0"/>
    <w:pPr>
      <w:keepNext/>
      <w:keepLines/>
      <w:spacing w:before="240" w:after="240"/>
      <w:outlineLvl w:val="1"/>
    </w:pPr>
    <w:rPr>
      <w:rFonts w:ascii="Arial" w:hAnsi="Arial" w:eastAsia="黑体"/>
      <w:b/>
      <w:bCs/>
      <w:sz w:val="32"/>
      <w:szCs w:val="32"/>
    </w:rPr>
  </w:style>
  <w:style w:type="paragraph" w:styleId="5">
    <w:name w:val="heading 4"/>
    <w:basedOn w:val="1"/>
    <w:next w:val="1"/>
    <w:link w:val="1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1"/>
    </w:rPr>
  </w:style>
  <w:style w:type="paragraph" w:styleId="3">
    <w:name w:val="index 8"/>
    <w:basedOn w:val="1"/>
    <w:next w:val="1"/>
    <w:qFormat/>
    <w:uiPriority w:val="0"/>
    <w:pPr>
      <w:ind w:left="1400" w:leftChars="1400"/>
    </w:pPr>
  </w:style>
  <w:style w:type="paragraph" w:styleId="6">
    <w:name w:val="Normal Indent"/>
    <w:basedOn w:val="1"/>
    <w:qFormat/>
    <w:uiPriority w:val="0"/>
    <w:pPr>
      <w:ind w:firstLine="420"/>
    </w:pPr>
    <w:rPr>
      <w:szCs w:val="20"/>
    </w:rPr>
  </w:style>
  <w:style w:type="paragraph" w:styleId="7">
    <w:name w:val="Body Text"/>
    <w:basedOn w:val="1"/>
    <w:next w:val="1"/>
    <w:link w:val="13"/>
    <w:unhideWhenUsed/>
    <w:qFormat/>
    <w:uiPriority w:val="0"/>
    <w:pPr>
      <w:spacing w:after="120"/>
    </w:pPr>
  </w:style>
  <w:style w:type="paragraph" w:styleId="8">
    <w:name w:val="toc 2"/>
    <w:basedOn w:val="1"/>
    <w:next w:val="1"/>
    <w:qFormat/>
    <w:uiPriority w:val="0"/>
    <w:pPr>
      <w:spacing w:line="600" w:lineRule="exact"/>
      <w:ind w:firstLine="880" w:firstLineChars="200"/>
    </w:pPr>
    <w:rPr>
      <w:rFonts w:eastAsia="仿宋_GB2312"/>
      <w:sz w:val="32"/>
    </w:rPr>
  </w:style>
  <w:style w:type="character" w:customStyle="1" w:styleId="11">
    <w:name w:val="标题 4 字符"/>
    <w:basedOn w:val="10"/>
    <w:link w:val="5"/>
    <w:semiHidden/>
    <w:qFormat/>
    <w:uiPriority w:val="9"/>
    <w:rPr>
      <w:rFonts w:asciiTheme="majorHAnsi" w:hAnsiTheme="majorHAnsi" w:eastAsiaTheme="majorEastAsia" w:cstheme="majorBidi"/>
      <w:b/>
      <w:bCs/>
      <w:sz w:val="28"/>
      <w:szCs w:val="28"/>
    </w:rPr>
  </w:style>
  <w:style w:type="character" w:customStyle="1" w:styleId="12">
    <w:name w:val="正文文本 字符"/>
    <w:basedOn w:val="10"/>
    <w:semiHidden/>
    <w:qFormat/>
    <w:uiPriority w:val="99"/>
    <w:rPr>
      <w:rFonts w:ascii="Calibri" w:hAnsi="Calibri" w:eastAsia="宋体" w:cs="Times New Roman"/>
    </w:rPr>
  </w:style>
  <w:style w:type="character" w:customStyle="1" w:styleId="13">
    <w:name w:val="正文文本 字符3"/>
    <w:basedOn w:val="10"/>
    <w:link w:val="7"/>
    <w:qFormat/>
    <w:uiPriority w:val="0"/>
    <w:rPr>
      <w:rFonts w:ascii="Calibri" w:hAnsi="Calibri" w:eastAsia="宋体" w:cs="Times New Roman"/>
    </w:rPr>
  </w:style>
  <w:style w:type="paragraph" w:styleId="14">
    <w:name w:val="List Paragraph"/>
    <w:basedOn w:val="1"/>
    <w:qFormat/>
    <w:uiPriority w:val="34"/>
    <w:pPr>
      <w:ind w:firstLine="420" w:firstLineChars="200"/>
    </w:pPr>
  </w:style>
  <w:style w:type="table" w:customStyle="1" w:styleId="15">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1745</Words>
  <Characters>1793</Characters>
  <Lines>13</Lines>
  <Paragraphs>3</Paragraphs>
  <TotalTime>0</TotalTime>
  <ScaleCrop>false</ScaleCrop>
  <LinksUpToDate>false</LinksUpToDate>
  <CharactersWithSpaces>1843</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2021-08-10T09:21:00Z</dcterms:created>
  <dc:creator>Administrator</dc:creator>
  <cp:lastModifiedBy>邱壑</cp:lastModifiedBy>
  <dcterms:modified xsi:type="dcterms:W3CDTF">2025-09-25T11:31:42Z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A0972707CA8F4C5ABA2F1949F895700C</vt:lpwstr>
  </property>
  <property fmtid="{D5CDD505-2E9C-101B-9397-08002B2CF9AE}" pid="4" name="KSOTemplateDocerSaveRecord">
    <vt:lpwstr>eyJoZGlkIjoiMzEwNTM5NzYwMDRjMzkwZTVkZjY2ODkwMGIxNGU0OTUiLCJ1c2VySWQiOiIyMzk1MTM5MDIifQ==</vt:lpwstr>
  </property>
</Properties>
</file>