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5985D">
      <w:pPr>
        <w:jc w:val="center"/>
        <w:rPr>
          <w:rFonts w:hint="eastAsia" w:ascii="方正公文小标宋" w:hAnsi="方正公文小标宋" w:eastAsia="方正公文小标宋" w:cs="方正公文小标宋"/>
          <w:sz w:val="28"/>
          <w:szCs w:val="36"/>
          <w:lang w:eastAsia="zh-CN"/>
        </w:rPr>
      </w:pPr>
      <w:r>
        <w:rPr>
          <w:rFonts w:hint="eastAsia" w:ascii="方正公文小标宋" w:hAnsi="方正公文小标宋" w:eastAsia="方正公文小标宋" w:cs="方正公文小标宋"/>
          <w:sz w:val="28"/>
          <w:szCs w:val="36"/>
          <w:lang w:eastAsia="zh-CN"/>
        </w:rPr>
        <w:t>综合评分表</w:t>
      </w:r>
    </w:p>
    <w:p w14:paraId="4A7A23B0">
      <w:pPr>
        <w:jc w:val="center"/>
        <w:rPr>
          <w:rFonts w:hint="eastAsia" w:ascii="方正公文小标宋" w:hAnsi="方正公文小标宋" w:eastAsia="方正公文小标宋" w:cs="方正公文小标宋"/>
          <w:sz w:val="28"/>
          <w:szCs w:val="36"/>
          <w:lang w:eastAsia="zh-CN"/>
        </w:rPr>
      </w:pPr>
      <w:r>
        <w:rPr>
          <w:rFonts w:hint="eastAsia" w:ascii="方正公文小标宋" w:hAnsi="方正公文小标宋" w:eastAsia="方正公文小标宋" w:cs="方正公文小标宋"/>
          <w:sz w:val="28"/>
          <w:szCs w:val="36"/>
          <w:lang w:eastAsia="zh-CN"/>
        </w:rPr>
        <w:t>（</w:t>
      </w:r>
      <w:r>
        <w:rPr>
          <w:rFonts w:hint="eastAsia" w:ascii="方正公文小标宋" w:hAnsi="方正公文小标宋" w:eastAsia="方正公文小标宋" w:cs="方正公文小标宋"/>
          <w:sz w:val="28"/>
          <w:szCs w:val="36"/>
          <w:lang w:val="en-US" w:eastAsia="zh-CN"/>
        </w:rPr>
        <w:t>宝龙智造园、产服科创大厦、上井智造园</w:t>
      </w:r>
      <w:r>
        <w:rPr>
          <w:rFonts w:hint="eastAsia" w:ascii="方正公文小标宋" w:hAnsi="方正公文小标宋" w:eastAsia="方正公文小标宋" w:cs="方正公文小标宋"/>
          <w:sz w:val="28"/>
          <w:szCs w:val="36"/>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1297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8528" w:type="dxa"/>
            <w:gridSpan w:val="4"/>
            <w:shd w:val="clear" w:color="auto" w:fill="D9E2F3"/>
            <w:noWrap w:val="0"/>
            <w:vAlign w:val="center"/>
          </w:tcPr>
          <w:p w14:paraId="2F5745C3">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《商务标、技术标、价格标权重表和综合得分汇总》</w:t>
            </w:r>
          </w:p>
        </w:tc>
      </w:tr>
      <w:tr w14:paraId="432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noWrap w:val="0"/>
            <w:vAlign w:val="center"/>
          </w:tcPr>
          <w:p w14:paraId="0B747483">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权重名称</w:t>
            </w:r>
          </w:p>
        </w:tc>
        <w:tc>
          <w:tcPr>
            <w:tcW w:w="2158" w:type="dxa"/>
            <w:noWrap w:val="0"/>
            <w:vAlign w:val="center"/>
          </w:tcPr>
          <w:p w14:paraId="549984EB">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商务标权重</w:t>
            </w:r>
          </w:p>
        </w:tc>
        <w:tc>
          <w:tcPr>
            <w:tcW w:w="2159" w:type="dxa"/>
            <w:noWrap w:val="0"/>
            <w:vAlign w:val="center"/>
          </w:tcPr>
          <w:p w14:paraId="0E8EE505">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技术标权重</w:t>
            </w:r>
          </w:p>
        </w:tc>
        <w:tc>
          <w:tcPr>
            <w:tcW w:w="2159" w:type="dxa"/>
            <w:noWrap w:val="0"/>
            <w:vAlign w:val="center"/>
          </w:tcPr>
          <w:p w14:paraId="375808DB">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rPr>
              <w:t>价格标权重</w:t>
            </w:r>
          </w:p>
        </w:tc>
      </w:tr>
      <w:tr w14:paraId="72A1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noWrap w:val="0"/>
            <w:vAlign w:val="center"/>
          </w:tcPr>
          <w:p w14:paraId="369BC9F8">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权重</w:t>
            </w:r>
          </w:p>
        </w:tc>
        <w:tc>
          <w:tcPr>
            <w:tcW w:w="2158" w:type="dxa"/>
            <w:noWrap w:val="0"/>
            <w:vAlign w:val="center"/>
          </w:tcPr>
          <w:p w14:paraId="71B5C9F9">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25</w:t>
            </w:r>
          </w:p>
        </w:tc>
        <w:tc>
          <w:tcPr>
            <w:tcW w:w="2159" w:type="dxa"/>
            <w:noWrap w:val="0"/>
            <w:vAlign w:val="center"/>
          </w:tcPr>
          <w:p w14:paraId="3E9C49C2">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25</w:t>
            </w:r>
          </w:p>
        </w:tc>
        <w:tc>
          <w:tcPr>
            <w:tcW w:w="2159" w:type="dxa"/>
            <w:noWrap w:val="0"/>
            <w:vAlign w:val="center"/>
          </w:tcPr>
          <w:p w14:paraId="4316F8BD">
            <w:pPr>
              <w:widowControl w:val="0"/>
              <w:autoSpaceDE w:val="0"/>
              <w:autoSpaceDN w:val="0"/>
              <w:adjustRightInd w:val="0"/>
              <w:snapToGrid w:val="0"/>
              <w:ind w:firstLine="0" w:firstLineChars="0"/>
              <w:jc w:val="center"/>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50</w:t>
            </w:r>
          </w:p>
        </w:tc>
      </w:tr>
      <w:tr w14:paraId="34DD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noWrap w:val="0"/>
            <w:vAlign w:val="center"/>
          </w:tcPr>
          <w:p w14:paraId="6264929A">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投标人综合得分</w:t>
            </w:r>
          </w:p>
        </w:tc>
        <w:tc>
          <w:tcPr>
            <w:tcW w:w="6476" w:type="dxa"/>
            <w:gridSpan w:val="3"/>
            <w:noWrap w:val="0"/>
            <w:vAlign w:val="center"/>
          </w:tcPr>
          <w:p w14:paraId="15D9A9BB">
            <w:pPr>
              <w:widowControl w:val="0"/>
              <w:autoSpaceDE w:val="0"/>
              <w:autoSpaceDN w:val="0"/>
              <w:adjustRightInd w:val="0"/>
              <w:snapToGrid w:val="0"/>
              <w:ind w:firstLine="0" w:firstLineChars="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商务标得分+技术标得分+价格标得分=100</w:t>
            </w:r>
          </w:p>
        </w:tc>
      </w:tr>
    </w:tbl>
    <w:p w14:paraId="4F62B8B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B91063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2752CE1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附表1《商务标评审标准》</w:t>
      </w: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5"/>
        <w:gridCol w:w="1134"/>
        <w:gridCol w:w="6611"/>
        <w:gridCol w:w="920"/>
      </w:tblGrid>
      <w:tr w14:paraId="3931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9340" w:type="dxa"/>
            <w:gridSpan w:val="4"/>
            <w:shd w:val="clear" w:color="auto" w:fill="D9E2F3"/>
            <w:noWrap w:val="0"/>
            <w:vAlign w:val="center"/>
          </w:tcPr>
          <w:p w14:paraId="7330E987">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《商务标评审标准》</w:t>
            </w:r>
          </w:p>
        </w:tc>
      </w:tr>
      <w:tr w14:paraId="145C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675" w:type="dxa"/>
            <w:noWrap w:val="0"/>
            <w:vAlign w:val="center"/>
          </w:tcPr>
          <w:p w14:paraId="0BB0A09F">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序号</w:t>
            </w:r>
          </w:p>
        </w:tc>
        <w:tc>
          <w:tcPr>
            <w:tcW w:w="1134" w:type="dxa"/>
            <w:noWrap w:val="0"/>
            <w:vAlign w:val="center"/>
          </w:tcPr>
          <w:p w14:paraId="7E74AD05">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评审项目</w:t>
            </w:r>
          </w:p>
        </w:tc>
        <w:tc>
          <w:tcPr>
            <w:tcW w:w="6611" w:type="dxa"/>
            <w:noWrap w:val="0"/>
            <w:vAlign w:val="center"/>
          </w:tcPr>
          <w:p w14:paraId="7F86FFD2">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评审标准及证明材料</w:t>
            </w:r>
          </w:p>
        </w:tc>
        <w:tc>
          <w:tcPr>
            <w:tcW w:w="920" w:type="dxa"/>
            <w:noWrap w:val="0"/>
            <w:vAlign w:val="center"/>
          </w:tcPr>
          <w:p w14:paraId="7C610E2E">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分值</w:t>
            </w:r>
          </w:p>
        </w:tc>
      </w:tr>
      <w:tr w14:paraId="5535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3655D84E">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603C30C2">
            <w:pPr>
              <w:jc w:val="center"/>
              <w:rPr>
                <w:rFonts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同类项目业绩</w:t>
            </w:r>
          </w:p>
        </w:tc>
        <w:tc>
          <w:tcPr>
            <w:tcW w:w="6611" w:type="dxa"/>
            <w:noWrap w:val="0"/>
            <w:vAlign w:val="top"/>
          </w:tcPr>
          <w:p w14:paraId="00D4559A">
            <w:pPr>
              <w:wordWrap w:val="0"/>
              <w:rPr>
                <w:rFonts w:ascii="仿宋" w:hAnsi="仿宋" w:eastAsia="仿宋" w:cs="仿宋"/>
                <w:color w:val="auto"/>
                <w:sz w:val="24"/>
              </w:rPr>
            </w:pPr>
            <w:r>
              <w:rPr>
                <w:rFonts w:hint="eastAsia" w:ascii="仿宋" w:hAnsi="仿宋" w:eastAsia="仿宋" w:cs="仿宋"/>
                <w:b/>
                <w:bCs/>
                <w:color w:val="auto"/>
                <w:sz w:val="24"/>
              </w:rPr>
              <w:t>评审内容及标准：</w:t>
            </w:r>
            <w:r>
              <w:rPr>
                <w:rFonts w:hint="eastAsia" w:ascii="仿宋" w:hAnsi="仿宋" w:eastAsia="仿宋" w:cs="仿宋"/>
                <w:color w:val="auto"/>
                <w:sz w:val="24"/>
              </w:rPr>
              <w:t>投标人提供自</w:t>
            </w:r>
            <w:r>
              <w:rPr>
                <w:rFonts w:hint="eastAsia" w:ascii="仿宋" w:hAnsi="仿宋" w:eastAsia="仿宋" w:cs="仿宋"/>
                <w:color w:val="auto"/>
                <w:sz w:val="24"/>
                <w:lang w:val="en-US" w:eastAsia="zh-CN"/>
              </w:rPr>
              <w:t>2024</w:t>
            </w:r>
            <w:r>
              <w:rPr>
                <w:rFonts w:hint="eastAsia" w:ascii="仿宋" w:hAnsi="仿宋" w:eastAsia="仿宋" w:cs="仿宋"/>
                <w:color w:val="auto"/>
                <w:sz w:val="24"/>
              </w:rPr>
              <w:t>年1月1日至投标截止日，具有</w:t>
            </w:r>
            <w:r>
              <w:rPr>
                <w:rFonts w:hint="eastAsia" w:ascii="仿宋" w:hAnsi="仿宋" w:eastAsia="仿宋" w:cs="仿宋"/>
                <w:color w:val="auto"/>
                <w:sz w:val="24"/>
                <w:lang w:val="en-US" w:eastAsia="zh-CN"/>
              </w:rPr>
              <w:t>年用电量3000</w:t>
            </w:r>
            <w:r>
              <w:rPr>
                <w:rFonts w:hint="eastAsia" w:ascii="仿宋" w:hAnsi="仿宋" w:eastAsia="仿宋" w:cs="仿宋"/>
                <w:color w:val="auto"/>
                <w:sz w:val="24"/>
              </w:rPr>
              <w:t>万</w:t>
            </w:r>
            <w:r>
              <w:rPr>
                <w:rFonts w:hint="eastAsia" w:ascii="仿宋" w:hAnsi="仿宋" w:eastAsia="仿宋" w:cs="仿宋"/>
                <w:color w:val="auto"/>
                <w:sz w:val="24"/>
                <w:lang w:val="en-US" w:eastAsia="zh-CN"/>
              </w:rPr>
              <w:t>KWh</w:t>
            </w:r>
            <w:r>
              <w:rPr>
                <w:rFonts w:hint="eastAsia" w:ascii="仿宋" w:hAnsi="仿宋" w:eastAsia="仿宋" w:cs="仿宋"/>
                <w:color w:val="auto"/>
                <w:sz w:val="24"/>
              </w:rPr>
              <w:t>及以上同类</w:t>
            </w:r>
            <w:r>
              <w:rPr>
                <w:rFonts w:hint="eastAsia" w:ascii="仿宋" w:hAnsi="仿宋" w:eastAsia="仿宋" w:cs="仿宋"/>
                <w:color w:val="auto"/>
                <w:sz w:val="24"/>
                <w:lang w:val="en-US" w:eastAsia="zh-CN"/>
              </w:rPr>
              <w:t>直购电力交易代理服务项目</w:t>
            </w:r>
            <w:r>
              <w:rPr>
                <w:rFonts w:hint="eastAsia" w:ascii="仿宋" w:hAnsi="仿宋" w:eastAsia="仿宋" w:cs="仿宋"/>
                <w:color w:val="auto"/>
                <w:sz w:val="24"/>
              </w:rPr>
              <w:t>业绩合同。每提供一个同类业绩的，得</w:t>
            </w:r>
            <w:r>
              <w:rPr>
                <w:rFonts w:hint="eastAsia" w:ascii="仿宋" w:hAnsi="仿宋" w:eastAsia="仿宋" w:cs="仿宋"/>
                <w:bCs/>
                <w:color w:val="auto"/>
                <w:kern w:val="0"/>
                <w:sz w:val="24"/>
                <w:lang w:val="en-US" w:eastAsia="zh-CN"/>
              </w:rPr>
              <w:t>1</w:t>
            </w:r>
            <w:r>
              <w:rPr>
                <w:rFonts w:hint="eastAsia" w:ascii="仿宋" w:hAnsi="仿宋" w:eastAsia="仿宋" w:cs="仿宋"/>
                <w:bCs/>
                <w:color w:val="auto"/>
                <w:kern w:val="0"/>
                <w:sz w:val="24"/>
              </w:rPr>
              <w:t>分</w:t>
            </w:r>
            <w:r>
              <w:rPr>
                <w:rFonts w:hint="eastAsia" w:ascii="仿宋" w:hAnsi="仿宋" w:eastAsia="仿宋" w:cs="仿宋"/>
                <w:color w:val="auto"/>
                <w:sz w:val="24"/>
              </w:rPr>
              <w:t>，最高得</w:t>
            </w:r>
            <w:r>
              <w:rPr>
                <w:rFonts w:hint="eastAsia" w:ascii="仿宋" w:hAnsi="仿宋" w:eastAsia="仿宋" w:cs="仿宋"/>
                <w:color w:val="auto"/>
                <w:sz w:val="24"/>
                <w:lang w:val="en-US" w:eastAsia="zh-CN"/>
              </w:rPr>
              <w:t>3</w:t>
            </w:r>
            <w:r>
              <w:rPr>
                <w:rFonts w:hint="eastAsia" w:ascii="仿宋" w:hAnsi="仿宋" w:eastAsia="仿宋" w:cs="仿宋"/>
                <w:color w:val="auto"/>
                <w:sz w:val="24"/>
              </w:rPr>
              <w:t xml:space="preserve">分。同一业主续签不重复计分。 </w:t>
            </w:r>
          </w:p>
          <w:p w14:paraId="107B54C9">
            <w:pPr>
              <w:pStyle w:val="4"/>
              <w:spacing w:after="0"/>
              <w:ind w:left="0" w:leftChars="0" w:firstLine="0" w:firstLineChars="0"/>
              <w:rPr>
                <w:rFonts w:ascii="仿宋" w:hAnsi="仿宋" w:eastAsia="仿宋" w:cs="仿宋"/>
                <w:color w:val="auto"/>
                <w:sz w:val="24"/>
              </w:rPr>
            </w:pPr>
            <w:r>
              <w:rPr>
                <w:rFonts w:hint="eastAsia" w:ascii="仿宋" w:hAnsi="仿宋" w:eastAsia="仿宋" w:cs="仿宋"/>
                <w:b/>
                <w:bCs/>
                <w:color w:val="auto"/>
                <w:sz w:val="24"/>
              </w:rPr>
              <w:t>注：</w:t>
            </w:r>
            <w:r>
              <w:rPr>
                <w:rFonts w:hint="eastAsia" w:ascii="仿宋" w:hAnsi="仿宋" w:eastAsia="仿宋" w:cs="仿宋"/>
                <w:color w:val="auto"/>
                <w:sz w:val="24"/>
              </w:rPr>
              <w:t>以合同签订时间为准。</w:t>
            </w:r>
          </w:p>
          <w:p w14:paraId="425FBC85">
            <w:pPr>
              <w:wordWrap w:val="0"/>
              <w:rPr>
                <w:rFonts w:ascii="仿宋" w:hAnsi="仿宋" w:eastAsia="仿宋" w:cs="仿宋"/>
                <w:b/>
                <w:color w:val="auto"/>
                <w:sz w:val="24"/>
              </w:rPr>
            </w:pPr>
            <w:r>
              <w:rPr>
                <w:rFonts w:hint="eastAsia" w:ascii="仿宋" w:hAnsi="仿宋" w:eastAsia="仿宋" w:cs="仿宋"/>
                <w:i/>
                <w:iCs/>
                <w:color w:val="auto"/>
                <w:sz w:val="24"/>
              </w:rPr>
              <w:t>【同类业绩说明：</w:t>
            </w:r>
            <w:r>
              <w:rPr>
                <w:rFonts w:hint="eastAsia" w:ascii="仿宋" w:hAnsi="仿宋" w:eastAsia="仿宋" w:cs="仿宋"/>
                <w:color w:val="auto"/>
                <w:sz w:val="24"/>
                <w:lang w:val="en-US" w:eastAsia="zh-CN"/>
              </w:rPr>
              <w:t>直购电力交易代理服务合同</w:t>
            </w:r>
            <w:r>
              <w:rPr>
                <w:rFonts w:hint="eastAsia" w:ascii="仿宋" w:hAnsi="仿宋" w:eastAsia="仿宋" w:cs="仿宋"/>
                <w:i/>
                <w:iCs/>
                <w:color w:val="auto"/>
                <w:sz w:val="24"/>
              </w:rPr>
              <w:t>】</w:t>
            </w:r>
          </w:p>
          <w:p w14:paraId="58CC1E1E">
            <w:pPr>
              <w:wordWrap w:val="0"/>
              <w:rPr>
                <w:rFonts w:ascii="仿宋" w:hAnsi="仿宋" w:eastAsia="仿宋" w:cs="仿宋"/>
                <w:b/>
                <w:bCs/>
                <w:color w:val="auto"/>
                <w:sz w:val="24"/>
              </w:rPr>
            </w:pPr>
            <w:r>
              <w:rPr>
                <w:rFonts w:hint="eastAsia" w:ascii="仿宋" w:hAnsi="仿宋" w:eastAsia="仿宋" w:cs="仿宋"/>
                <w:b/>
                <w:color w:val="auto"/>
                <w:sz w:val="24"/>
              </w:rPr>
              <w:t>证明材料</w:t>
            </w:r>
            <w:r>
              <w:rPr>
                <w:rFonts w:hint="eastAsia" w:ascii="仿宋" w:hAnsi="仿宋" w:eastAsia="仿宋" w:cs="仿宋"/>
                <w:b/>
                <w:bCs/>
                <w:color w:val="auto"/>
                <w:sz w:val="24"/>
              </w:rPr>
              <w:t>:</w:t>
            </w:r>
            <w:r>
              <w:rPr>
                <w:rFonts w:hint="eastAsia" w:ascii="仿宋" w:hAnsi="仿宋" w:eastAsia="仿宋" w:cs="仿宋"/>
                <w:color w:val="auto"/>
                <w:sz w:val="24"/>
              </w:rPr>
              <w:t>提供合同</w:t>
            </w:r>
            <w:r>
              <w:rPr>
                <w:rFonts w:hint="eastAsia" w:ascii="仿宋" w:hAnsi="仿宋" w:eastAsia="仿宋" w:cs="仿宋"/>
                <w:color w:val="auto"/>
                <w:sz w:val="24"/>
                <w:lang w:eastAsia="zh-CN"/>
              </w:rPr>
              <w:t>整套</w:t>
            </w:r>
            <w:r>
              <w:rPr>
                <w:rFonts w:hint="eastAsia" w:ascii="仿宋" w:hAnsi="仿宋" w:eastAsia="仿宋" w:cs="仿宋"/>
                <w:color w:val="auto"/>
                <w:sz w:val="24"/>
              </w:rPr>
              <w:t>复印件（合同</w:t>
            </w:r>
            <w:r>
              <w:rPr>
                <w:rFonts w:hint="eastAsia" w:ascii="仿宋" w:hAnsi="仿宋" w:eastAsia="仿宋" w:cs="仿宋"/>
                <w:color w:val="auto"/>
                <w:sz w:val="24"/>
                <w:lang w:eastAsia="zh-CN"/>
              </w:rPr>
              <w:t>整套</w:t>
            </w:r>
            <w:r>
              <w:rPr>
                <w:rFonts w:hint="eastAsia" w:ascii="仿宋" w:hAnsi="仿宋" w:eastAsia="仿宋" w:cs="仿宋"/>
                <w:color w:val="auto"/>
                <w:sz w:val="24"/>
              </w:rPr>
              <w:t>须体现项目名称、合同标的及金额、签订时间、双方落款盖章）加盖公章，不提供不得分。</w:t>
            </w:r>
          </w:p>
        </w:tc>
        <w:tc>
          <w:tcPr>
            <w:tcW w:w="920" w:type="dxa"/>
            <w:noWrap w:val="0"/>
            <w:vAlign w:val="center"/>
          </w:tcPr>
          <w:p w14:paraId="482C1C97">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r>
      <w:tr w14:paraId="1C07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1D8B2E10">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2E2937BF">
            <w:pPr>
              <w:jc w:val="center"/>
              <w:rPr>
                <w:rFonts w:ascii="仿宋" w:hAnsi="仿宋" w:eastAsia="仿宋" w:cs="仿宋"/>
                <w:color w:val="auto"/>
                <w:sz w:val="24"/>
              </w:rPr>
            </w:pPr>
            <w:r>
              <w:rPr>
                <w:rFonts w:hint="eastAsia" w:ascii="仿宋_GB2312" w:hAnsi="仿宋_GB2312" w:eastAsia="仿宋_GB2312" w:cs="仿宋_GB2312"/>
                <w:color w:val="auto"/>
                <w:sz w:val="24"/>
                <w:szCs w:val="24"/>
                <w:highlight w:val="none"/>
                <w:vertAlign w:val="baseline"/>
                <w:lang w:val="en-US" w:eastAsia="zh-CN"/>
              </w:rPr>
              <w:t>信用评价等级</w:t>
            </w:r>
          </w:p>
        </w:tc>
        <w:tc>
          <w:tcPr>
            <w:tcW w:w="6611" w:type="dxa"/>
            <w:noWrap w:val="0"/>
            <w:vAlign w:val="top"/>
          </w:tcPr>
          <w:p w14:paraId="258EAFC9">
            <w:pPr>
              <w:wordWrap w:val="0"/>
              <w:rPr>
                <w:rFonts w:hint="eastAsia" w:ascii="仿宋" w:hAnsi="仿宋" w:eastAsia="仿宋" w:cs="仿宋"/>
                <w:color w:val="auto"/>
                <w:sz w:val="24"/>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响应单位在广东省电力交易中心2025年上半年的信用评价等级</w:t>
            </w:r>
            <w:r>
              <w:rPr>
                <w:rFonts w:hint="eastAsia" w:ascii="仿宋" w:hAnsi="仿宋" w:eastAsia="仿宋" w:cs="仿宋"/>
                <w:color w:val="auto"/>
                <w:sz w:val="24"/>
              </w:rPr>
              <w:t>，</w:t>
            </w:r>
            <w:r>
              <w:rPr>
                <w:rFonts w:hint="eastAsia" w:ascii="仿宋" w:hAnsi="仿宋" w:eastAsia="仿宋" w:cs="仿宋"/>
                <w:color w:val="auto"/>
                <w:sz w:val="24"/>
                <w:lang w:val="en-US" w:eastAsia="zh-CN"/>
              </w:rPr>
              <w:t>信用评价等级为AAA及以上的，得6分；信用评价等级为AA级的，得4分；信用评价等级为A级的得2分；信用评价等级为A级以下的，得0分；</w:t>
            </w:r>
            <w:r>
              <w:rPr>
                <w:rFonts w:hint="eastAsia" w:ascii="仿宋" w:hAnsi="仿宋" w:eastAsia="仿宋" w:cs="仿宋"/>
                <w:color w:val="auto"/>
                <w:sz w:val="24"/>
              </w:rPr>
              <w:t xml:space="preserve">不同年份评价不重复计分。 </w:t>
            </w:r>
          </w:p>
          <w:p w14:paraId="18E6FE49">
            <w:pPr>
              <w:wordWrap w:val="0"/>
              <w:rPr>
                <w:rFonts w:hint="eastAsia" w:ascii="仿宋" w:hAnsi="仿宋" w:eastAsia="仿宋" w:cs="仿宋"/>
                <w:color w:val="auto"/>
                <w:sz w:val="24"/>
              </w:rPr>
            </w:pPr>
            <w:r>
              <w:rPr>
                <w:rFonts w:hint="eastAsia" w:ascii="仿宋" w:hAnsi="仿宋" w:eastAsia="仿宋" w:cs="仿宋"/>
                <w:color w:val="auto"/>
                <w:sz w:val="24"/>
              </w:rPr>
              <w:t>说明：未提供</w:t>
            </w:r>
            <w:r>
              <w:rPr>
                <w:rFonts w:hint="eastAsia" w:ascii="仿宋" w:hAnsi="仿宋" w:eastAsia="仿宋" w:cs="仿宋"/>
                <w:color w:val="auto"/>
                <w:sz w:val="24"/>
                <w:lang w:val="en-US" w:eastAsia="zh-CN"/>
              </w:rPr>
              <w:t>信用评价等级</w:t>
            </w:r>
            <w:r>
              <w:rPr>
                <w:rFonts w:hint="eastAsia" w:ascii="仿宋" w:hAnsi="仿宋" w:eastAsia="仿宋" w:cs="仿宋"/>
                <w:color w:val="auto"/>
                <w:sz w:val="24"/>
              </w:rPr>
              <w:t xml:space="preserve">的不得分。 </w:t>
            </w:r>
          </w:p>
          <w:p w14:paraId="609346B8">
            <w:pPr>
              <w:wordWrap w:val="0"/>
              <w:rPr>
                <w:rFonts w:hint="eastAsia" w:ascii="仿宋" w:hAnsi="仿宋" w:eastAsia="仿宋" w:cs="仿宋"/>
                <w:color w:val="auto"/>
                <w:sz w:val="24"/>
              </w:rPr>
            </w:pPr>
            <w:r>
              <w:rPr>
                <w:rFonts w:hint="eastAsia" w:ascii="仿宋" w:hAnsi="仿宋" w:eastAsia="仿宋" w:cs="仿宋"/>
                <w:color w:val="auto"/>
                <w:sz w:val="24"/>
              </w:rPr>
              <w:t>证明材料:</w:t>
            </w:r>
          </w:p>
          <w:p w14:paraId="6147E004">
            <w:pPr>
              <w:wordWrap w:val="0"/>
              <w:rPr>
                <w:rFonts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广东省电力交易中心出具</w:t>
            </w:r>
            <w:r>
              <w:rPr>
                <w:rFonts w:hint="eastAsia" w:ascii="仿宋" w:hAnsi="仿宋" w:eastAsia="仿宋" w:cs="仿宋"/>
                <w:color w:val="auto"/>
                <w:sz w:val="24"/>
              </w:rPr>
              <w:t>的评价文件。</w:t>
            </w:r>
          </w:p>
        </w:tc>
        <w:tc>
          <w:tcPr>
            <w:tcW w:w="920" w:type="dxa"/>
            <w:noWrap w:val="0"/>
            <w:vAlign w:val="center"/>
          </w:tcPr>
          <w:p w14:paraId="194C50DD">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6</w:t>
            </w:r>
          </w:p>
        </w:tc>
      </w:tr>
      <w:tr w14:paraId="43F7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07EF4D54">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06960A88">
            <w:pPr>
              <w:jc w:val="center"/>
              <w:rPr>
                <w:rFonts w:hint="default" w:ascii="仿宋" w:hAnsi="仿宋" w:eastAsia="仿宋" w:cs="仿宋"/>
                <w:color w:val="auto"/>
                <w:sz w:val="24"/>
                <w:lang w:val="en-US"/>
              </w:rPr>
            </w:pPr>
            <w:r>
              <w:rPr>
                <w:rFonts w:hint="eastAsia" w:ascii="仿宋_GB2312" w:hAnsi="仿宋_GB2312" w:eastAsia="仿宋_GB2312" w:cs="仿宋_GB2312"/>
                <w:color w:val="auto"/>
                <w:sz w:val="24"/>
                <w:szCs w:val="24"/>
                <w:highlight w:val="none"/>
                <w:vertAlign w:val="baseline"/>
                <w:lang w:val="en-US" w:eastAsia="zh-CN"/>
              </w:rPr>
              <w:t>企业背景</w:t>
            </w:r>
          </w:p>
        </w:tc>
        <w:tc>
          <w:tcPr>
            <w:tcW w:w="6611" w:type="dxa"/>
            <w:noWrap w:val="0"/>
            <w:vAlign w:val="center"/>
          </w:tcPr>
          <w:p w14:paraId="528EF8C6">
            <w:pPr>
              <w:numPr>
                <w:ilvl w:val="0"/>
                <w:numId w:val="0"/>
              </w:numPr>
              <w:spacing w:line="240" w:lineRule="auto"/>
              <w:ind w:left="0" w:leftChars="0" w:firstLine="0" w:firstLineChars="0"/>
              <w:jc w:val="left"/>
              <w:rPr>
                <w:rFonts w:hint="eastAsia" w:ascii="仿宋" w:hAnsi="仿宋" w:eastAsia="仿宋" w:cs="仿宋"/>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投标人需具备发电企业背景，有稳定的电能储备以保障电量供应。</w:t>
            </w:r>
          </w:p>
        </w:tc>
        <w:tc>
          <w:tcPr>
            <w:tcW w:w="920" w:type="dxa"/>
            <w:noWrap w:val="0"/>
            <w:vAlign w:val="center"/>
          </w:tcPr>
          <w:p w14:paraId="677D784C">
            <w:pPr>
              <w:autoSpaceDE w:val="0"/>
              <w:autoSpaceDN w:val="0"/>
              <w:adjustRightInd w:val="0"/>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006B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24375141">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00DD9A81">
            <w:pPr>
              <w:jc w:val="center"/>
              <w:rPr>
                <w:rFonts w:hint="eastAsia" w:ascii="仿宋" w:hAnsi="仿宋" w:eastAsia="仿宋" w:cs="仿宋"/>
                <w:color w:val="auto"/>
                <w:sz w:val="24"/>
              </w:rPr>
            </w:pPr>
            <w:r>
              <w:rPr>
                <w:rFonts w:hint="eastAsia" w:ascii="仿宋_GB2312" w:hAnsi="仿宋_GB2312" w:eastAsia="仿宋_GB2312" w:cs="仿宋_GB2312"/>
                <w:color w:val="auto"/>
                <w:sz w:val="24"/>
                <w:szCs w:val="24"/>
                <w:vertAlign w:val="baseline"/>
                <w:lang w:val="en-US" w:eastAsia="zh-CN"/>
              </w:rPr>
              <w:t>2025年响应单位年度长协电量</w:t>
            </w:r>
          </w:p>
        </w:tc>
        <w:tc>
          <w:tcPr>
            <w:tcW w:w="6611" w:type="dxa"/>
            <w:noWrap w:val="0"/>
            <w:vAlign w:val="center"/>
          </w:tcPr>
          <w:p w14:paraId="09C617BB">
            <w:pPr>
              <w:numPr>
                <w:ilvl w:val="0"/>
                <w:numId w:val="0"/>
              </w:numPr>
              <w:spacing w:line="240" w:lineRule="auto"/>
              <w:jc w:val="left"/>
              <w:rPr>
                <w:rFonts w:hint="eastAsia" w:ascii="仿宋" w:hAnsi="仿宋" w:eastAsia="仿宋" w:cs="仿宋"/>
                <w:color w:val="auto"/>
                <w:sz w:val="24"/>
                <w:lang w:val="en-US" w:eastAsia="zh-CN"/>
              </w:rPr>
            </w:pPr>
            <w:r>
              <w:rPr>
                <w:rFonts w:hint="eastAsia" w:ascii="仿宋" w:hAnsi="仿宋" w:eastAsia="仿宋" w:cs="仿宋"/>
                <w:b/>
                <w:bCs/>
                <w:color w:val="auto"/>
                <w:sz w:val="24"/>
                <w:szCs w:val="24"/>
                <w:lang w:eastAsia="zh-CN"/>
              </w:rPr>
              <w:t>评审内容及标准：</w:t>
            </w:r>
            <w:r>
              <w:rPr>
                <w:rFonts w:hint="eastAsia" w:ascii="仿宋" w:hAnsi="仿宋" w:eastAsia="仿宋" w:cs="仿宋"/>
                <w:color w:val="auto"/>
                <w:sz w:val="24"/>
                <w:lang w:val="en-US" w:eastAsia="zh-CN"/>
              </w:rPr>
              <w:t>根据投标人在广东电力交易平台中2025年售电公司年度长协电量；</w:t>
            </w:r>
          </w:p>
          <w:p w14:paraId="4D63CF0B">
            <w:pPr>
              <w:numPr>
                <w:ilvl w:val="0"/>
                <w:numId w:val="2"/>
              </w:numPr>
              <w:spacing w:line="240" w:lineRule="auto"/>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年度长协电量在100亿KWH及以上的，得5分；</w:t>
            </w:r>
          </w:p>
          <w:p w14:paraId="72E4179B">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年度长协电量在50亿KWH（含）以上，100亿KWH（不含）以下的，得3分；</w:t>
            </w:r>
          </w:p>
          <w:p w14:paraId="697FC98E">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年度长协电量在30亿KWH（含）以上，50亿KWH（不含）以下的，得1分；</w:t>
            </w:r>
          </w:p>
          <w:p w14:paraId="4F328F3A">
            <w:pPr>
              <w:numPr>
                <w:ilvl w:val="0"/>
                <w:numId w:val="2"/>
              </w:numPr>
              <w:spacing w:line="240" w:lineRule="auto"/>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年度长协电量在30亿KWH（不含）以下的不得分；</w:t>
            </w:r>
          </w:p>
          <w:p w14:paraId="0BCE8D6B">
            <w:pPr>
              <w:wordWrap w:val="0"/>
              <w:rPr>
                <w:rFonts w:ascii="仿宋" w:hAnsi="仿宋" w:eastAsia="仿宋" w:cs="仿宋"/>
                <w:b/>
                <w:bCs/>
                <w:color w:val="auto"/>
                <w:sz w:val="24"/>
              </w:rPr>
            </w:pPr>
            <w:r>
              <w:rPr>
                <w:rFonts w:hint="eastAsia" w:ascii="仿宋" w:hAnsi="仿宋" w:eastAsia="仿宋" w:cs="仿宋"/>
                <w:b/>
                <w:bCs/>
                <w:color w:val="auto"/>
                <w:sz w:val="24"/>
              </w:rPr>
              <w:t>证明材料:</w:t>
            </w:r>
          </w:p>
          <w:p w14:paraId="7B50704F">
            <w:pPr>
              <w:pStyle w:val="8"/>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广东电力交易中心后台截图并加</w:t>
            </w:r>
            <w:r>
              <w:rPr>
                <w:rFonts w:hint="eastAsia" w:ascii="仿宋" w:hAnsi="仿宋" w:eastAsia="仿宋" w:cs="仿宋"/>
                <w:color w:val="auto"/>
                <w:sz w:val="24"/>
              </w:rPr>
              <w:t>盖</w:t>
            </w:r>
            <w:r>
              <w:rPr>
                <w:rFonts w:hint="eastAsia" w:ascii="仿宋" w:hAnsi="仿宋" w:eastAsia="仿宋" w:cs="仿宋"/>
                <w:color w:val="auto"/>
                <w:sz w:val="24"/>
                <w:lang w:val="en-US" w:eastAsia="zh-CN"/>
              </w:rPr>
              <w:t>公</w:t>
            </w:r>
            <w:r>
              <w:rPr>
                <w:rFonts w:hint="eastAsia" w:ascii="仿宋" w:hAnsi="仿宋" w:eastAsia="仿宋" w:cs="仿宋"/>
                <w:color w:val="auto"/>
                <w:sz w:val="24"/>
              </w:rPr>
              <w:t>章</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承诺真实性</w:t>
            </w:r>
            <w:r>
              <w:rPr>
                <w:rFonts w:hint="eastAsia" w:ascii="仿宋" w:hAnsi="仿宋" w:eastAsia="仿宋" w:cs="仿宋"/>
                <w:color w:val="auto"/>
                <w:sz w:val="24"/>
              </w:rPr>
              <w:t>。</w:t>
            </w:r>
          </w:p>
        </w:tc>
        <w:tc>
          <w:tcPr>
            <w:tcW w:w="920" w:type="dxa"/>
            <w:noWrap w:val="0"/>
            <w:vAlign w:val="center"/>
          </w:tcPr>
          <w:p w14:paraId="084EC4BA">
            <w:pPr>
              <w:autoSpaceDE w:val="0"/>
              <w:autoSpaceDN w:val="0"/>
              <w:adjustRightInd w:val="0"/>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7522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41280139">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70E377C4">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处罚情况</w:t>
            </w:r>
          </w:p>
        </w:tc>
        <w:tc>
          <w:tcPr>
            <w:tcW w:w="6611" w:type="dxa"/>
            <w:noWrap w:val="0"/>
            <w:vAlign w:val="top"/>
          </w:tcPr>
          <w:p w14:paraId="57DEE160">
            <w:pPr>
              <w:numPr>
                <w:ilvl w:val="0"/>
                <w:numId w:val="3"/>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响应单位近5年内（自公告日倒算），未遭受行政处罚的，得1分，有行政处罚的，不得分。</w:t>
            </w:r>
          </w:p>
          <w:p w14:paraId="724074C5">
            <w:pPr>
              <w:numPr>
                <w:ilvl w:val="0"/>
                <w:numId w:val="3"/>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响应单位近3年内（自公告日倒算），未收到广东省电力交易中心投诉通报，得1分，存在投诉通报情况的不得分。</w:t>
            </w:r>
          </w:p>
          <w:p w14:paraId="4FC405C5">
            <w:pPr>
              <w:numPr>
                <w:ilvl w:val="0"/>
                <w:numId w:val="0"/>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证明材料：1、企业信用情况。</w:t>
            </w:r>
          </w:p>
        </w:tc>
        <w:tc>
          <w:tcPr>
            <w:tcW w:w="920" w:type="dxa"/>
            <w:noWrap w:val="0"/>
            <w:vAlign w:val="center"/>
          </w:tcPr>
          <w:p w14:paraId="4A223645">
            <w:pPr>
              <w:autoSpaceDE w:val="0"/>
              <w:autoSpaceDN w:val="0"/>
              <w:adjustRightInd w:val="0"/>
              <w:jc w:val="center"/>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lang w:val="en-US" w:eastAsia="zh-CN"/>
              </w:rPr>
              <w:t>2</w:t>
            </w:r>
          </w:p>
        </w:tc>
      </w:tr>
      <w:tr w14:paraId="2148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61439A8C">
            <w:pPr>
              <w:numPr>
                <w:ilvl w:val="0"/>
                <w:numId w:val="1"/>
              </w:numPr>
              <w:autoSpaceDE w:val="0"/>
              <w:autoSpaceDN w:val="0"/>
              <w:adjustRightInd w:val="0"/>
              <w:ind w:left="0" w:firstLine="0"/>
              <w:jc w:val="center"/>
              <w:rPr>
                <w:rFonts w:ascii="仿宋" w:hAnsi="仿宋" w:eastAsia="仿宋" w:cs="仿宋"/>
                <w:color w:val="auto"/>
                <w:sz w:val="24"/>
              </w:rPr>
            </w:pPr>
          </w:p>
        </w:tc>
        <w:tc>
          <w:tcPr>
            <w:tcW w:w="1134" w:type="dxa"/>
            <w:noWrap w:val="0"/>
            <w:vAlign w:val="center"/>
          </w:tcPr>
          <w:p w14:paraId="7E6017AF">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履约能力</w:t>
            </w:r>
          </w:p>
        </w:tc>
        <w:tc>
          <w:tcPr>
            <w:tcW w:w="6611" w:type="dxa"/>
            <w:noWrap w:val="0"/>
            <w:vAlign w:val="top"/>
          </w:tcPr>
          <w:p w14:paraId="1878D040">
            <w:pPr>
              <w:numPr>
                <w:ilvl w:val="0"/>
                <w:numId w:val="0"/>
              </w:numPr>
              <w:wordWrap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1、履约担保：</w:t>
            </w:r>
            <w:r>
              <w:rPr>
                <w:rFonts w:hint="eastAsia" w:ascii="仿宋_GB2312" w:hAnsi="仿宋_GB2312" w:eastAsia="仿宋_GB2312" w:cs="仿宋_GB2312"/>
                <w:b w:val="0"/>
                <w:bCs w:val="0"/>
                <w:sz w:val="24"/>
                <w:szCs w:val="24"/>
                <w:highlight w:val="none"/>
                <w:lang w:val="en-US" w:eastAsia="zh-CN"/>
              </w:rPr>
              <w:t>投标人向广东省电力交易中心提交的2025年度履约担保金额从高到低排序，排第一的得3分，排名第二的得2分，排名第三得得1分（其余不得分，金额一致的可并列排名）</w:t>
            </w:r>
          </w:p>
          <w:p w14:paraId="460C298D">
            <w:pPr>
              <w:numPr>
                <w:ilvl w:val="0"/>
                <w:numId w:val="0"/>
              </w:numPr>
              <w:wordWrap w:val="0"/>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1、履约能力评价体系认证证书：</w:t>
            </w:r>
            <w:r>
              <w:rPr>
                <w:rFonts w:hint="eastAsia" w:ascii="仿宋_GB2312" w:hAnsi="仿宋_GB2312" w:eastAsia="仿宋_GB2312" w:cs="仿宋_GB2312"/>
                <w:b w:val="0"/>
                <w:bCs w:val="0"/>
                <w:sz w:val="24"/>
                <w:szCs w:val="24"/>
                <w:highlight w:val="none"/>
                <w:lang w:val="en-US" w:eastAsia="zh-CN"/>
              </w:rPr>
              <w:t>投标人拥有企业履约能力评价体系证书的，得1分。</w:t>
            </w:r>
          </w:p>
          <w:p w14:paraId="2847E8AB">
            <w:pPr>
              <w:numPr>
                <w:ilvl w:val="0"/>
                <w:numId w:val="0"/>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证明材料：</w:t>
            </w:r>
          </w:p>
          <w:p w14:paraId="38842329">
            <w:pPr>
              <w:numPr>
                <w:ilvl w:val="0"/>
                <w:numId w:val="4"/>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提供向广东省电力交易中心开具的保函证明。</w:t>
            </w:r>
          </w:p>
          <w:p w14:paraId="3E3DA6F0">
            <w:pPr>
              <w:numPr>
                <w:ilvl w:val="0"/>
                <w:numId w:val="4"/>
              </w:numPr>
              <w:wordWrap w:val="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提交履约能力评价体系认证证书。</w:t>
            </w:r>
          </w:p>
        </w:tc>
        <w:tc>
          <w:tcPr>
            <w:tcW w:w="920" w:type="dxa"/>
            <w:noWrap w:val="0"/>
            <w:vAlign w:val="center"/>
          </w:tcPr>
          <w:p w14:paraId="253CCACB">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4</w:t>
            </w:r>
          </w:p>
        </w:tc>
      </w:tr>
      <w:tr w14:paraId="23E9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8420" w:type="dxa"/>
            <w:gridSpan w:val="3"/>
            <w:noWrap w:val="0"/>
            <w:vAlign w:val="center"/>
          </w:tcPr>
          <w:p w14:paraId="4F0748EA">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合计</w:t>
            </w:r>
          </w:p>
        </w:tc>
        <w:tc>
          <w:tcPr>
            <w:tcW w:w="920" w:type="dxa"/>
            <w:noWrap w:val="0"/>
            <w:vAlign w:val="center"/>
          </w:tcPr>
          <w:p w14:paraId="0346EC96">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25</w:t>
            </w:r>
          </w:p>
        </w:tc>
      </w:tr>
    </w:tbl>
    <w:p w14:paraId="058EB531">
      <w:pPr>
        <w:autoSpaceDE w:val="0"/>
        <w:autoSpaceDN w:val="0"/>
        <w:adjustRightInd w:val="0"/>
        <w:spacing w:line="360" w:lineRule="auto"/>
        <w:jc w:val="left"/>
        <w:rPr>
          <w:rFonts w:ascii="仿宋" w:hAnsi="仿宋" w:eastAsia="仿宋" w:cs="仿宋"/>
          <w:sz w:val="24"/>
        </w:rPr>
      </w:pPr>
      <w:r>
        <w:rPr>
          <w:rFonts w:hint="eastAsia" w:ascii="仿宋" w:hAnsi="仿宋" w:eastAsia="仿宋" w:cs="仿宋"/>
          <w:b/>
          <w:color w:val="auto"/>
          <w:sz w:val="24"/>
        </w:rPr>
        <w:t>注：</w:t>
      </w:r>
      <w:r>
        <w:rPr>
          <w:rFonts w:hint="eastAsia" w:ascii="仿宋" w:hAnsi="仿宋" w:eastAsia="仿宋" w:cs="仿宋"/>
          <w:sz w:val="24"/>
        </w:rPr>
        <w:t>1、本表评审依据要求的各项证明文件须编入投标文件。</w:t>
      </w:r>
    </w:p>
    <w:p w14:paraId="2016295E">
      <w:pPr>
        <w:autoSpaceDE w:val="0"/>
        <w:autoSpaceDN w:val="0"/>
        <w:adjustRightInd w:val="0"/>
        <w:spacing w:line="360" w:lineRule="auto"/>
        <w:jc w:val="left"/>
        <w:rPr>
          <w:rFonts w:ascii="仿宋" w:hAnsi="仿宋" w:eastAsia="仿宋" w:cs="仿宋"/>
          <w:sz w:val="24"/>
        </w:rPr>
      </w:pPr>
      <w:r>
        <w:rPr>
          <w:rFonts w:hint="eastAsia" w:ascii="仿宋" w:hAnsi="仿宋" w:eastAsia="仿宋" w:cs="仿宋"/>
          <w:sz w:val="24"/>
        </w:rPr>
        <w:t>2、表中要求提供相关证明文件的内容，投标文件中须明确加以说明并提供，未按要求提供相关文件或说明不清楚或评审委员会无法凭所提供的材料判断是否得分的情况，一律作不得分处理。</w:t>
      </w:r>
    </w:p>
    <w:p w14:paraId="703D549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4C6E68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6F4A106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3EC075A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4B85446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1E76FC4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b/>
          <w:color w:val="auto"/>
          <w:spacing w:val="0"/>
          <w:sz w:val="24"/>
          <w:szCs w:val="24"/>
        </w:rPr>
      </w:pPr>
    </w:p>
    <w:p w14:paraId="35EB280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ascii="仿宋_GB2312" w:eastAsia="仿宋_GB2312"/>
          <w:b/>
          <w:color w:val="000000"/>
          <w:sz w:val="36"/>
          <w:szCs w:val="36"/>
        </w:rPr>
      </w:pPr>
      <w:r>
        <w:rPr>
          <w:rFonts w:hint="eastAsia" w:ascii="仿宋" w:hAnsi="仿宋" w:eastAsia="仿宋" w:cs="仿宋"/>
          <w:b/>
          <w:color w:val="auto"/>
          <w:spacing w:val="0"/>
          <w:sz w:val="24"/>
          <w:szCs w:val="24"/>
        </w:rPr>
        <w:t>附表</w:t>
      </w:r>
      <w:r>
        <w:rPr>
          <w:rFonts w:hint="eastAsia" w:ascii="仿宋" w:hAnsi="仿宋" w:eastAsia="仿宋" w:cs="仿宋"/>
          <w:b/>
          <w:color w:val="auto"/>
          <w:spacing w:val="0"/>
          <w:sz w:val="24"/>
          <w:szCs w:val="24"/>
          <w:lang w:val="en-US" w:eastAsia="zh-CN"/>
        </w:rPr>
        <w:t>2</w:t>
      </w:r>
      <w:r>
        <w:rPr>
          <w:rFonts w:hint="eastAsia" w:ascii="仿宋" w:hAnsi="仿宋" w:eastAsia="仿宋" w:cs="仿宋"/>
          <w:b/>
          <w:color w:val="auto"/>
          <w:spacing w:val="0"/>
          <w:sz w:val="24"/>
          <w:szCs w:val="24"/>
        </w:rPr>
        <w:t>《</w:t>
      </w:r>
      <w:r>
        <w:rPr>
          <w:rFonts w:hint="eastAsia" w:ascii="仿宋" w:hAnsi="仿宋" w:eastAsia="仿宋" w:cs="仿宋"/>
          <w:b/>
          <w:color w:val="auto"/>
          <w:spacing w:val="0"/>
          <w:sz w:val="24"/>
          <w:szCs w:val="24"/>
          <w:lang w:val="en-US" w:eastAsia="zh-CN"/>
        </w:rPr>
        <w:t>技术</w:t>
      </w:r>
      <w:r>
        <w:rPr>
          <w:rFonts w:hint="eastAsia" w:ascii="仿宋" w:hAnsi="仿宋" w:eastAsia="仿宋" w:cs="仿宋"/>
          <w:b/>
          <w:color w:val="auto"/>
          <w:spacing w:val="0"/>
          <w:sz w:val="24"/>
          <w:szCs w:val="24"/>
        </w:rPr>
        <w:t>标评审标准》</w:t>
      </w:r>
      <w:r>
        <w:rPr>
          <w:rFonts w:hint="eastAsia" w:ascii="仿宋" w:hAnsi="仿宋" w:eastAsia="仿宋" w:cs="仿宋"/>
          <w:b/>
          <w:color w:val="auto"/>
          <w:spacing w:val="0"/>
          <w:sz w:val="24"/>
          <w:szCs w:val="24"/>
        </w:rPr>
        <w:tab/>
      </w:r>
    </w:p>
    <w:tbl>
      <w:tblPr>
        <w:tblStyle w:val="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5"/>
        <w:gridCol w:w="1133"/>
        <w:gridCol w:w="6158"/>
        <w:gridCol w:w="1020"/>
      </w:tblGrid>
      <w:tr w14:paraId="669D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8986" w:type="dxa"/>
            <w:gridSpan w:val="4"/>
            <w:shd w:val="clear" w:color="auto" w:fill="D9E2F3"/>
            <w:noWrap w:val="0"/>
            <w:vAlign w:val="center"/>
          </w:tcPr>
          <w:p w14:paraId="7AF1D283">
            <w:pPr>
              <w:autoSpaceDE w:val="0"/>
              <w:autoSpaceDN w:val="0"/>
              <w:adjustRightInd w:val="0"/>
              <w:jc w:val="center"/>
              <w:rPr>
                <w:rFonts w:ascii="仿宋" w:hAnsi="仿宋" w:eastAsia="仿宋" w:cs="仿宋"/>
                <w:b/>
                <w:sz w:val="24"/>
              </w:rPr>
            </w:pPr>
            <w:r>
              <w:rPr>
                <w:rFonts w:hint="eastAsia" w:ascii="仿宋" w:hAnsi="仿宋" w:eastAsia="仿宋" w:cs="仿宋"/>
                <w:b/>
                <w:sz w:val="24"/>
              </w:rPr>
              <w:t>《技术标评审标准》</w:t>
            </w:r>
          </w:p>
        </w:tc>
      </w:tr>
      <w:tr w14:paraId="4EB6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tblHeader/>
          <w:jc w:val="center"/>
        </w:trPr>
        <w:tc>
          <w:tcPr>
            <w:tcW w:w="675" w:type="dxa"/>
            <w:noWrap w:val="0"/>
            <w:vAlign w:val="center"/>
          </w:tcPr>
          <w:p w14:paraId="0E35DFC4">
            <w:pPr>
              <w:autoSpaceDE w:val="0"/>
              <w:autoSpaceDN w:val="0"/>
              <w:adjustRightInd w:val="0"/>
              <w:jc w:val="center"/>
              <w:rPr>
                <w:rFonts w:ascii="仿宋" w:hAnsi="仿宋" w:eastAsia="仿宋" w:cs="仿宋"/>
                <w:b/>
                <w:sz w:val="24"/>
              </w:rPr>
            </w:pPr>
            <w:r>
              <w:rPr>
                <w:rFonts w:hint="eastAsia" w:ascii="仿宋" w:hAnsi="仿宋" w:eastAsia="仿宋" w:cs="仿宋"/>
                <w:b/>
                <w:sz w:val="24"/>
              </w:rPr>
              <w:t>序号</w:t>
            </w:r>
          </w:p>
        </w:tc>
        <w:tc>
          <w:tcPr>
            <w:tcW w:w="1133" w:type="dxa"/>
            <w:noWrap w:val="0"/>
            <w:vAlign w:val="center"/>
          </w:tcPr>
          <w:p w14:paraId="74BC8252">
            <w:pPr>
              <w:autoSpaceDE w:val="0"/>
              <w:autoSpaceDN w:val="0"/>
              <w:adjustRightInd w:val="0"/>
              <w:jc w:val="center"/>
              <w:rPr>
                <w:rFonts w:ascii="仿宋" w:hAnsi="仿宋" w:eastAsia="仿宋" w:cs="仿宋"/>
                <w:b/>
                <w:sz w:val="24"/>
              </w:rPr>
            </w:pPr>
            <w:r>
              <w:rPr>
                <w:rFonts w:hint="eastAsia" w:ascii="仿宋" w:hAnsi="仿宋" w:eastAsia="仿宋" w:cs="仿宋"/>
                <w:b/>
                <w:sz w:val="24"/>
              </w:rPr>
              <w:t>评审项目</w:t>
            </w:r>
          </w:p>
        </w:tc>
        <w:tc>
          <w:tcPr>
            <w:tcW w:w="6158" w:type="dxa"/>
            <w:noWrap w:val="0"/>
            <w:vAlign w:val="center"/>
          </w:tcPr>
          <w:p w14:paraId="411409AC">
            <w:pPr>
              <w:autoSpaceDE w:val="0"/>
              <w:autoSpaceDN w:val="0"/>
              <w:adjustRightInd w:val="0"/>
              <w:jc w:val="center"/>
              <w:rPr>
                <w:rFonts w:ascii="仿宋" w:hAnsi="仿宋" w:eastAsia="仿宋" w:cs="仿宋"/>
                <w:b/>
                <w:sz w:val="24"/>
              </w:rPr>
            </w:pPr>
            <w:r>
              <w:rPr>
                <w:rFonts w:hint="eastAsia" w:ascii="仿宋" w:hAnsi="仿宋" w:eastAsia="仿宋" w:cs="仿宋"/>
                <w:b/>
                <w:sz w:val="24"/>
              </w:rPr>
              <w:t>评审标准及证明材料</w:t>
            </w:r>
          </w:p>
        </w:tc>
        <w:tc>
          <w:tcPr>
            <w:tcW w:w="1020" w:type="dxa"/>
            <w:noWrap w:val="0"/>
            <w:vAlign w:val="center"/>
          </w:tcPr>
          <w:p w14:paraId="297089FB">
            <w:pPr>
              <w:autoSpaceDE w:val="0"/>
              <w:autoSpaceDN w:val="0"/>
              <w:adjustRightInd w:val="0"/>
              <w:jc w:val="center"/>
              <w:rPr>
                <w:rFonts w:ascii="仿宋" w:hAnsi="仿宋" w:eastAsia="仿宋" w:cs="仿宋"/>
                <w:b/>
                <w:sz w:val="24"/>
              </w:rPr>
            </w:pPr>
            <w:r>
              <w:rPr>
                <w:rFonts w:hint="eastAsia" w:ascii="仿宋" w:hAnsi="仿宋" w:eastAsia="仿宋" w:cs="仿宋"/>
                <w:b/>
                <w:sz w:val="24"/>
              </w:rPr>
              <w:t>参考分值</w:t>
            </w:r>
          </w:p>
        </w:tc>
      </w:tr>
      <w:tr w14:paraId="3B2D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2C7F5BB5">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6378A42A">
            <w:pPr>
              <w:jc w:val="center"/>
              <w:rPr>
                <w:rFonts w:ascii="仿宋" w:hAnsi="仿宋" w:eastAsia="仿宋" w:cs="仿宋"/>
                <w:bCs/>
                <w:color w:val="auto"/>
                <w:sz w:val="24"/>
              </w:rPr>
            </w:pPr>
            <w:r>
              <w:rPr>
                <w:rFonts w:hint="eastAsia" w:ascii="仿宋" w:hAnsi="仿宋" w:eastAsia="仿宋" w:cs="仿宋"/>
                <w:bCs/>
                <w:color w:val="auto"/>
                <w:sz w:val="24"/>
              </w:rPr>
              <w:t>对项目理解及分析</w:t>
            </w:r>
          </w:p>
        </w:tc>
        <w:tc>
          <w:tcPr>
            <w:tcW w:w="6158" w:type="dxa"/>
            <w:noWrap w:val="0"/>
            <w:vAlign w:val="center"/>
          </w:tcPr>
          <w:p w14:paraId="71CD2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szCs w:val="24"/>
                <w:lang w:eastAsia="zh-CN"/>
              </w:rPr>
              <w:t>根据投标人的</w:t>
            </w:r>
            <w:r>
              <w:rPr>
                <w:rFonts w:hint="eastAsia" w:ascii="仿宋" w:hAnsi="仿宋" w:eastAsia="仿宋" w:cs="仿宋"/>
                <w:color w:val="auto"/>
                <w:sz w:val="24"/>
                <w:szCs w:val="24"/>
                <w:lang w:val="en-US" w:eastAsia="zh-CN"/>
              </w:rPr>
              <w:t>直购电力交易（售电行</w:t>
            </w:r>
          </w:p>
          <w:p w14:paraId="773B7C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w:t>
            </w:r>
            <w:r>
              <w:rPr>
                <w:rFonts w:hint="eastAsia" w:ascii="仿宋" w:hAnsi="仿宋" w:eastAsia="仿宋" w:cs="仿宋"/>
                <w:bCs/>
                <w:color w:val="auto"/>
                <w:sz w:val="24"/>
                <w:szCs w:val="24"/>
                <w:lang w:eastAsia="zh-CN"/>
              </w:rPr>
              <w:t>总体</w:t>
            </w:r>
            <w:r>
              <w:rPr>
                <w:rFonts w:hint="eastAsia" w:ascii="仿宋" w:hAnsi="仿宋" w:eastAsia="仿宋" w:cs="仿宋"/>
                <w:bCs/>
                <w:color w:val="auto"/>
                <w:sz w:val="24"/>
                <w:szCs w:val="24"/>
                <w:lang w:val="en-US" w:eastAsia="zh-CN"/>
              </w:rPr>
              <w:t>代理服务</w:t>
            </w:r>
            <w:r>
              <w:rPr>
                <w:rFonts w:hint="eastAsia" w:ascii="仿宋" w:hAnsi="仿宋" w:eastAsia="仿宋" w:cs="仿宋"/>
                <w:bCs/>
                <w:color w:val="auto"/>
                <w:sz w:val="24"/>
                <w:szCs w:val="24"/>
                <w:lang w:eastAsia="zh-CN"/>
              </w:rPr>
              <w:t>方案，包括但不限于</w:t>
            </w:r>
            <w:r>
              <w:rPr>
                <w:rFonts w:hint="eastAsia" w:ascii="仿宋" w:hAnsi="仿宋" w:eastAsia="仿宋" w:cs="仿宋"/>
                <w:color w:val="auto"/>
                <w:spacing w:val="0"/>
                <w:sz w:val="24"/>
                <w:szCs w:val="24"/>
              </w:rPr>
              <w:t>有完整的日常行为管理制度</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直购电力交易目标及进度节点</w:t>
            </w:r>
            <w:r>
              <w:rPr>
                <w:rFonts w:hint="eastAsia" w:ascii="仿宋" w:hAnsi="仿宋" w:eastAsia="仿宋" w:cs="仿宋"/>
                <w:bCs/>
                <w:color w:val="auto"/>
                <w:sz w:val="24"/>
                <w:szCs w:val="24"/>
                <w:lang w:val="en-US" w:eastAsia="zh-CN"/>
              </w:rPr>
              <w:t>、</w:t>
            </w:r>
            <w:r>
              <w:rPr>
                <w:rFonts w:hint="eastAsia" w:ascii="仿宋" w:hAnsi="仿宋" w:eastAsia="仿宋" w:cs="仿宋"/>
                <w:color w:val="auto"/>
                <w:spacing w:val="0"/>
                <w:sz w:val="24"/>
                <w:szCs w:val="24"/>
              </w:rPr>
              <w:t>完整的</w:t>
            </w:r>
            <w:r>
              <w:rPr>
                <w:rFonts w:hint="eastAsia" w:ascii="仿宋" w:hAnsi="仿宋" w:eastAsia="仿宋" w:cs="仿宋"/>
                <w:bCs/>
                <w:color w:val="auto"/>
                <w:sz w:val="24"/>
                <w:szCs w:val="24"/>
                <w:lang w:val="en-US" w:eastAsia="zh-CN"/>
              </w:rPr>
              <w:t>岗位职责及标准</w:t>
            </w:r>
            <w:r>
              <w:rPr>
                <w:rFonts w:hint="eastAsia" w:ascii="仿宋" w:hAnsi="仿宋" w:eastAsia="仿宋" w:cs="仿宋"/>
                <w:color w:val="auto"/>
                <w:sz w:val="24"/>
                <w:szCs w:val="24"/>
                <w:lang w:val="en-US" w:eastAsia="zh-CN"/>
              </w:rPr>
              <w:t>、有完整的奖惩制度</w:t>
            </w:r>
            <w:r>
              <w:rPr>
                <w:rFonts w:hint="eastAsia" w:ascii="仿宋" w:hAnsi="仿宋" w:eastAsia="仿宋" w:cs="仿宋"/>
                <w:color w:val="auto"/>
                <w:sz w:val="24"/>
                <w:szCs w:val="24"/>
                <w:lang w:val="en-GB" w:eastAsia="zh-CN"/>
              </w:rPr>
              <w:t>、</w:t>
            </w:r>
            <w:r>
              <w:rPr>
                <w:rFonts w:hint="eastAsia" w:ascii="仿宋" w:hAnsi="仿宋" w:eastAsia="仿宋" w:cs="仿宋"/>
                <w:color w:val="auto"/>
                <w:spacing w:val="0"/>
                <w:sz w:val="24"/>
                <w:szCs w:val="24"/>
              </w:rPr>
              <w:t>有对本项目针对性</w:t>
            </w:r>
            <w:r>
              <w:rPr>
                <w:rFonts w:hint="eastAsia" w:ascii="仿宋" w:hAnsi="仿宋" w:eastAsia="仿宋" w:cs="仿宋"/>
                <w:color w:val="auto"/>
                <w:spacing w:val="0"/>
                <w:sz w:val="24"/>
                <w:szCs w:val="24"/>
                <w:lang w:val="en-US" w:eastAsia="zh-CN"/>
              </w:rPr>
              <w:t>设计工作</w:t>
            </w:r>
            <w:r>
              <w:rPr>
                <w:rFonts w:hint="eastAsia" w:ascii="仿宋" w:hAnsi="仿宋" w:eastAsia="仿宋" w:cs="仿宋"/>
                <w:color w:val="auto"/>
                <w:spacing w:val="0"/>
                <w:sz w:val="24"/>
                <w:szCs w:val="24"/>
              </w:rPr>
              <w:t>方案</w:t>
            </w:r>
            <w:r>
              <w:rPr>
                <w:rFonts w:hint="eastAsia" w:ascii="仿宋" w:hAnsi="仿宋" w:eastAsia="仿宋" w:cs="仿宋"/>
                <w:color w:val="auto"/>
                <w:spacing w:val="0"/>
                <w:sz w:val="24"/>
                <w:szCs w:val="24"/>
                <w:lang w:eastAsia="zh-CN"/>
              </w:rPr>
              <w:t>。</w:t>
            </w:r>
          </w:p>
          <w:p w14:paraId="7F2C93CF">
            <w:pPr>
              <w:rPr>
                <w:rFonts w:hint="eastAsia" w:ascii="仿宋" w:hAnsi="仿宋" w:eastAsia="仿宋" w:cs="仿宋"/>
                <w:b/>
                <w:bCs/>
                <w:color w:val="auto"/>
                <w:sz w:val="24"/>
              </w:rPr>
            </w:pPr>
            <w:r>
              <w:rPr>
                <w:rFonts w:hint="eastAsia" w:ascii="仿宋" w:hAnsi="仿宋" w:eastAsia="仿宋" w:cs="仿宋"/>
                <w:bCs/>
                <w:color w:val="auto"/>
                <w:sz w:val="24"/>
                <w:lang w:val="en-US" w:eastAsia="zh-CN"/>
              </w:rPr>
              <w:t>满足以上5项要求的每项得1分，共5分；未满足不得分。</w:t>
            </w:r>
          </w:p>
          <w:p w14:paraId="58A448EE">
            <w:pPr>
              <w:rPr>
                <w:rFonts w:hint="eastAsia" w:ascii="仿宋" w:hAnsi="仿宋" w:eastAsia="仿宋" w:cs="仿宋"/>
                <w:bCs/>
                <w:color w:val="auto"/>
                <w:sz w:val="24"/>
              </w:rPr>
            </w:pPr>
            <w:r>
              <w:rPr>
                <w:rFonts w:hint="eastAsia" w:ascii="仿宋" w:hAnsi="仿宋" w:eastAsia="仿宋" w:cs="仿宋"/>
                <w:bCs/>
                <w:color w:val="auto"/>
                <w:sz w:val="24"/>
              </w:rPr>
              <w:t xml:space="preserve">评委根据各具体响应内容进行加分: </w:t>
            </w:r>
          </w:p>
          <w:p w14:paraId="3CD3919A">
            <w:pPr>
              <w:rPr>
                <w:rFonts w:hint="default" w:ascii="仿宋" w:hAnsi="仿宋" w:eastAsia="仿宋" w:cs="仿宋"/>
                <w:color w:val="auto"/>
                <w:spacing w:val="0"/>
                <w:sz w:val="24"/>
                <w:szCs w:val="24"/>
                <w:lang w:val="en-US" w:eastAsia="zh-CN"/>
              </w:rPr>
            </w:pPr>
            <w:r>
              <w:rPr>
                <w:rFonts w:hint="default" w:ascii="仿宋" w:hAnsi="仿宋" w:eastAsia="仿宋" w:cs="仿宋"/>
                <w:color w:val="auto"/>
                <w:spacing w:val="0"/>
                <w:sz w:val="24"/>
                <w:szCs w:val="24"/>
                <w:lang w:val="en-US" w:eastAsia="zh-CN"/>
              </w:rPr>
              <w:t>在此基础上，评委根据各具体响应内容进行加分: ①评审为优：制度方案制定详细、针对性强、专业服务经验丰富，可操作性强得</w:t>
            </w:r>
            <w:r>
              <w:rPr>
                <w:rFonts w:hint="eastAsia" w:ascii="仿宋" w:hAnsi="仿宋" w:eastAsia="仿宋" w:cs="仿宋"/>
                <w:color w:val="auto"/>
                <w:spacing w:val="0"/>
                <w:sz w:val="24"/>
                <w:szCs w:val="24"/>
                <w:lang w:val="en-US" w:eastAsia="zh-CN"/>
              </w:rPr>
              <w:t>10</w:t>
            </w:r>
            <w:r>
              <w:rPr>
                <w:rFonts w:hint="default" w:ascii="仿宋" w:hAnsi="仿宋" w:eastAsia="仿宋" w:cs="仿宋"/>
                <w:color w:val="auto"/>
                <w:spacing w:val="0"/>
                <w:sz w:val="24"/>
                <w:szCs w:val="24"/>
                <w:lang w:val="en-US" w:eastAsia="zh-CN"/>
              </w:rPr>
              <w:t>分；②评审为良：制度方案制定详细、有一定的针对性、专业服务经验较为丰富，方案操作性较强得</w:t>
            </w:r>
            <w:r>
              <w:rPr>
                <w:rFonts w:hint="eastAsia" w:ascii="仿宋" w:hAnsi="仿宋" w:eastAsia="仿宋" w:cs="仿宋"/>
                <w:color w:val="auto"/>
                <w:spacing w:val="0"/>
                <w:sz w:val="24"/>
                <w:szCs w:val="24"/>
                <w:lang w:val="en-US" w:eastAsia="zh-CN"/>
              </w:rPr>
              <w:t>7</w:t>
            </w:r>
            <w:r>
              <w:rPr>
                <w:rFonts w:hint="default" w:ascii="仿宋" w:hAnsi="仿宋" w:eastAsia="仿宋" w:cs="仿宋"/>
                <w:color w:val="auto"/>
                <w:spacing w:val="0"/>
                <w:sz w:val="24"/>
                <w:szCs w:val="24"/>
                <w:lang w:val="en-US" w:eastAsia="zh-CN"/>
              </w:rPr>
              <w:t>分；③评审为中：制度制定不详细、针对性不强、专业服务经验较少，方案具有一定的操作性得</w:t>
            </w:r>
            <w:r>
              <w:rPr>
                <w:rFonts w:hint="eastAsia" w:ascii="仿宋" w:hAnsi="仿宋" w:eastAsia="仿宋" w:cs="仿宋"/>
                <w:color w:val="auto"/>
                <w:spacing w:val="0"/>
                <w:sz w:val="24"/>
                <w:szCs w:val="24"/>
                <w:lang w:val="en-US" w:eastAsia="zh-CN"/>
              </w:rPr>
              <w:t>4</w:t>
            </w:r>
            <w:r>
              <w:rPr>
                <w:rFonts w:hint="default" w:ascii="仿宋" w:hAnsi="仿宋" w:eastAsia="仿宋" w:cs="仿宋"/>
                <w:color w:val="auto"/>
                <w:spacing w:val="0"/>
                <w:sz w:val="24"/>
                <w:szCs w:val="24"/>
                <w:lang w:val="en-US" w:eastAsia="zh-CN"/>
              </w:rPr>
              <w:t>分；④评审为差：制度方案简单笼统、针对性弱、专业服务经验少或没有，方案操作性差得</w:t>
            </w:r>
            <w:r>
              <w:rPr>
                <w:rFonts w:hint="eastAsia" w:ascii="仿宋" w:hAnsi="仿宋" w:eastAsia="仿宋" w:cs="仿宋"/>
                <w:color w:val="auto"/>
                <w:spacing w:val="0"/>
                <w:sz w:val="24"/>
                <w:szCs w:val="24"/>
                <w:lang w:val="en-US" w:eastAsia="zh-CN"/>
              </w:rPr>
              <w:t>1</w:t>
            </w:r>
            <w:r>
              <w:rPr>
                <w:rFonts w:hint="default" w:ascii="仿宋" w:hAnsi="仿宋" w:eastAsia="仿宋" w:cs="仿宋"/>
                <w:color w:val="auto"/>
                <w:spacing w:val="0"/>
                <w:sz w:val="24"/>
                <w:szCs w:val="24"/>
                <w:lang w:val="en-US" w:eastAsia="zh-CN"/>
              </w:rPr>
              <w:t>分。不提供不得分。</w:t>
            </w:r>
          </w:p>
          <w:p w14:paraId="517A639B">
            <w:pPr>
              <w:rPr>
                <w:rFonts w:hint="eastAsia" w:ascii="仿宋" w:hAnsi="仿宋" w:eastAsia="仿宋" w:cs="仿宋"/>
                <w:bCs/>
                <w:color w:val="auto"/>
                <w:sz w:val="24"/>
                <w:lang w:val="en-US" w:eastAsia="zh-CN"/>
              </w:rPr>
            </w:pPr>
            <w:r>
              <w:rPr>
                <w:rFonts w:hint="eastAsia" w:ascii="仿宋" w:hAnsi="仿宋" w:eastAsia="仿宋" w:cs="仿宋"/>
                <w:b/>
                <w:color w:val="auto"/>
                <w:sz w:val="24"/>
              </w:rPr>
              <w:t>得分依据</w:t>
            </w:r>
            <w:r>
              <w:rPr>
                <w:rFonts w:hint="eastAsia" w:ascii="仿宋" w:hAnsi="仿宋" w:eastAsia="仿宋" w:cs="仿宋"/>
                <w:b/>
                <w:bCs/>
                <w:color w:val="auto"/>
                <w:sz w:val="24"/>
              </w:rPr>
              <w:t>：</w:t>
            </w:r>
            <w:r>
              <w:rPr>
                <w:rFonts w:hint="eastAsia" w:ascii="仿宋" w:hAnsi="仿宋" w:eastAsia="仿宋" w:cs="仿宋"/>
                <w:color w:val="auto"/>
                <w:sz w:val="24"/>
                <w:lang w:val="en-US" w:eastAsia="zh-CN"/>
              </w:rPr>
              <w:t>直购电力交易代理服务</w:t>
            </w:r>
            <w:r>
              <w:rPr>
                <w:rFonts w:hint="eastAsia" w:ascii="仿宋" w:hAnsi="仿宋" w:eastAsia="仿宋" w:cs="仿宋"/>
                <w:bCs/>
                <w:color w:val="auto"/>
                <w:sz w:val="24"/>
              </w:rPr>
              <w:t>总体方案。</w:t>
            </w:r>
          </w:p>
        </w:tc>
        <w:tc>
          <w:tcPr>
            <w:tcW w:w="1020" w:type="dxa"/>
            <w:noWrap w:val="0"/>
            <w:vAlign w:val="center"/>
          </w:tcPr>
          <w:p w14:paraId="0707DC66">
            <w:pPr>
              <w:autoSpaceDE w:val="0"/>
              <w:autoSpaceDN w:val="0"/>
              <w:adjustRightInd w:val="0"/>
              <w:jc w:val="center"/>
              <w:rPr>
                <w:rFonts w:hint="default" w:ascii="仿宋" w:hAnsi="仿宋" w:eastAsia="仿宋" w:cs="仿宋"/>
                <w:color w:val="auto"/>
                <w:sz w:val="24"/>
                <w:lang w:val="en-US" w:eastAsia="zh-CN"/>
              </w:rPr>
            </w:pPr>
            <w:r>
              <w:rPr>
                <w:rFonts w:hint="eastAsia" w:ascii="仿宋" w:hAnsi="仿宋" w:eastAsia="仿宋" w:cs="仿宋"/>
                <w:bCs/>
                <w:color w:val="auto"/>
                <w:kern w:val="0"/>
                <w:sz w:val="24"/>
                <w:lang w:val="en-US" w:eastAsia="zh-CN"/>
              </w:rPr>
              <w:t>15</w:t>
            </w:r>
          </w:p>
        </w:tc>
      </w:tr>
      <w:tr w14:paraId="5D9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381079F0">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5D1CCA21">
            <w:pPr>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服务团队技术实力</w:t>
            </w:r>
          </w:p>
        </w:tc>
        <w:tc>
          <w:tcPr>
            <w:tcW w:w="6158" w:type="dxa"/>
            <w:noWrap w:val="0"/>
            <w:vAlign w:val="top"/>
          </w:tcPr>
          <w:p w14:paraId="652A2E48">
            <w:pPr>
              <w:rPr>
                <w:rFonts w:hint="eastAsia" w:ascii="仿宋" w:hAnsi="仿宋" w:eastAsia="仿宋" w:cs="仿宋"/>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color w:val="auto"/>
                <w:sz w:val="24"/>
                <w:lang w:val="en-US" w:eastAsia="zh-CN"/>
              </w:rPr>
              <w:t>投标人工作人员具有符合国家关于售电公司的技术水平要求。提供不少于3人的工作人员名单（社保清单）及资质证，就工作经验、业绩、职称、证书等情况横向比较打分。</w:t>
            </w:r>
          </w:p>
          <w:p w14:paraId="67A05050">
            <w:pPr>
              <w:widowControl/>
              <w:numPr>
                <w:ilvl w:val="0"/>
                <w:numId w:val="6"/>
              </w:numPr>
              <w:rPr>
                <w:rFonts w:ascii="仿宋" w:hAnsi="仿宋" w:eastAsia="仿宋" w:cs="仿宋"/>
                <w:color w:val="auto"/>
                <w:sz w:val="24"/>
              </w:rPr>
            </w:pPr>
            <w:r>
              <w:rPr>
                <w:rFonts w:hint="eastAsia" w:ascii="仿宋" w:hAnsi="仿宋" w:eastAsia="仿宋" w:cs="仿宋"/>
                <w:bCs/>
                <w:color w:val="auto"/>
                <w:sz w:val="24"/>
                <w:lang w:val="en-US" w:eastAsia="zh-CN"/>
              </w:rPr>
              <w:t>项目</w:t>
            </w:r>
            <w:r>
              <w:rPr>
                <w:rFonts w:hint="eastAsia" w:ascii="仿宋" w:hAnsi="仿宋" w:eastAsia="仿宋" w:cs="仿宋"/>
                <w:bCs/>
                <w:color w:val="auto"/>
                <w:sz w:val="24"/>
              </w:rPr>
              <w:t>负责人</w:t>
            </w:r>
            <w:r>
              <w:rPr>
                <w:rFonts w:hint="eastAsia" w:ascii="仿宋" w:hAnsi="仿宋" w:eastAsia="仿宋" w:cs="仿宋"/>
                <w:color w:val="auto"/>
                <w:sz w:val="24"/>
              </w:rPr>
              <w:t>具有</w:t>
            </w:r>
            <w:r>
              <w:rPr>
                <w:rFonts w:hint="eastAsia" w:ascii="仿宋" w:hAnsi="仿宋" w:eastAsia="仿宋" w:cs="仿宋"/>
                <w:b/>
                <w:bCs/>
                <w:color w:val="auto"/>
                <w:sz w:val="24"/>
              </w:rPr>
              <w:t>售电侧交易员证书证件</w:t>
            </w:r>
            <w:r>
              <w:rPr>
                <w:rFonts w:hint="eastAsia" w:ascii="仿宋" w:hAnsi="仿宋" w:eastAsia="仿宋" w:cs="仿宋"/>
                <w:color w:val="auto"/>
                <w:sz w:val="24"/>
              </w:rPr>
              <w:t>，得</w:t>
            </w:r>
            <w:r>
              <w:rPr>
                <w:rFonts w:hint="eastAsia" w:ascii="仿宋" w:hAnsi="仿宋" w:eastAsia="仿宋" w:cs="仿宋"/>
                <w:bCs/>
                <w:color w:val="auto"/>
                <w:kern w:val="0"/>
                <w:sz w:val="24"/>
                <w:lang w:val="en-US" w:eastAsia="zh-CN"/>
              </w:rPr>
              <w:t>2</w:t>
            </w:r>
            <w:r>
              <w:rPr>
                <w:rFonts w:hint="eastAsia" w:ascii="仿宋" w:hAnsi="仿宋" w:eastAsia="仿宋" w:cs="仿宋"/>
                <w:bCs/>
                <w:color w:val="auto"/>
                <w:kern w:val="0"/>
                <w:sz w:val="24"/>
              </w:rPr>
              <w:t>分</w:t>
            </w:r>
            <w:r>
              <w:rPr>
                <w:rFonts w:hint="eastAsia" w:ascii="仿宋" w:hAnsi="仿宋" w:eastAsia="仿宋" w:cs="仿宋"/>
                <w:color w:val="auto"/>
                <w:sz w:val="24"/>
              </w:rPr>
              <w:t>；且具有不少于</w:t>
            </w:r>
            <w:r>
              <w:rPr>
                <w:rFonts w:hint="eastAsia" w:ascii="仿宋" w:hAnsi="仿宋" w:eastAsia="仿宋" w:cs="仿宋"/>
                <w:bCs/>
                <w:color w:val="auto"/>
                <w:kern w:val="0"/>
                <w:sz w:val="24"/>
                <w:lang w:val="en-US" w:eastAsia="zh-CN"/>
              </w:rPr>
              <w:t>5</w:t>
            </w:r>
            <w:r>
              <w:rPr>
                <w:rFonts w:hint="eastAsia" w:ascii="仿宋" w:hAnsi="仿宋" w:eastAsia="仿宋" w:cs="仿宋"/>
                <w:color w:val="auto"/>
                <w:sz w:val="24"/>
              </w:rPr>
              <w:t>年的管理经验的，得</w:t>
            </w:r>
            <w:r>
              <w:rPr>
                <w:rFonts w:hint="eastAsia" w:ascii="仿宋" w:hAnsi="仿宋" w:eastAsia="仿宋" w:cs="仿宋"/>
                <w:bCs/>
                <w:color w:val="auto"/>
                <w:kern w:val="0"/>
                <w:sz w:val="24"/>
                <w:lang w:val="en-US" w:eastAsia="zh-CN"/>
              </w:rPr>
              <w:t>1</w:t>
            </w:r>
            <w:r>
              <w:rPr>
                <w:rFonts w:hint="eastAsia" w:ascii="仿宋" w:hAnsi="仿宋" w:eastAsia="仿宋" w:cs="仿宋"/>
                <w:bCs/>
                <w:color w:val="auto"/>
                <w:kern w:val="0"/>
                <w:sz w:val="24"/>
              </w:rPr>
              <w:t>分</w:t>
            </w:r>
            <w:r>
              <w:rPr>
                <w:rFonts w:hint="eastAsia" w:ascii="仿宋" w:hAnsi="仿宋" w:eastAsia="仿宋" w:cs="仿宋"/>
                <w:color w:val="auto"/>
                <w:sz w:val="24"/>
              </w:rPr>
              <w:t>；</w:t>
            </w:r>
            <w:r>
              <w:rPr>
                <w:rFonts w:hint="eastAsia" w:ascii="仿宋" w:hAnsi="仿宋" w:eastAsia="仿宋" w:cs="仿宋"/>
                <w:color w:val="auto"/>
                <w:sz w:val="24"/>
                <w:lang w:val="en-US" w:eastAsia="zh-CN"/>
              </w:rPr>
              <w:t>最高得3分。</w:t>
            </w:r>
          </w:p>
          <w:p w14:paraId="552B90B6">
            <w:pPr>
              <w:widowControl/>
              <w:numPr>
                <w:ilvl w:val="0"/>
                <w:numId w:val="6"/>
              </w:numPr>
              <w:ind w:left="425" w:leftChars="0" w:hanging="425" w:firstLineChars="0"/>
              <w:rPr>
                <w:rFonts w:ascii="仿宋" w:hAnsi="仿宋" w:eastAsia="仿宋" w:cs="仿宋"/>
                <w:color w:val="auto"/>
                <w:sz w:val="24"/>
              </w:rPr>
            </w:pPr>
            <w:r>
              <w:rPr>
                <w:rFonts w:hint="eastAsia" w:ascii="仿宋" w:hAnsi="仿宋" w:eastAsia="仿宋" w:cs="仿宋"/>
                <w:color w:val="auto"/>
                <w:sz w:val="24"/>
                <w:lang w:val="en-US" w:eastAsia="zh-CN"/>
              </w:rPr>
              <w:t>服务团队工作人员</w:t>
            </w:r>
            <w:r>
              <w:rPr>
                <w:rFonts w:hint="eastAsia" w:ascii="仿宋" w:hAnsi="仿宋" w:eastAsia="仿宋" w:cs="仿宋"/>
                <w:color w:val="auto"/>
                <w:sz w:val="24"/>
              </w:rPr>
              <w:t>具有</w:t>
            </w:r>
            <w:r>
              <w:rPr>
                <w:rFonts w:hint="eastAsia" w:ascii="仿宋" w:hAnsi="仿宋" w:eastAsia="仿宋" w:cs="仿宋"/>
                <w:b/>
                <w:bCs/>
                <w:color w:val="auto"/>
                <w:sz w:val="24"/>
              </w:rPr>
              <w:t>售电侧交易员证书证件</w:t>
            </w:r>
            <w:r>
              <w:rPr>
                <w:rFonts w:hint="eastAsia" w:ascii="仿宋" w:hAnsi="仿宋" w:eastAsia="仿宋" w:cs="仿宋"/>
                <w:color w:val="auto"/>
                <w:sz w:val="24"/>
                <w:lang w:val="en-US" w:eastAsia="zh-CN"/>
              </w:rPr>
              <w:t>，每个得1分，最高</w:t>
            </w:r>
            <w:r>
              <w:rPr>
                <w:rFonts w:hint="eastAsia" w:ascii="仿宋" w:hAnsi="仿宋" w:eastAsia="仿宋" w:cs="仿宋"/>
                <w:color w:val="auto"/>
                <w:sz w:val="24"/>
              </w:rPr>
              <w:t>得</w:t>
            </w:r>
            <w:r>
              <w:rPr>
                <w:rFonts w:hint="eastAsia" w:ascii="仿宋" w:hAnsi="仿宋" w:eastAsia="仿宋" w:cs="仿宋"/>
                <w:bCs/>
                <w:color w:val="auto"/>
                <w:kern w:val="0"/>
                <w:sz w:val="24"/>
                <w:lang w:val="en-US" w:eastAsia="zh-CN"/>
              </w:rPr>
              <w:t>2分</w:t>
            </w:r>
            <w:r>
              <w:rPr>
                <w:rFonts w:hint="eastAsia" w:ascii="仿宋" w:hAnsi="仿宋" w:eastAsia="仿宋" w:cs="仿宋"/>
                <w:color w:val="auto"/>
                <w:sz w:val="24"/>
              </w:rPr>
              <w:t>；</w:t>
            </w:r>
          </w:p>
          <w:p w14:paraId="1CC882C8">
            <w:pPr>
              <w:rPr>
                <w:rFonts w:ascii="仿宋" w:hAnsi="仿宋" w:eastAsia="仿宋" w:cs="仿宋"/>
                <w:b/>
                <w:bCs/>
                <w:color w:val="auto"/>
                <w:sz w:val="24"/>
              </w:rPr>
            </w:pPr>
            <w:r>
              <w:rPr>
                <w:rFonts w:hint="eastAsia" w:ascii="仿宋" w:hAnsi="仿宋" w:eastAsia="仿宋" w:cs="仿宋"/>
                <w:b/>
                <w:bCs/>
                <w:color w:val="auto"/>
                <w:sz w:val="24"/>
              </w:rPr>
              <w:t>证明材料：</w:t>
            </w:r>
          </w:p>
          <w:p w14:paraId="6C194C27">
            <w:pPr>
              <w:widowControl/>
              <w:numPr>
                <w:ilvl w:val="0"/>
                <w:numId w:val="7"/>
              </w:numPr>
              <w:rPr>
                <w:rFonts w:ascii="仿宋" w:hAnsi="仿宋" w:eastAsia="仿宋" w:cs="仿宋"/>
                <w:strike w:val="0"/>
                <w:dstrike w:val="0"/>
                <w:color w:val="auto"/>
                <w:sz w:val="24"/>
              </w:rPr>
            </w:pPr>
            <w:r>
              <w:rPr>
                <w:rFonts w:hint="eastAsia" w:ascii="仿宋" w:hAnsi="仿宋" w:eastAsia="仿宋" w:cs="仿宋"/>
                <w:color w:val="auto"/>
                <w:sz w:val="24"/>
              </w:rPr>
              <w:t>提供人员</w:t>
            </w:r>
            <w:r>
              <w:rPr>
                <w:rFonts w:hint="eastAsia" w:ascii="仿宋" w:hAnsi="仿宋" w:eastAsia="仿宋" w:cs="仿宋"/>
                <w:color w:val="auto"/>
                <w:sz w:val="24"/>
                <w:lang w:val="en-US" w:eastAsia="zh-CN"/>
              </w:rPr>
              <w:t>证书复印件及在官方网站查询截图，加盖公章，提供截止投标前三个月社保证明扫描件（原件备查）</w:t>
            </w:r>
          </w:p>
          <w:p w14:paraId="504309F9">
            <w:pPr>
              <w:pStyle w:val="4"/>
              <w:numPr>
                <w:ilvl w:val="0"/>
                <w:numId w:val="0"/>
              </w:numPr>
              <w:ind w:left="240" w:leftChars="0" w:hanging="240" w:hangingChars="100"/>
              <w:rPr>
                <w:color w:val="auto"/>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中标后实际派遣人员应与拟派遣人员相一致，如更换人员，应具备同等资格条件，否则视为违约。</w:t>
            </w:r>
          </w:p>
        </w:tc>
        <w:tc>
          <w:tcPr>
            <w:tcW w:w="1020" w:type="dxa"/>
            <w:noWrap w:val="0"/>
            <w:vAlign w:val="center"/>
          </w:tcPr>
          <w:p w14:paraId="0C89D439">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1880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675" w:type="dxa"/>
            <w:noWrap w:val="0"/>
            <w:vAlign w:val="center"/>
          </w:tcPr>
          <w:p w14:paraId="0A79CCE2">
            <w:pPr>
              <w:numPr>
                <w:ilvl w:val="0"/>
                <w:numId w:val="5"/>
              </w:numPr>
              <w:autoSpaceDE w:val="0"/>
              <w:autoSpaceDN w:val="0"/>
              <w:adjustRightInd w:val="0"/>
              <w:ind w:left="0" w:firstLine="0"/>
              <w:jc w:val="center"/>
              <w:rPr>
                <w:rFonts w:ascii="仿宋" w:hAnsi="仿宋" w:eastAsia="仿宋" w:cs="仿宋"/>
                <w:color w:val="auto"/>
                <w:sz w:val="24"/>
              </w:rPr>
            </w:pPr>
          </w:p>
        </w:tc>
        <w:tc>
          <w:tcPr>
            <w:tcW w:w="1133" w:type="dxa"/>
            <w:noWrap w:val="0"/>
            <w:vAlign w:val="center"/>
          </w:tcPr>
          <w:p w14:paraId="7863231A">
            <w:pPr>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增值服务</w:t>
            </w:r>
          </w:p>
        </w:tc>
        <w:tc>
          <w:tcPr>
            <w:tcW w:w="6158" w:type="dxa"/>
            <w:noWrap w:val="0"/>
            <w:vAlign w:val="top"/>
          </w:tcPr>
          <w:p w14:paraId="7A2BCE3D">
            <w:pPr>
              <w:pStyle w:val="4"/>
              <w:numPr>
                <w:ilvl w:val="0"/>
                <w:numId w:val="0"/>
              </w:numPr>
              <w:ind w:left="241" w:leftChars="0" w:hanging="241" w:hangingChars="100"/>
              <w:rPr>
                <w:rFonts w:hint="eastAsia" w:ascii="仿宋" w:hAnsi="仿宋" w:eastAsia="仿宋" w:cs="仿宋"/>
                <w:b w:val="0"/>
                <w:bCs w:val="0"/>
                <w:color w:val="auto"/>
                <w:sz w:val="24"/>
                <w:lang w:val="en-US" w:eastAsia="zh-CN"/>
              </w:rPr>
            </w:pPr>
            <w:r>
              <w:rPr>
                <w:rFonts w:hint="eastAsia" w:ascii="仿宋" w:hAnsi="仿宋" w:eastAsia="仿宋" w:cs="仿宋"/>
                <w:b/>
                <w:bCs/>
                <w:color w:val="auto"/>
                <w:sz w:val="24"/>
              </w:rPr>
              <w:t>评审内容及标准：</w:t>
            </w:r>
            <w:r>
              <w:rPr>
                <w:rFonts w:hint="eastAsia" w:ascii="仿宋" w:hAnsi="仿宋" w:eastAsia="仿宋" w:cs="仿宋"/>
                <w:b w:val="0"/>
                <w:bCs w:val="0"/>
                <w:color w:val="auto"/>
                <w:sz w:val="24"/>
                <w:lang w:eastAsia="zh-CN"/>
              </w:rPr>
              <w:t>投标人向采购人提供的增值服务内容，横向对比服务方案，排第一的得</w:t>
            </w:r>
            <w:r>
              <w:rPr>
                <w:rFonts w:hint="eastAsia" w:ascii="仿宋" w:hAnsi="仿宋" w:eastAsia="仿宋" w:cs="仿宋"/>
                <w:b w:val="0"/>
                <w:bCs w:val="0"/>
                <w:color w:val="auto"/>
                <w:sz w:val="24"/>
                <w:lang w:val="en-US" w:eastAsia="zh-CN"/>
              </w:rPr>
              <w:t>5分，排第二的得3分，排第三的得1分，其余不得分。</w:t>
            </w:r>
          </w:p>
          <w:p w14:paraId="127465F3">
            <w:pPr>
              <w:pStyle w:val="4"/>
              <w:numPr>
                <w:ilvl w:val="0"/>
                <w:numId w:val="0"/>
              </w:numPr>
              <w:ind w:left="241" w:leftChars="0" w:hanging="241" w:hangingChars="100"/>
              <w:rPr>
                <w:rFonts w:hint="default" w:ascii="仿宋" w:hAnsi="仿宋" w:eastAsia="仿宋" w:cs="仿宋"/>
                <w:b w:val="0"/>
                <w:bCs w:val="0"/>
                <w:color w:val="auto"/>
                <w:sz w:val="24"/>
                <w:lang w:val="en-US" w:eastAsia="zh-CN"/>
              </w:rPr>
            </w:pPr>
            <w:r>
              <w:rPr>
                <w:rFonts w:hint="eastAsia" w:ascii="仿宋" w:hAnsi="仿宋" w:eastAsia="仿宋" w:cs="仿宋"/>
                <w:b/>
                <w:bCs/>
                <w:color w:val="auto"/>
                <w:sz w:val="24"/>
                <w:lang w:val="en-US" w:eastAsia="zh-CN"/>
              </w:rPr>
              <w:t>得分依据：</w:t>
            </w:r>
            <w:r>
              <w:rPr>
                <w:rFonts w:hint="eastAsia" w:ascii="仿宋" w:hAnsi="仿宋" w:eastAsia="仿宋" w:cs="仿宋"/>
                <w:b w:val="0"/>
                <w:bCs w:val="0"/>
                <w:color w:val="auto"/>
                <w:sz w:val="24"/>
                <w:lang w:val="en-US" w:eastAsia="zh-CN"/>
              </w:rPr>
              <w:t>提供增值服务方案</w:t>
            </w:r>
          </w:p>
        </w:tc>
        <w:tc>
          <w:tcPr>
            <w:tcW w:w="1020" w:type="dxa"/>
            <w:noWrap w:val="0"/>
            <w:vAlign w:val="center"/>
          </w:tcPr>
          <w:p w14:paraId="2BACBE5D">
            <w:pPr>
              <w:autoSpaceDE w:val="0"/>
              <w:autoSpaceDN w:val="0"/>
              <w:adjustRightInd w:val="0"/>
              <w:jc w:val="center"/>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w:t>
            </w:r>
          </w:p>
        </w:tc>
      </w:tr>
      <w:tr w14:paraId="61E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7966" w:type="dxa"/>
            <w:gridSpan w:val="3"/>
            <w:noWrap w:val="0"/>
            <w:vAlign w:val="center"/>
          </w:tcPr>
          <w:p w14:paraId="1DA09E3C">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合计</w:t>
            </w:r>
          </w:p>
        </w:tc>
        <w:tc>
          <w:tcPr>
            <w:tcW w:w="1020" w:type="dxa"/>
            <w:noWrap w:val="0"/>
            <w:vAlign w:val="center"/>
          </w:tcPr>
          <w:p w14:paraId="5B7600B8">
            <w:pPr>
              <w:autoSpaceDE w:val="0"/>
              <w:autoSpaceDN w:val="0"/>
              <w:adjustRightInd w:val="0"/>
              <w:jc w:val="center"/>
              <w:rPr>
                <w:rFonts w:hint="default" w:ascii="仿宋" w:hAnsi="仿宋" w:eastAsia="仿宋" w:cs="仿宋"/>
                <w:color w:val="auto"/>
                <w:sz w:val="24"/>
                <w:highlight w:val="yellow"/>
                <w:lang w:val="en-US"/>
              </w:rPr>
            </w:pPr>
            <w:r>
              <w:rPr>
                <w:rFonts w:hint="eastAsia" w:ascii="仿宋" w:hAnsi="仿宋" w:eastAsia="仿宋" w:cs="仿宋"/>
                <w:bCs/>
                <w:color w:val="auto"/>
                <w:kern w:val="0"/>
                <w:sz w:val="24"/>
                <w:lang w:val="en-US" w:eastAsia="zh-CN"/>
              </w:rPr>
              <w:t>25</w:t>
            </w:r>
          </w:p>
        </w:tc>
      </w:tr>
    </w:tbl>
    <w:p w14:paraId="62034F89">
      <w:pPr>
        <w:autoSpaceDE w:val="0"/>
        <w:autoSpaceDN w:val="0"/>
        <w:adjustRightInd w:val="0"/>
        <w:spacing w:line="360" w:lineRule="auto"/>
        <w:jc w:val="left"/>
        <w:rPr>
          <w:rFonts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1、本表评审依据要求的各项证明文件须编入投标文件。</w:t>
      </w:r>
    </w:p>
    <w:p w14:paraId="48539AF4">
      <w:pPr>
        <w:numPr>
          <w:ilvl w:val="0"/>
          <w:numId w:val="0"/>
        </w:numPr>
        <w:autoSpaceDE w:val="0"/>
        <w:autoSpaceDN w:val="0"/>
        <w:adjustRightInd w:val="0"/>
        <w:spacing w:line="360" w:lineRule="auto"/>
        <w:ind w:leftChars="0"/>
        <w:jc w:val="left"/>
        <w:rPr>
          <w:rFonts w:hint="eastAsia" w:ascii="仿宋" w:hAnsi="仿宋" w:eastAsia="仿宋" w:cs="仿宋"/>
          <w:b/>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表中要求提供相关证明文件的内容，投标文件中须明确加以说明并提供，未按要求提供相关文件或说明不清楚或评审委员会无法凭所提供的材料判断是否得分的情况，一律作不得分处理。</w:t>
      </w:r>
    </w:p>
    <w:p w14:paraId="5794F8D9">
      <w:pPr>
        <w:numPr>
          <w:ilvl w:val="0"/>
          <w:numId w:val="0"/>
        </w:numPr>
        <w:autoSpaceDE w:val="0"/>
        <w:autoSpaceDN w:val="0"/>
        <w:adjustRightInd w:val="0"/>
        <w:spacing w:line="360" w:lineRule="auto"/>
        <w:ind w:leftChars="0"/>
        <w:jc w:val="left"/>
        <w:rPr>
          <w:rFonts w:hint="eastAsia" w:ascii="仿宋" w:hAnsi="仿宋" w:eastAsia="仿宋" w:cs="仿宋"/>
          <w:b/>
          <w:color w:val="auto"/>
          <w:sz w:val="24"/>
        </w:rPr>
      </w:pPr>
    </w:p>
    <w:p w14:paraId="12C66D59">
      <w:pPr>
        <w:numPr>
          <w:ilvl w:val="0"/>
          <w:numId w:val="0"/>
        </w:numPr>
        <w:autoSpaceDE w:val="0"/>
        <w:autoSpaceDN w:val="0"/>
        <w:adjustRightInd w:val="0"/>
        <w:spacing w:line="360" w:lineRule="auto"/>
        <w:ind w:leftChars="0"/>
        <w:jc w:val="left"/>
        <w:rPr>
          <w:rFonts w:hint="default" w:ascii="仿宋" w:hAnsi="仿宋" w:eastAsia="仿宋" w:cs="仿宋"/>
          <w:b/>
          <w:color w:val="auto"/>
          <w:sz w:val="24"/>
          <w:lang w:val="en-US" w:eastAsia="zh-CN"/>
        </w:rPr>
      </w:pPr>
      <w:r>
        <w:rPr>
          <w:rFonts w:hint="eastAsia" w:ascii="仿宋" w:hAnsi="仿宋" w:eastAsia="仿宋" w:cs="仿宋"/>
          <w:b/>
          <w:color w:val="auto"/>
          <w:sz w:val="24"/>
          <w:lang w:eastAsia="zh-CN"/>
        </w:rPr>
        <w:t>附表</w:t>
      </w:r>
      <w:r>
        <w:rPr>
          <w:rFonts w:hint="eastAsia" w:ascii="仿宋" w:hAnsi="仿宋" w:eastAsia="仿宋" w:cs="仿宋"/>
          <w:b/>
          <w:color w:val="auto"/>
          <w:sz w:val="24"/>
          <w:lang w:val="en-US" w:eastAsia="zh-CN"/>
        </w:rPr>
        <w:t>3</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1133"/>
        <w:gridCol w:w="1558"/>
        <w:gridCol w:w="4873"/>
      </w:tblGrid>
      <w:tr w14:paraId="609D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14:paraId="701537CD">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投标报价得分</w:t>
            </w:r>
          </w:p>
        </w:tc>
        <w:tc>
          <w:tcPr>
            <w:tcW w:w="7570" w:type="dxa"/>
            <w:gridSpan w:val="3"/>
            <w:noWrap w:val="0"/>
            <w:vAlign w:val="center"/>
          </w:tcPr>
          <w:p w14:paraId="007B8D5D">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基准价和算法类型选择</w:t>
            </w:r>
          </w:p>
        </w:tc>
      </w:tr>
      <w:tr w14:paraId="58DC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32758B1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restart"/>
            <w:noWrap w:val="0"/>
            <w:vAlign w:val="center"/>
          </w:tcPr>
          <w:p w14:paraId="38022032">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基准价</w:t>
            </w:r>
          </w:p>
        </w:tc>
        <w:tc>
          <w:tcPr>
            <w:tcW w:w="6436" w:type="dxa"/>
            <w:gridSpan w:val="2"/>
            <w:noWrap w:val="0"/>
            <w:vAlign w:val="center"/>
          </w:tcPr>
          <w:p w14:paraId="2048C321">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□各有效投标报价大于n家时，去掉一个最高和最低报价后的算术平均值乘以</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w:t>
            </w:r>
          </w:p>
          <w:p w14:paraId="7D8B53A0">
            <w:pPr>
              <w:widowControl w:val="0"/>
              <w:autoSpaceDE w:val="0"/>
              <w:autoSpaceDN w:val="0"/>
              <w:adjustRightInd w:val="0"/>
              <w:snapToGrid w:val="0"/>
              <w:ind w:firstLine="240" w:firstLineChars="10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当有效投标报价少于n（含）家时，则以所有有效投标报价的算术平均值乘以</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％。n=</w:t>
            </w:r>
            <w:r>
              <w:rPr>
                <w:rFonts w:hint="eastAsia" w:ascii="仿宋" w:hAnsi="仿宋" w:eastAsia="仿宋" w:cs="仿宋"/>
                <w:color w:val="auto"/>
                <w:spacing w:val="0"/>
                <w:sz w:val="24"/>
                <w:szCs w:val="24"/>
                <w:u w:val="single"/>
              </w:rPr>
              <w:t xml:space="preserve">    </w:t>
            </w:r>
          </w:p>
        </w:tc>
      </w:tr>
      <w:tr w14:paraId="196A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51FAE283">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77CFD9AC">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p>
        </w:tc>
        <w:tc>
          <w:tcPr>
            <w:tcW w:w="6436" w:type="dxa"/>
            <w:gridSpan w:val="2"/>
            <w:noWrap w:val="0"/>
            <w:vAlign w:val="center"/>
          </w:tcPr>
          <w:p w14:paraId="5BA80A12">
            <w:pPr>
              <w:widowControl w:val="0"/>
              <w:autoSpaceDE w:val="0"/>
              <w:autoSpaceDN w:val="0"/>
              <w:adjustRightInd w:val="0"/>
              <w:snapToGrid w:val="0"/>
              <w:ind w:firstLine="0" w:firstLineChars="0"/>
              <w:rPr>
                <w:rFonts w:hint="eastAsia" w:ascii="仿宋" w:hAnsi="仿宋" w:eastAsia="仿宋" w:cs="仿宋"/>
                <w:color w:val="auto"/>
                <w:spacing w:val="0"/>
                <w:sz w:val="24"/>
                <w:szCs w:val="24"/>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color w:val="auto"/>
                <w:spacing w:val="0"/>
                <w:sz w:val="24"/>
                <w:szCs w:val="24"/>
              </w:rPr>
              <w:t>取有效投标报价算术平均值</w:t>
            </w:r>
            <w:r>
              <w:rPr>
                <w:rFonts w:hint="eastAsia" w:ascii="仿宋" w:hAnsi="仿宋" w:eastAsia="仿宋" w:cs="仿宋"/>
                <w:color w:val="auto"/>
                <w:spacing w:val="0"/>
                <w:sz w:val="24"/>
                <w:szCs w:val="24"/>
                <w:lang w:eastAsia="zh-CN"/>
              </w:rPr>
              <w:t>。</w:t>
            </w:r>
          </w:p>
        </w:tc>
      </w:tr>
      <w:tr w14:paraId="731A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323D5224">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1DD53539">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p>
        </w:tc>
        <w:tc>
          <w:tcPr>
            <w:tcW w:w="6436" w:type="dxa"/>
            <w:gridSpan w:val="2"/>
            <w:noWrap w:val="0"/>
            <w:vAlign w:val="center"/>
          </w:tcPr>
          <w:p w14:paraId="2AAB7188">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有效投标报价的最低价为基价</w:t>
            </w:r>
          </w:p>
        </w:tc>
      </w:tr>
      <w:tr w14:paraId="6640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11A22D03">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restart"/>
            <w:noWrap w:val="0"/>
            <w:vAlign w:val="center"/>
          </w:tcPr>
          <w:p w14:paraId="1FB4EB0C">
            <w:pPr>
              <w:widowControl w:val="0"/>
              <w:autoSpaceDE w:val="0"/>
              <w:autoSpaceDN w:val="0"/>
              <w:adjustRightInd w:val="0"/>
              <w:snapToGrid w:val="0"/>
              <w:ind w:firstLine="0" w:firstLineChars="0"/>
              <w:jc w:val="center"/>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算法类型</w:t>
            </w:r>
          </w:p>
        </w:tc>
        <w:tc>
          <w:tcPr>
            <w:tcW w:w="1559" w:type="dxa"/>
            <w:noWrap w:val="0"/>
            <w:vAlign w:val="center"/>
          </w:tcPr>
          <w:p w14:paraId="59EFE707">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□固定比例法</w:t>
            </w:r>
          </w:p>
        </w:tc>
        <w:tc>
          <w:tcPr>
            <w:tcW w:w="4877" w:type="dxa"/>
            <w:noWrap w:val="0"/>
            <w:vAlign w:val="center"/>
          </w:tcPr>
          <w:p w14:paraId="361CEA2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价得分=M-[（｜投标价格-基准价｜/基准价）*100/N]*扣分值</w:t>
            </w:r>
          </w:p>
          <w:p w14:paraId="62EE345D">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M=</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（价格评价分项满分值），N=</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，投标价格每高于N％时，扣</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分；每低于N％时，扣</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分；</w:t>
            </w:r>
          </w:p>
          <w:p w14:paraId="6076845E">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最低得0分。</w:t>
            </w:r>
          </w:p>
        </w:tc>
      </w:tr>
      <w:tr w14:paraId="5425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6884F0F1">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0DE4230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2C613C0A">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kern w:val="0"/>
                <w:sz w:val="24"/>
                <w:szCs w:val="24"/>
                <w:highlight w:val="none"/>
                <w:lang w:eastAsia="zh-CN"/>
              </w:rPr>
              <w:t>□</w:t>
            </w:r>
            <w:r>
              <w:rPr>
                <w:rFonts w:hint="eastAsia" w:ascii="仿宋" w:hAnsi="仿宋" w:eastAsia="仿宋" w:cs="仿宋"/>
                <w:color w:val="auto"/>
                <w:spacing w:val="0"/>
                <w:sz w:val="24"/>
                <w:szCs w:val="24"/>
              </w:rPr>
              <w:t>固定乘积法</w:t>
            </w:r>
          </w:p>
        </w:tc>
        <w:tc>
          <w:tcPr>
            <w:tcW w:w="4877" w:type="dxa"/>
            <w:noWrap w:val="0"/>
            <w:vAlign w:val="center"/>
          </w:tcPr>
          <w:p w14:paraId="279A6162">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价格得分=（1-A×｜1-投标报价/Z｜）×M</w:t>
            </w:r>
          </w:p>
          <w:p w14:paraId="73C6251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1、M=</w:t>
            </w:r>
            <w:r>
              <w:rPr>
                <w:rFonts w:hint="eastAsia" w:ascii="仿宋" w:hAnsi="仿宋" w:eastAsia="仿宋" w:cs="仿宋"/>
                <w:color w:val="auto"/>
                <w:spacing w:val="0"/>
                <w:sz w:val="24"/>
                <w:szCs w:val="24"/>
                <w:u w:val="single"/>
                <w:lang w:val="en-US" w:eastAsia="zh-CN"/>
              </w:rPr>
              <w:t>50</w:t>
            </w:r>
            <w:r>
              <w:rPr>
                <w:rFonts w:hint="eastAsia" w:ascii="仿宋" w:hAnsi="仿宋" w:eastAsia="仿宋" w:cs="仿宋"/>
                <w:color w:val="auto"/>
                <w:spacing w:val="0"/>
                <w:sz w:val="24"/>
                <w:szCs w:val="24"/>
              </w:rPr>
              <w:t>（价格评价分项满分值），Z为本次招标最佳报价（即基准价）；</w:t>
            </w:r>
          </w:p>
          <w:p w14:paraId="7B543D04">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2、A为价格调整系数，当投标报价低于本次招标最佳报价（即基准价）时，A=</w:t>
            </w:r>
            <w:r>
              <w:rPr>
                <w:rFonts w:hint="eastAsia" w:ascii="仿宋" w:hAnsi="仿宋" w:eastAsia="仿宋" w:cs="仿宋"/>
                <w:color w:val="auto"/>
                <w:spacing w:val="0"/>
                <w:sz w:val="24"/>
                <w:szCs w:val="24"/>
                <w:u w:val="single"/>
                <w:lang w:val="en-US" w:eastAsia="zh-CN"/>
              </w:rPr>
              <w:t>1</w:t>
            </w:r>
            <w:r>
              <w:rPr>
                <w:rFonts w:hint="eastAsia" w:ascii="仿宋" w:hAnsi="仿宋" w:eastAsia="仿宋" w:cs="仿宋"/>
                <w:color w:val="auto"/>
                <w:spacing w:val="0"/>
                <w:sz w:val="24"/>
                <w:szCs w:val="24"/>
              </w:rPr>
              <w:t>；当投标报价高于</w:t>
            </w:r>
            <w:r>
              <w:rPr>
                <w:rFonts w:hint="eastAsia" w:ascii="仿宋" w:hAnsi="仿宋" w:eastAsia="仿宋" w:cs="仿宋"/>
                <w:color w:val="auto"/>
                <w:spacing w:val="0"/>
                <w:sz w:val="24"/>
                <w:szCs w:val="24"/>
                <w:lang w:val="en-US" w:eastAsia="zh-CN"/>
              </w:rPr>
              <w:t>本</w:t>
            </w:r>
            <w:r>
              <w:rPr>
                <w:rFonts w:hint="eastAsia" w:ascii="仿宋" w:hAnsi="仿宋" w:eastAsia="仿宋" w:cs="仿宋"/>
                <w:color w:val="auto"/>
                <w:spacing w:val="0"/>
                <w:sz w:val="24"/>
                <w:szCs w:val="24"/>
              </w:rPr>
              <w:t>次招标最佳报价时，取A=</w:t>
            </w:r>
            <w:r>
              <w:rPr>
                <w:rFonts w:hint="eastAsia" w:ascii="仿宋" w:hAnsi="仿宋" w:eastAsia="仿宋" w:cs="仿宋"/>
                <w:color w:val="auto"/>
                <w:spacing w:val="0"/>
                <w:sz w:val="24"/>
                <w:szCs w:val="24"/>
                <w:u w:val="single"/>
                <w:lang w:val="en-US" w:eastAsia="zh-CN"/>
              </w:rPr>
              <w:t>2</w:t>
            </w:r>
            <w:r>
              <w:rPr>
                <w:rFonts w:hint="eastAsia" w:ascii="仿宋" w:hAnsi="仿宋" w:eastAsia="仿宋" w:cs="仿宋"/>
                <w:color w:val="auto"/>
                <w:spacing w:val="0"/>
                <w:sz w:val="24"/>
                <w:szCs w:val="24"/>
              </w:rPr>
              <w:t>；</w:t>
            </w:r>
          </w:p>
          <w:p w14:paraId="60470F4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3、计算分数时四舍五入取小数点后两位，当价格分＜0时，取0。</w:t>
            </w:r>
          </w:p>
        </w:tc>
      </w:tr>
      <w:tr w14:paraId="4E8F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0F02E9C9">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368D9348">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63B5D8CC">
            <w:pPr>
              <w:widowControl w:val="0"/>
              <w:autoSpaceDE w:val="0"/>
              <w:autoSpaceDN w:val="0"/>
              <w:adjustRightInd w:val="0"/>
              <w:snapToGrid w:val="0"/>
              <w:ind w:firstLine="0" w:firstLineChars="0"/>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sym w:font="Wingdings 2" w:char="0052"/>
            </w:r>
            <w:r>
              <w:rPr>
                <w:rFonts w:hint="eastAsia" w:ascii="仿宋" w:hAnsi="仿宋" w:eastAsia="仿宋" w:cs="仿宋"/>
                <w:color w:val="auto"/>
                <w:spacing w:val="0"/>
                <w:sz w:val="24"/>
                <w:szCs w:val="24"/>
                <w:lang w:val="en-US" w:eastAsia="zh-CN"/>
              </w:rPr>
              <w:t>低价优先法</w:t>
            </w:r>
          </w:p>
        </w:tc>
        <w:tc>
          <w:tcPr>
            <w:tcW w:w="4877" w:type="dxa"/>
            <w:noWrap w:val="0"/>
            <w:vAlign w:val="center"/>
          </w:tcPr>
          <w:p w14:paraId="788A842D">
            <w:pPr>
              <w:widowControl w:val="0"/>
              <w:autoSpaceDE w:val="0"/>
              <w:autoSpaceDN w:val="0"/>
              <w:adjustRightInd w:val="0"/>
              <w:snapToGrid w:val="0"/>
              <w:ind w:firstLine="0" w:firstLineChars="0"/>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投标报价得分＝（评标基准价/投标报价）×</w:t>
            </w:r>
            <w:r>
              <w:rPr>
                <w:rFonts w:hint="eastAsia" w:ascii="仿宋" w:hAnsi="仿宋" w:eastAsia="仿宋" w:cs="仿宋"/>
                <w:color w:val="auto"/>
                <w:spacing w:val="0"/>
                <w:sz w:val="24"/>
                <w:szCs w:val="24"/>
                <w:lang w:val="en-US" w:eastAsia="zh-CN"/>
              </w:rPr>
              <w:t>权重</w:t>
            </w:r>
          </w:p>
          <w:p w14:paraId="1FFE2DE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评标基准价是指满足招标文件要求且价格最低的投标报价。</w:t>
            </w:r>
          </w:p>
        </w:tc>
      </w:tr>
      <w:tr w14:paraId="4D67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14:paraId="233BC877">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134" w:type="dxa"/>
            <w:vMerge w:val="continue"/>
            <w:noWrap w:val="0"/>
            <w:vAlign w:val="center"/>
          </w:tcPr>
          <w:p w14:paraId="52B6540B">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c>
          <w:tcPr>
            <w:tcW w:w="1559" w:type="dxa"/>
            <w:noWrap w:val="0"/>
            <w:vAlign w:val="center"/>
          </w:tcPr>
          <w:p w14:paraId="3BFB1F15">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rPr>
              <w:t>其他方法</w:t>
            </w:r>
          </w:p>
        </w:tc>
        <w:tc>
          <w:tcPr>
            <w:tcW w:w="4877" w:type="dxa"/>
            <w:noWrap w:val="0"/>
            <w:vAlign w:val="center"/>
          </w:tcPr>
          <w:p w14:paraId="0FB0095C">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p>
        </w:tc>
      </w:tr>
      <w:tr w14:paraId="06A2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29" w:type="dxa"/>
            <w:gridSpan w:val="4"/>
            <w:noWrap w:val="0"/>
            <w:vAlign w:val="center"/>
          </w:tcPr>
          <w:p w14:paraId="62DCA09D">
            <w:pPr>
              <w:widowControl w:val="0"/>
              <w:autoSpaceDE w:val="0"/>
              <w:autoSpaceDN w:val="0"/>
              <w:adjustRightInd w:val="0"/>
              <w:snapToGrid w:val="0"/>
              <w:ind w:firstLine="0" w:firstLineChars="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注：未通过初步评审的投标人的价格得分计算：未通过初步评审的投标人，不计算价格得分。</w:t>
            </w:r>
          </w:p>
        </w:tc>
      </w:tr>
    </w:tbl>
    <w:p w14:paraId="7F7FFC65">
      <w:pPr>
        <w:numPr>
          <w:ilvl w:val="0"/>
          <w:numId w:val="0"/>
        </w:numPr>
        <w:autoSpaceDE w:val="0"/>
        <w:autoSpaceDN w:val="0"/>
        <w:adjustRightInd w:val="0"/>
        <w:spacing w:line="360" w:lineRule="auto"/>
        <w:ind w:leftChars="0"/>
        <w:jc w:val="left"/>
        <w:rPr>
          <w:rFonts w:hint="eastAsia" w:ascii="方正公文小标宋" w:hAnsi="方正公文小标宋" w:eastAsia="方正公文小标宋" w:cs="方正公文小标宋"/>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827B321-0D8D-401E-B813-764DA8B8DDA5}"/>
  </w:font>
  <w:font w:name="方正公文小标宋">
    <w:panose1 w:val="02000500000000000000"/>
    <w:charset w:val="86"/>
    <w:family w:val="auto"/>
    <w:pitch w:val="default"/>
    <w:sig w:usb0="A00002BF" w:usb1="38CF7CFA" w:usb2="00000016" w:usb3="00000000" w:csb0="00040001" w:csb1="00000000"/>
    <w:embedRegular r:id="rId2" w:fontKey="{D6CF335C-F928-40D9-99DD-1E422050B903}"/>
  </w:font>
  <w:font w:name="仿宋">
    <w:panose1 w:val="02010609060101010101"/>
    <w:charset w:val="86"/>
    <w:family w:val="auto"/>
    <w:pitch w:val="default"/>
    <w:sig w:usb0="800002BF" w:usb1="38CF7CFA" w:usb2="00000016" w:usb3="00000000" w:csb0="00040001" w:csb1="00000000"/>
    <w:embedRegular r:id="rId3" w:fontKey="{437948B9-851F-4425-8823-E2CC01FDBBD2}"/>
  </w:font>
  <w:font w:name="仿宋_GB2312">
    <w:panose1 w:val="02010609030101010101"/>
    <w:charset w:val="86"/>
    <w:family w:val="auto"/>
    <w:pitch w:val="default"/>
    <w:sig w:usb0="00000001" w:usb1="080E0000" w:usb2="00000000" w:usb3="00000000" w:csb0="00040000" w:csb1="00000000"/>
    <w:embedRegular r:id="rId4" w:fontKey="{735FEF61-4800-44B1-9086-2EA15E922EE4}"/>
  </w:font>
  <w:font w:name="Wingdings 2">
    <w:panose1 w:val="05020102010507070707"/>
    <w:charset w:val="02"/>
    <w:family w:val="auto"/>
    <w:pitch w:val="default"/>
    <w:sig w:usb0="00000000" w:usb1="00000000" w:usb2="00000000" w:usb3="00000000" w:csb0="80000000" w:csb1="00000000"/>
    <w:embedRegular r:id="rId5" w:fontKey="{9C119E19-CF1C-4D2C-B1B5-3097237BF1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8EACC"/>
    <w:multiLevelType w:val="singleLevel"/>
    <w:tmpl w:val="9908EACC"/>
    <w:lvl w:ilvl="0" w:tentative="0">
      <w:start w:val="1"/>
      <w:numFmt w:val="decimal"/>
      <w:suff w:val="nothing"/>
      <w:lvlText w:val="%1、"/>
      <w:lvlJc w:val="left"/>
    </w:lvl>
  </w:abstractNum>
  <w:abstractNum w:abstractNumId="1">
    <w:nsid w:val="C2B11100"/>
    <w:multiLevelType w:val="singleLevel"/>
    <w:tmpl w:val="C2B11100"/>
    <w:lvl w:ilvl="0" w:tentative="0">
      <w:start w:val="1"/>
      <w:numFmt w:val="decimal"/>
      <w:lvlText w:val="%1."/>
      <w:lvlJc w:val="left"/>
      <w:pPr>
        <w:ind w:left="425" w:hanging="425"/>
      </w:pPr>
      <w:rPr>
        <w:rFonts w:hint="default"/>
      </w:rPr>
    </w:lvl>
  </w:abstractNum>
  <w:abstractNum w:abstractNumId="2">
    <w:nsid w:val="FAD3E774"/>
    <w:multiLevelType w:val="singleLevel"/>
    <w:tmpl w:val="FAD3E774"/>
    <w:lvl w:ilvl="0" w:tentative="0">
      <w:start w:val="1"/>
      <w:numFmt w:val="decimal"/>
      <w:lvlText w:val="%1."/>
      <w:lvlJc w:val="left"/>
      <w:pPr>
        <w:ind w:left="425" w:hanging="425"/>
      </w:pPr>
      <w:rPr>
        <w:rFonts w:hint="default"/>
      </w:rPr>
    </w:lvl>
  </w:abstractNum>
  <w:abstractNum w:abstractNumId="3">
    <w:nsid w:val="1B4F46AE"/>
    <w:multiLevelType w:val="singleLevel"/>
    <w:tmpl w:val="1B4F46AE"/>
    <w:lvl w:ilvl="0" w:tentative="0">
      <w:start w:val="1"/>
      <w:numFmt w:val="decimal"/>
      <w:lvlText w:val="%1."/>
      <w:lvlJc w:val="left"/>
      <w:pPr>
        <w:ind w:left="425" w:hanging="425"/>
      </w:pPr>
      <w:rPr>
        <w:rFonts w:hint="default"/>
      </w:rPr>
    </w:lvl>
  </w:abstractNum>
  <w:abstractNum w:abstractNumId="4">
    <w:nsid w:val="69E7E452"/>
    <w:multiLevelType w:val="singleLevel"/>
    <w:tmpl w:val="69E7E452"/>
    <w:lvl w:ilvl="0" w:tentative="0">
      <w:start w:val="1"/>
      <w:numFmt w:val="decimal"/>
      <w:lvlText w:val="%1."/>
      <w:lvlJc w:val="left"/>
      <w:pPr>
        <w:ind w:left="850" w:hanging="425"/>
      </w:pPr>
      <w:rPr>
        <w:rFonts w:hint="default"/>
      </w:rPr>
    </w:lvl>
  </w:abstractNum>
  <w:abstractNum w:abstractNumId="5">
    <w:nsid w:val="6B794832"/>
    <w:multiLevelType w:val="singleLevel"/>
    <w:tmpl w:val="6B794832"/>
    <w:lvl w:ilvl="0" w:tentative="0">
      <w:start w:val="1"/>
      <w:numFmt w:val="decimal"/>
      <w:suff w:val="nothing"/>
      <w:lvlText w:val="%1、"/>
      <w:lvlJc w:val="left"/>
    </w:lvl>
  </w:abstractNum>
  <w:abstractNum w:abstractNumId="6">
    <w:nsid w:val="6EC75A05"/>
    <w:multiLevelType w:val="singleLevel"/>
    <w:tmpl w:val="6EC75A05"/>
    <w:lvl w:ilvl="0" w:tentative="0">
      <w:start w:val="1"/>
      <w:numFmt w:val="decimal"/>
      <w:suff w:val="nothing"/>
      <w:lvlText w:val="%1、"/>
      <w:lvlJc w:val="left"/>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60407"/>
    <w:rsid w:val="15714980"/>
    <w:rsid w:val="279544FE"/>
    <w:rsid w:val="29CE1F49"/>
    <w:rsid w:val="2E3D769E"/>
    <w:rsid w:val="3EBE124C"/>
    <w:rsid w:val="46D04D48"/>
    <w:rsid w:val="503E4AA8"/>
    <w:rsid w:val="5AEE56F8"/>
    <w:rsid w:val="66BB3672"/>
    <w:rsid w:val="698C4A5A"/>
    <w:rsid w:val="6BA7651A"/>
    <w:rsid w:val="6FA50623"/>
    <w:rsid w:val="72A25B10"/>
    <w:rsid w:val="73B9469D"/>
    <w:rsid w:val="7BAA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2"/>
    <w:semiHidden/>
    <w:qFormat/>
    <w:uiPriority w:val="0"/>
    <w:pPr>
      <w:ind w:firstLine="900"/>
    </w:pPr>
    <w:rPr>
      <w:sz w:val="28"/>
      <w:szCs w:val="20"/>
    </w:rPr>
  </w:style>
  <w:style w:type="paragraph" w:styleId="4">
    <w:name w:val="Body Text First Indent 2"/>
    <w:basedOn w:val="3"/>
    <w:qFormat/>
    <w:uiPriority w:val="0"/>
    <w:pPr>
      <w:widowControl w:val="0"/>
      <w:overflowPunct/>
      <w:autoSpaceDE/>
      <w:autoSpaceDN/>
      <w:adjustRightInd/>
      <w:spacing w:after="120" w:line="240" w:lineRule="auto"/>
      <w:ind w:left="420" w:leftChars="200" w:firstLine="420" w:firstLineChars="200"/>
      <w:textAlignment w:val="auto"/>
    </w:pPr>
    <w:rPr>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widowControl/>
      <w:spacing w:line="360" w:lineRule="auto"/>
      <w:ind w:firstLine="200" w:firstLineChars="200"/>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2420</Words>
  <Characters>2497</Characters>
  <Lines>0</Lines>
  <Paragraphs>0</Paragraphs>
  <TotalTime>25</TotalTime>
  <ScaleCrop>false</ScaleCrop>
  <LinksUpToDate>false</LinksUpToDate>
  <CharactersWithSpaces>2533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2024-11-26T03:15:00Z</dcterms:created>
  <dc:creator>Administrator</dc:creator>
  <cp:lastModifiedBy>WPS_1642562330</cp:lastModifiedBy>
  <cp:lastPrinted>2025-09-16T03:53:00Z</cp:lastPrinted>
  <dcterms:modified xsi:type="dcterms:W3CDTF">2025-09-16T09:50:50Z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75406EE2CD6F4AD29B7446B5F2BCDAEE_13</vt:lpwstr>
  </property>
  <property fmtid="{D5CDD505-2E9C-101B-9397-08002B2CF9AE}" pid="4" name="KSOTemplateDocerSaveRecord">
    <vt:lpwstr>eyJoZGlkIjoiMTZkZjQ3OTQ2Zjc3NjA5ZjgwZjYwMGNhZGMzOGM4NTQiLCJ1c2VySWQiOiIxMzE5NzgzMjIzIn0=</vt:lpwstr>
  </property>
</Properties>
</file>