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0A4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jc w:val="both"/>
        <w:textAlignment w:val="auto"/>
        <w:outlineLvl w:val="0"/>
        <w:rPr>
          <w:rFonts w:hint="eastAsia" w:ascii="Calibri" w:hAnsi="Calibri" w:eastAsia="PingFang SC Regular" w:cs="Times New Roman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附件二：综合评分表</w:t>
      </w:r>
    </w:p>
    <w:bookmarkEnd w:id="0"/>
    <w:tbl>
      <w:tblPr>
        <w:tblStyle w:val="4"/>
        <w:tblpPr w:leftFromText="180" w:rightFromText="180" w:vertAnchor="text" w:horzAnchor="page" w:tblpX="1185" w:tblpY="754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04"/>
        <w:gridCol w:w="1228"/>
        <w:gridCol w:w="5125"/>
        <w:gridCol w:w="900"/>
        <w:gridCol w:w="820"/>
      </w:tblGrid>
      <w:tr w14:paraId="551F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7B3EFBB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序号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5A3DFE1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评分项</w:t>
            </w:r>
          </w:p>
        </w:tc>
        <w:tc>
          <w:tcPr>
            <w:tcW w:w="5125" w:type="dxa"/>
            <w:noWrap w:val="0"/>
            <w:vAlign w:val="center"/>
          </w:tcPr>
          <w:p w14:paraId="30589D9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评分细则</w:t>
            </w:r>
          </w:p>
        </w:tc>
        <w:tc>
          <w:tcPr>
            <w:tcW w:w="900" w:type="dxa"/>
            <w:noWrap w:val="0"/>
            <w:vAlign w:val="center"/>
          </w:tcPr>
          <w:p w14:paraId="72181ED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评分</w:t>
            </w:r>
          </w:p>
        </w:tc>
        <w:tc>
          <w:tcPr>
            <w:tcW w:w="820" w:type="dxa"/>
            <w:noWrap w:val="0"/>
            <w:vAlign w:val="center"/>
          </w:tcPr>
          <w:p w14:paraId="4346CF0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备注</w:t>
            </w:r>
          </w:p>
        </w:tc>
      </w:tr>
      <w:tr w14:paraId="27F0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center"/>
          </w:tcPr>
          <w:p w14:paraId="7220F9E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58EC98D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律所实力</w:t>
            </w:r>
          </w:p>
          <w:p w14:paraId="24A77DA0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（30分）</w:t>
            </w:r>
          </w:p>
        </w:tc>
        <w:tc>
          <w:tcPr>
            <w:tcW w:w="1228" w:type="dxa"/>
            <w:noWrap w:val="0"/>
            <w:vAlign w:val="center"/>
          </w:tcPr>
          <w:p w14:paraId="0F7A8AA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律所基本</w:t>
            </w:r>
          </w:p>
          <w:p w14:paraId="6341450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情况</w:t>
            </w:r>
          </w:p>
        </w:tc>
        <w:tc>
          <w:tcPr>
            <w:tcW w:w="5125" w:type="dxa"/>
            <w:noWrap w:val="0"/>
            <w:vAlign w:val="top"/>
          </w:tcPr>
          <w:p w14:paraId="69B3D343"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大型律师事务所（执业律师200人以上）的本土分支机构（执业律师10人以上）；</w:t>
            </w:r>
          </w:p>
          <w:p w14:paraId="7EC6BDA4"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参与过城市更新、整村统筹或物业统租项目；</w:t>
            </w:r>
          </w:p>
          <w:p w14:paraId="64BD67B7"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参与房屋租赁纠纷类案件20宗及以上（委托人应为国企、政府、集体单位）</w:t>
            </w:r>
          </w:p>
          <w:p w14:paraId="43969594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（1）满足3项，得15分</w:t>
            </w:r>
          </w:p>
          <w:p w14:paraId="038DE26B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（2）满足2项，得10分</w:t>
            </w:r>
          </w:p>
          <w:p w14:paraId="571E3912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（3）满足1项，得5分</w:t>
            </w:r>
          </w:p>
          <w:p w14:paraId="662837DE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（4）均不满足，得0分</w:t>
            </w:r>
          </w:p>
        </w:tc>
        <w:tc>
          <w:tcPr>
            <w:tcW w:w="900" w:type="dxa"/>
            <w:noWrap w:val="0"/>
            <w:vAlign w:val="top"/>
          </w:tcPr>
          <w:p w14:paraId="1295D51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72A7745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D88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center"/>
          </w:tcPr>
          <w:p w14:paraId="294150E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583AC63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FB715E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同类单位合作经验</w:t>
            </w:r>
          </w:p>
        </w:tc>
        <w:tc>
          <w:tcPr>
            <w:tcW w:w="5125" w:type="dxa"/>
            <w:noWrap w:val="0"/>
            <w:vAlign w:val="top"/>
          </w:tcPr>
          <w:p w14:paraId="257AF7B1"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5年内曾与8家及以上同类单位（含政府、国企、集体企业，下同）合作，得15分</w:t>
            </w:r>
          </w:p>
          <w:p w14:paraId="0D779E45"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5年内曾与4-7家及以上同类单位合作，得10分</w:t>
            </w:r>
          </w:p>
          <w:p w14:paraId="512D9439"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5年内曾与1-3家及以上同类单位合作，得3分</w:t>
            </w:r>
          </w:p>
          <w:p w14:paraId="54C3A8A6">
            <w:pPr>
              <w:numPr>
                <w:ilvl w:val="0"/>
                <w:numId w:val="2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无相关经验，得0分</w:t>
            </w:r>
          </w:p>
        </w:tc>
        <w:tc>
          <w:tcPr>
            <w:tcW w:w="900" w:type="dxa"/>
            <w:noWrap w:val="0"/>
            <w:vAlign w:val="top"/>
          </w:tcPr>
          <w:p w14:paraId="72DF882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41FF961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不含诉讼</w:t>
            </w:r>
          </w:p>
          <w:p w14:paraId="731EEFD5">
            <w:pPr>
              <w:pStyle w:val="2"/>
              <w:ind w:firstLine="420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14:paraId="329A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noWrap w:val="0"/>
            <w:vAlign w:val="center"/>
          </w:tcPr>
          <w:p w14:paraId="6DB88B3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5970D6B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法律顾问团队综合实力</w:t>
            </w:r>
          </w:p>
          <w:p w14:paraId="183AE16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（15分）</w:t>
            </w:r>
          </w:p>
        </w:tc>
        <w:tc>
          <w:tcPr>
            <w:tcW w:w="1228" w:type="dxa"/>
            <w:noWrap w:val="0"/>
            <w:vAlign w:val="center"/>
          </w:tcPr>
          <w:p w14:paraId="381B58E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律师执业年限</w:t>
            </w:r>
          </w:p>
        </w:tc>
        <w:tc>
          <w:tcPr>
            <w:tcW w:w="5125" w:type="dxa"/>
            <w:noWrap w:val="0"/>
            <w:vAlign w:val="top"/>
          </w:tcPr>
          <w:p w14:paraId="6932D230"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执业年限15年及以上，得10分</w:t>
            </w:r>
          </w:p>
          <w:p w14:paraId="58F8027C"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执业年限10-14年，得7分</w:t>
            </w:r>
          </w:p>
          <w:p w14:paraId="648FE1EA"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执业年限5-9年，得5分</w:t>
            </w:r>
          </w:p>
          <w:p w14:paraId="58629C05"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执业年限1-4年，得3分</w:t>
            </w:r>
          </w:p>
          <w:p w14:paraId="48C51043">
            <w:pPr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执业年限不足1年，得1分</w:t>
            </w:r>
          </w:p>
        </w:tc>
        <w:tc>
          <w:tcPr>
            <w:tcW w:w="900" w:type="dxa"/>
            <w:noWrap w:val="0"/>
            <w:vAlign w:val="top"/>
          </w:tcPr>
          <w:p w14:paraId="166F8B8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45389F0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以执业年限最高的为准</w:t>
            </w:r>
          </w:p>
        </w:tc>
      </w:tr>
      <w:tr w14:paraId="17907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noWrap w:val="0"/>
            <w:vAlign w:val="center"/>
          </w:tcPr>
          <w:p w14:paraId="40DF01E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6CBD8E0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9F06AB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工作经验匹配性</w:t>
            </w:r>
          </w:p>
        </w:tc>
        <w:tc>
          <w:tcPr>
            <w:tcW w:w="5125" w:type="dxa"/>
            <w:noWrap w:val="0"/>
            <w:vAlign w:val="top"/>
          </w:tcPr>
          <w:p w14:paraId="5BE9C465"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有国企、政府、集体单位服务年限：</w:t>
            </w:r>
          </w:p>
          <w:p w14:paraId="11AA1DD8"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服务满3年，得5分</w:t>
            </w:r>
          </w:p>
          <w:p w14:paraId="3C8CC6DF"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服务满2年，得3分</w:t>
            </w:r>
          </w:p>
          <w:p w14:paraId="49660342"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服务满1年，得1分</w:t>
            </w:r>
          </w:p>
          <w:p w14:paraId="3CECD980">
            <w:pPr>
              <w:numPr>
                <w:ilvl w:val="0"/>
                <w:numId w:val="4"/>
              </w:num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未服务过，得0分</w:t>
            </w:r>
          </w:p>
        </w:tc>
        <w:tc>
          <w:tcPr>
            <w:tcW w:w="900" w:type="dxa"/>
            <w:noWrap w:val="0"/>
            <w:vAlign w:val="top"/>
          </w:tcPr>
          <w:p w14:paraId="53FF4ACF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1B6E3B7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4100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00" w:type="dxa"/>
            <w:noWrap w:val="0"/>
            <w:vAlign w:val="center"/>
          </w:tcPr>
          <w:p w14:paraId="614AF44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1104" w:type="dxa"/>
            <w:noWrap w:val="0"/>
            <w:vAlign w:val="center"/>
          </w:tcPr>
          <w:p w14:paraId="5BF5554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服务方案（25分）</w:t>
            </w:r>
          </w:p>
        </w:tc>
        <w:tc>
          <w:tcPr>
            <w:tcW w:w="1228" w:type="dxa"/>
            <w:noWrap w:val="0"/>
            <w:vAlign w:val="center"/>
          </w:tcPr>
          <w:p w14:paraId="741B9D1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/</w:t>
            </w:r>
          </w:p>
        </w:tc>
        <w:tc>
          <w:tcPr>
            <w:tcW w:w="5125" w:type="dxa"/>
            <w:noWrap w:val="0"/>
            <w:vAlign w:val="top"/>
          </w:tcPr>
          <w:p w14:paraId="06E23D30">
            <w:pPr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是否符合律所以及区城投集团日常工作，详尽、完善、合理，具有可操作性，考虑是否派驻人员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服务便利性，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此项请采购小组成员酌情打分，最高分25分，最低分0分。</w:t>
            </w:r>
          </w:p>
        </w:tc>
        <w:tc>
          <w:tcPr>
            <w:tcW w:w="900" w:type="dxa"/>
            <w:noWrap w:val="0"/>
            <w:vAlign w:val="top"/>
          </w:tcPr>
          <w:p w14:paraId="73C079F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2F196F7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D6C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00" w:type="dxa"/>
            <w:noWrap w:val="0"/>
            <w:vAlign w:val="center"/>
          </w:tcPr>
          <w:p w14:paraId="34E8AD5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104" w:type="dxa"/>
            <w:noWrap w:val="0"/>
            <w:vAlign w:val="center"/>
          </w:tcPr>
          <w:p w14:paraId="71F08EA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报价</w:t>
            </w:r>
          </w:p>
          <w:p w14:paraId="7318272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（30分）</w:t>
            </w:r>
          </w:p>
        </w:tc>
        <w:tc>
          <w:tcPr>
            <w:tcW w:w="1228" w:type="dxa"/>
            <w:noWrap w:val="0"/>
            <w:vAlign w:val="center"/>
          </w:tcPr>
          <w:p w14:paraId="27D2D15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报价数额</w:t>
            </w:r>
          </w:p>
        </w:tc>
        <w:tc>
          <w:tcPr>
            <w:tcW w:w="5125" w:type="dxa"/>
            <w:noWrap w:val="0"/>
            <w:vAlign w:val="top"/>
          </w:tcPr>
          <w:p w14:paraId="1C66691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价格分计算方法：报价为平均数的为最高分即满分。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假设供应商的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报价结果分别为B1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B2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B3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...Bn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， 则报价的平均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为C=[B1＋B2＋B3＋……＋Bn]÷n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n的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报价得分=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{1-(∣Bn－C∣)÷C}</w:t>
            </w:r>
          </w:p>
        </w:tc>
        <w:tc>
          <w:tcPr>
            <w:tcW w:w="900" w:type="dxa"/>
            <w:noWrap w:val="0"/>
            <w:vAlign w:val="top"/>
          </w:tcPr>
          <w:p w14:paraId="0FD2689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29EE9E8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5A59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0" w:type="dxa"/>
            <w:noWrap w:val="0"/>
            <w:vAlign w:val="center"/>
          </w:tcPr>
          <w:p w14:paraId="39C39AF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104" w:type="dxa"/>
            <w:noWrap w:val="0"/>
            <w:vAlign w:val="center"/>
          </w:tcPr>
          <w:p w14:paraId="78E0DDA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总分100</w:t>
            </w:r>
          </w:p>
        </w:tc>
        <w:tc>
          <w:tcPr>
            <w:tcW w:w="1228" w:type="dxa"/>
            <w:noWrap w:val="0"/>
            <w:vAlign w:val="center"/>
          </w:tcPr>
          <w:p w14:paraId="7B05205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125" w:type="dxa"/>
            <w:noWrap w:val="0"/>
            <w:vAlign w:val="top"/>
          </w:tcPr>
          <w:p w14:paraId="48B9880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0F6964FF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20" w:type="dxa"/>
            <w:noWrap w:val="0"/>
            <w:vAlign w:val="top"/>
          </w:tcPr>
          <w:p w14:paraId="081513A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 w14:paraId="2A011A8B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center"/>
        <w:rPr>
          <w:rFonts w:hint="default" w:ascii="宋体" w:hAnsi="宋体" w:eastAsia="宋体" w:cs="宋体"/>
          <w:kern w:val="2"/>
          <w:sz w:val="36"/>
          <w:szCs w:val="36"/>
        </w:rPr>
      </w:pPr>
      <w:r>
        <w:rPr>
          <w:rFonts w:hint="eastAsia" w:ascii="Calibri" w:hAnsi="Calibri" w:eastAsia="PingFang SC Regular" w:cs="Times New Roman"/>
          <w:kern w:val="2"/>
          <w:sz w:val="36"/>
          <w:szCs w:val="36"/>
          <w:lang w:val="en-US" w:eastAsia="zh-CN" w:bidi="ar-SA"/>
        </w:rPr>
        <w:t>常年法律顾问服务采购</w:t>
      </w:r>
      <w:r>
        <w:rPr>
          <w:rFonts w:eastAsia="PingFang SC Regular"/>
          <w:kern w:val="2"/>
          <w:sz w:val="36"/>
          <w:szCs w:val="36"/>
        </w:rPr>
        <w:t>综合评分</w:t>
      </w:r>
    </w:p>
    <w:p w14:paraId="55F25F7A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firstLine="420"/>
        <w:jc w:val="both"/>
        <w:rPr>
          <w:rFonts w:ascii="黑体" w:hAnsi="黑体" w:eastAsia="黑体" w:cs="黑体"/>
          <w:kern w:val="2"/>
          <w:sz w:val="21"/>
          <w:szCs w:val="21"/>
          <w:highlight w:val="none"/>
        </w:rPr>
      </w:pPr>
    </w:p>
    <w:p w14:paraId="195BBA44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firstLine="420"/>
        <w:jc w:val="both"/>
        <w:rPr>
          <w:rFonts w:hint="default" w:ascii="黑体" w:hAnsi="黑体" w:eastAsia="黑体" w:cs="黑体"/>
          <w:kern w:val="2"/>
          <w:sz w:val="21"/>
          <w:szCs w:val="21"/>
          <w:highlight w:val="none"/>
        </w:rPr>
      </w:pP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备注：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1.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各项评审打分按照四舍五入，小数点后保留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2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位进行计算；</w:t>
      </w:r>
    </w:p>
    <w:p w14:paraId="5CB53EAF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left="1050" w:hanging="1050"/>
        <w:jc w:val="both"/>
        <w:rPr>
          <w:rFonts w:hint="default"/>
          <w:highlight w:val="none"/>
        </w:rPr>
      </w:pP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 xml:space="preserve">          2.</w:t>
      </w:r>
      <w:r>
        <w:rPr>
          <w:rFonts w:hint="eastAsia"/>
          <w:b/>
          <w:bCs/>
          <w:lang w:val="en-US" w:eastAsia="zh-CN"/>
        </w:rPr>
        <w:t>综合得分相同且服务业绩得分相同的，以技术方案得分高者为中标单位。</w:t>
      </w:r>
    </w:p>
    <w:p w14:paraId="1628757D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B8E88"/>
    <w:multiLevelType w:val="singleLevel"/>
    <w:tmpl w:val="9B9B8E8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1A9B651"/>
    <w:multiLevelType w:val="singleLevel"/>
    <w:tmpl w:val="D1A9B65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95C9566"/>
    <w:multiLevelType w:val="singleLevel"/>
    <w:tmpl w:val="F95C956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F3D94A1"/>
    <w:multiLevelType w:val="singleLevel"/>
    <w:tmpl w:val="2F3D94A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74BBC"/>
    <w:rsid w:val="17E74BBC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2025-08-22T06:29:00Z</dcterms:created>
  <dc:creator>實誠</dc:creator>
  <cp:lastModifiedBy>實誠</cp:lastModifiedBy>
  <dcterms:modified xsi:type="dcterms:W3CDTF">2025-08-22T06:29:41Z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730E026B0CA54D9BB8EFF5031B71D683_11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