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CD4AB">
      <w:pPr>
        <w:jc w:val="center"/>
        <w:rPr>
          <w:rFonts w:hint="eastAsia" w:eastAsia="宋体"/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综合评分表</w:t>
      </w:r>
    </w:p>
    <w:tbl>
      <w:tblPr>
        <w:tblStyle w:val="5"/>
        <w:tblW w:w="51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49"/>
        <w:gridCol w:w="720"/>
        <w:gridCol w:w="7669"/>
      </w:tblGrid>
      <w:tr w14:paraId="2261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36" w:type="pct"/>
            <w:vAlign w:val="center"/>
          </w:tcPr>
          <w:p w14:paraId="30E64EBE">
            <w:pPr>
              <w:spacing w:line="276" w:lineRule="auto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序号</w:t>
            </w:r>
          </w:p>
        </w:tc>
        <w:tc>
          <w:tcPr>
            <w:tcW w:w="562" w:type="pct"/>
            <w:vAlign w:val="center"/>
          </w:tcPr>
          <w:p w14:paraId="1FF5D641">
            <w:pPr>
              <w:spacing w:line="276" w:lineRule="auto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评分内容</w:t>
            </w:r>
          </w:p>
        </w:tc>
        <w:tc>
          <w:tcPr>
            <w:tcW w:w="352" w:type="pct"/>
            <w:vAlign w:val="center"/>
          </w:tcPr>
          <w:p w14:paraId="073DDD2C">
            <w:pPr>
              <w:spacing w:line="276" w:lineRule="auto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分值</w:t>
            </w:r>
          </w:p>
        </w:tc>
        <w:tc>
          <w:tcPr>
            <w:tcW w:w="3748" w:type="pct"/>
            <w:vAlign w:val="center"/>
          </w:tcPr>
          <w:p w14:paraId="725391A3">
            <w:pPr>
              <w:spacing w:line="276" w:lineRule="auto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评分标准</w:t>
            </w:r>
          </w:p>
        </w:tc>
      </w:tr>
      <w:tr w14:paraId="2CF9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000" w:type="pct"/>
            <w:gridSpan w:val="4"/>
            <w:vAlign w:val="center"/>
          </w:tcPr>
          <w:p w14:paraId="52BC797C">
            <w:pPr>
              <w:spacing w:line="276" w:lineRule="auto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价格评分（</w:t>
            </w:r>
            <w:r>
              <w:rPr>
                <w:rFonts w:hint="eastAsia" w:ascii="宋体" w:hAnsi="宋体" w:cs="宋体"/>
                <w:b/>
                <w:sz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sz w:val="22"/>
              </w:rPr>
              <w:t>分）</w:t>
            </w:r>
          </w:p>
        </w:tc>
      </w:tr>
      <w:tr w14:paraId="52FE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336" w:type="pct"/>
            <w:vAlign w:val="center"/>
          </w:tcPr>
          <w:p w14:paraId="608F8343">
            <w:pPr>
              <w:spacing w:line="276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562" w:type="pct"/>
            <w:vAlign w:val="center"/>
          </w:tcPr>
          <w:p w14:paraId="6EAE84B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检测服务价格</w:t>
            </w:r>
          </w:p>
        </w:tc>
        <w:tc>
          <w:tcPr>
            <w:tcW w:w="352" w:type="pct"/>
            <w:vAlign w:val="center"/>
          </w:tcPr>
          <w:p w14:paraId="43799D19">
            <w:pPr>
              <w:spacing w:line="276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2"/>
              </w:rPr>
              <w:t>分</w:t>
            </w:r>
          </w:p>
        </w:tc>
        <w:tc>
          <w:tcPr>
            <w:tcW w:w="3748" w:type="pct"/>
            <w:vAlign w:val="center"/>
          </w:tcPr>
          <w:p w14:paraId="007A2090">
            <w:pPr>
              <w:spacing w:line="276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价格分计算方法：满足招标文件要求且投标价格最低的投标报价为评标基准价，其价格分为满分。其他投标人的价格分统一按照下列公式计算：投标报价得分=(评标基准价／投标报价)×价格权重（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2"/>
              </w:rPr>
              <w:t>%）×100。</w:t>
            </w:r>
          </w:p>
        </w:tc>
      </w:tr>
      <w:tr w14:paraId="3D96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000" w:type="pct"/>
            <w:gridSpan w:val="4"/>
            <w:vAlign w:val="center"/>
          </w:tcPr>
          <w:p w14:paraId="442DDFA4">
            <w:pPr>
              <w:spacing w:line="276" w:lineRule="auto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商务评分（</w:t>
            </w:r>
            <w:r>
              <w:rPr>
                <w:rFonts w:hint="eastAsia" w:ascii="宋体" w:hAnsi="宋体" w:cs="宋体"/>
                <w:b/>
                <w:sz w:val="22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sz w:val="22"/>
              </w:rPr>
              <w:t>分）</w:t>
            </w:r>
          </w:p>
        </w:tc>
      </w:tr>
      <w:tr w14:paraId="5F09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336" w:type="pct"/>
            <w:vAlign w:val="center"/>
          </w:tcPr>
          <w:p w14:paraId="4103513C"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1</w:t>
            </w:r>
          </w:p>
        </w:tc>
        <w:tc>
          <w:tcPr>
            <w:tcW w:w="562" w:type="pct"/>
            <w:vAlign w:val="center"/>
          </w:tcPr>
          <w:p w14:paraId="6E92A2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投标人</w:t>
            </w:r>
          </w:p>
          <w:p w14:paraId="295D0333"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企业资质情况</w:t>
            </w:r>
          </w:p>
        </w:tc>
        <w:tc>
          <w:tcPr>
            <w:tcW w:w="352" w:type="pct"/>
            <w:vAlign w:val="center"/>
          </w:tcPr>
          <w:p w14:paraId="70A81237">
            <w:pPr>
              <w:widowControl/>
              <w:spacing w:after="0" w:line="276" w:lineRule="auto"/>
              <w:jc w:val="center"/>
              <w:rPr>
                <w:rFonts w:hint="default" w:ascii="宋体" w:hAnsi="宋体" w:cs="宋体"/>
                <w:color w:val="auto"/>
                <w:sz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分</w:t>
            </w:r>
          </w:p>
        </w:tc>
        <w:tc>
          <w:tcPr>
            <w:tcW w:w="3748" w:type="pct"/>
            <w:vAlign w:val="center"/>
          </w:tcPr>
          <w:p w14:paraId="78BE4CBC">
            <w:pPr>
              <w:widowControl/>
              <w:jc w:val="both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（一）评分内容</w:t>
            </w:r>
          </w:p>
          <w:p w14:paraId="22C99537">
            <w:pPr>
              <w:widowControl/>
              <w:jc w:val="both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1、具有企业信用等级证书：AAA级信用企业得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，AA级信用企业得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，A级信用企业得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  <w:p w14:paraId="154BFD85">
            <w:pPr>
              <w:jc w:val="both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（二）评分依据</w:t>
            </w:r>
          </w:p>
          <w:p w14:paraId="657A00F3">
            <w:pPr>
              <w:widowControl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提供相关证书复印件。</w:t>
            </w:r>
          </w:p>
        </w:tc>
      </w:tr>
      <w:tr w14:paraId="45E1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4" w:hRule="atLeast"/>
          <w:jc w:val="center"/>
        </w:trPr>
        <w:tc>
          <w:tcPr>
            <w:tcW w:w="336" w:type="pct"/>
            <w:vAlign w:val="center"/>
          </w:tcPr>
          <w:p w14:paraId="11758B97">
            <w:pPr>
              <w:spacing w:before="156" w:beforeLines="50" w:line="276" w:lineRule="auto"/>
              <w:jc w:val="center"/>
              <w:rPr>
                <w:rFonts w:hint="eastAsia" w:ascii="宋体" w:hAnsi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</w:t>
            </w:r>
          </w:p>
        </w:tc>
        <w:tc>
          <w:tcPr>
            <w:tcW w:w="562" w:type="pct"/>
            <w:vAlign w:val="center"/>
          </w:tcPr>
          <w:p w14:paraId="1438BD87">
            <w:pPr>
              <w:spacing w:before="156" w:beforeLines="50" w:line="276" w:lineRule="auto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业绩</w:t>
            </w:r>
          </w:p>
        </w:tc>
        <w:tc>
          <w:tcPr>
            <w:tcW w:w="352" w:type="pct"/>
            <w:vAlign w:val="center"/>
          </w:tcPr>
          <w:p w14:paraId="032ECC4B">
            <w:pPr>
              <w:spacing w:before="0" w:beforeLines="-2147483648" w:line="276" w:lineRule="auto"/>
              <w:jc w:val="center"/>
              <w:rPr>
                <w:rFonts w:hint="eastAsia" w:ascii="宋体" w:hAnsi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2"/>
              </w:rPr>
              <w:t>分</w:t>
            </w:r>
          </w:p>
        </w:tc>
        <w:tc>
          <w:tcPr>
            <w:tcW w:w="3748" w:type="pct"/>
            <w:vAlign w:val="center"/>
          </w:tcPr>
          <w:p w14:paraId="09840158"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（一）评分内容</w:t>
            </w:r>
          </w:p>
          <w:p w14:paraId="3F9EF9F8"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投标人近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（本项目投标截止日止倒算）</w:t>
            </w:r>
            <w:r>
              <w:rPr>
                <w:rFonts w:hint="eastAsia"/>
              </w:rPr>
              <w:t>以合同签订日期为准：投标人每具有一项“</w:t>
            </w:r>
            <w:r>
              <w:rPr>
                <w:rFonts w:hint="eastAsia"/>
                <w:lang w:eastAsia="zh-CN"/>
              </w:rPr>
              <w:t>消防检测</w:t>
            </w:r>
            <w:r>
              <w:rPr>
                <w:rFonts w:hint="eastAsia"/>
              </w:rPr>
              <w:t>服务”的服务项目业绩，且服务评价为“满意”或“优秀”或“优”或“良好”或“良”的(如服务评价证明不能反映上述评价内容的不得分)，每具有一个“满意”或“优秀”或“优”或“良好”或“良”的评价证明的得</w:t>
            </w:r>
            <w:r>
              <w:rPr>
                <w:rFonts w:hint="eastAsia"/>
                <w:lang w:val="en-US" w:eastAsia="zh-CN"/>
              </w:rPr>
              <w:t>3分</w:t>
            </w:r>
            <w:r>
              <w:rPr>
                <w:rFonts w:hint="eastAsia"/>
              </w:rPr>
              <w:t>，最高得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  <w:lang w:eastAsia="zh-CN"/>
              </w:rPr>
              <w:t>分</w:t>
            </w:r>
            <w:r>
              <w:rPr>
                <w:rFonts w:hint="eastAsia"/>
              </w:rPr>
              <w:t>。</w:t>
            </w:r>
          </w:p>
          <w:p w14:paraId="785EADA5"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（二）评分依据</w:t>
            </w:r>
          </w:p>
          <w:p w14:paraId="1F9C9944"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证明材料：提供服务评价证明文件及合同关键页，出具服务评价证明的必须为合同甲方。</w:t>
            </w:r>
          </w:p>
          <w:p w14:paraId="345764A5"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同一项目续签合同的不重复计分；每个项目须单独开具评价证明。如涉及到需要判断是否为同一项目续签的情形，如项目名称相同、出具评价证明单位相同的，投标人应提供能判别为不属同一项目续签的相关证明材料（如中标通知书或能反映不属同一项目续签的合同关键页），如不能判别，评标委员会有权对投标人作出不利判断。项目名称相同、出具服务评价证明单位相同，但是经过重新组织招标、招标编号不同的，不属同一项目续签。</w:t>
            </w:r>
          </w:p>
        </w:tc>
      </w:tr>
      <w:tr w14:paraId="319D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000" w:type="pct"/>
            <w:gridSpan w:val="4"/>
            <w:vAlign w:val="center"/>
          </w:tcPr>
          <w:p w14:paraId="57738283">
            <w:pPr>
              <w:spacing w:line="276" w:lineRule="auto"/>
              <w:ind w:firstLine="455" w:firstLineChars="206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技术评分（</w:t>
            </w:r>
            <w:r>
              <w:rPr>
                <w:rFonts w:hint="eastAsia" w:ascii="宋体" w:hAnsi="宋体" w:cs="宋体"/>
                <w:b/>
                <w:sz w:val="22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b/>
                <w:sz w:val="22"/>
              </w:rPr>
              <w:t>分）</w:t>
            </w:r>
          </w:p>
        </w:tc>
      </w:tr>
      <w:tr w14:paraId="0996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2" w:hRule="atLeast"/>
          <w:jc w:val="center"/>
        </w:trPr>
        <w:tc>
          <w:tcPr>
            <w:tcW w:w="336" w:type="pct"/>
            <w:vAlign w:val="center"/>
          </w:tcPr>
          <w:p w14:paraId="1ED831C9">
            <w:pPr>
              <w:spacing w:before="156" w:beforeLines="50" w:line="276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562" w:type="pct"/>
            <w:vAlign w:val="center"/>
          </w:tcPr>
          <w:p w14:paraId="06ECA05E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项目</w:t>
            </w:r>
            <w:r>
              <w:rPr>
                <w:szCs w:val="21"/>
              </w:rPr>
              <w:t>实施</w:t>
            </w:r>
          </w:p>
          <w:p w14:paraId="14DFE5D8">
            <w:pPr>
              <w:wordWrap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szCs w:val="21"/>
              </w:rPr>
              <w:t>方案</w:t>
            </w:r>
          </w:p>
        </w:tc>
        <w:tc>
          <w:tcPr>
            <w:tcW w:w="352" w:type="pct"/>
            <w:vAlign w:val="center"/>
          </w:tcPr>
          <w:p w14:paraId="517A322E">
            <w:pPr>
              <w:wordWrap/>
              <w:spacing w:line="276" w:lineRule="auto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20分</w:t>
            </w:r>
          </w:p>
        </w:tc>
        <w:tc>
          <w:tcPr>
            <w:tcW w:w="3748" w:type="pct"/>
            <w:vAlign w:val="center"/>
          </w:tcPr>
          <w:p w14:paraId="43E04CD4">
            <w:pPr>
              <w:spacing w:line="276" w:lineRule="auto"/>
              <w:jc w:val="both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（一）评分内容：</w:t>
            </w:r>
          </w:p>
          <w:p w14:paraId="7E7710BC">
            <w:pPr>
              <w:spacing w:line="276" w:lineRule="auto"/>
              <w:jc w:val="both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1.根据本项目招标要求、使用特点提出合理的服务理念，提出服务定位、目标，投标人的管理模式能够切合实际，且安全可行，保密性、安全性、文明服务的计划及承诺情况；</w:t>
            </w:r>
          </w:p>
          <w:p w14:paraId="6EEF8592">
            <w:pPr>
              <w:spacing w:line="276" w:lineRule="auto"/>
              <w:jc w:val="both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有完善的管理制度、作业流程、时效要求、监督机制、信息反馈渠道及处理机制，管理指标承诺达到招标要求。应急预案措施的科学合理，建立和完善档案管理制度，体现标准化服务，管理服务水平是否符合国家和行业标准；</w:t>
            </w:r>
          </w:p>
          <w:p w14:paraId="6A8FCC8D">
            <w:pPr>
              <w:spacing w:line="276" w:lineRule="auto"/>
              <w:jc w:val="both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3.有比较完善的组织架构，专业工种上岗资质齐备，人员素质、技术能力、经验符合招标要求；管理制度、培训计划周密。</w:t>
            </w:r>
          </w:p>
          <w:p w14:paraId="4C008301">
            <w:pPr>
              <w:spacing w:line="276" w:lineRule="auto"/>
              <w:jc w:val="both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</w:rPr>
              <w:t>.制定人员稳定性、积极性管理方案。</w:t>
            </w:r>
          </w:p>
          <w:p w14:paraId="7170723F">
            <w:pPr>
              <w:spacing w:line="276" w:lineRule="auto"/>
              <w:jc w:val="both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（二）评分依据：</w:t>
            </w:r>
          </w:p>
          <w:p w14:paraId="7A025919">
            <w:pPr>
              <w:spacing w:line="276" w:lineRule="auto"/>
              <w:jc w:val="both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1.提供上述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</w:rPr>
              <w:t>项完整内容的得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</w:rPr>
              <w:t>分；提供上述2项的得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2"/>
              </w:rPr>
              <w:t>分；少于2项得分为0分。</w:t>
            </w:r>
          </w:p>
          <w:p w14:paraId="77F7F9D8">
            <w:pPr>
              <w:spacing w:line="276" w:lineRule="auto"/>
              <w:jc w:val="both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2.在此基础上，由评审委员会进行评价：</w:t>
            </w:r>
          </w:p>
          <w:p w14:paraId="236F108E">
            <w:pPr>
              <w:spacing w:line="276" w:lineRule="auto"/>
              <w:jc w:val="both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（1）方案整体科学合理、针对性强、可操作性强，评审为优加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2"/>
              </w:rPr>
              <w:t>分；</w:t>
            </w:r>
          </w:p>
          <w:p w14:paraId="5DF84D22">
            <w:pPr>
              <w:spacing w:line="276" w:lineRule="auto"/>
              <w:jc w:val="both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（2）方案较合理、有一定针对性、一定可操作性，评审为良加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2"/>
              </w:rPr>
              <w:t>分；</w:t>
            </w:r>
          </w:p>
          <w:p w14:paraId="561E287B">
            <w:pPr>
              <w:spacing w:line="276" w:lineRule="auto"/>
              <w:jc w:val="both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（3）方案不尽合理、针对性一般、可操作性一般，评审为中加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</w:rPr>
              <w:t>分；</w:t>
            </w:r>
          </w:p>
          <w:p w14:paraId="0083434A">
            <w:pPr>
              <w:spacing w:line="276" w:lineRule="auto"/>
              <w:jc w:val="both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（4）方案不合理、无针对性、无可操作性，评审为差得0分。</w:t>
            </w:r>
          </w:p>
        </w:tc>
      </w:tr>
      <w:tr w14:paraId="6A4E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336" w:type="pct"/>
            <w:vAlign w:val="center"/>
          </w:tcPr>
          <w:p w14:paraId="16FF8B5D"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</w:t>
            </w:r>
          </w:p>
        </w:tc>
        <w:tc>
          <w:tcPr>
            <w:tcW w:w="562" w:type="pct"/>
            <w:vAlign w:val="center"/>
          </w:tcPr>
          <w:p w14:paraId="79EBFDA9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项目重点难点分析、应对措施及合理化建议评价</w:t>
            </w:r>
          </w:p>
        </w:tc>
        <w:tc>
          <w:tcPr>
            <w:tcW w:w="352" w:type="pct"/>
            <w:vAlign w:val="center"/>
          </w:tcPr>
          <w:p w14:paraId="2D461B05">
            <w:pPr>
              <w:wordWrap/>
              <w:spacing w:line="276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3748" w:type="pct"/>
            <w:vAlign w:val="center"/>
          </w:tcPr>
          <w:p w14:paraId="19615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（一）评分内容：</w:t>
            </w:r>
          </w:p>
          <w:p w14:paraId="7D1C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投标人能够准确对项目重点难点进行分析，提供应对措施及相关的合理化建议及解决方案。</w:t>
            </w:r>
          </w:p>
          <w:p w14:paraId="680D6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（二）评分依据：</w:t>
            </w:r>
          </w:p>
          <w:p w14:paraId="62F46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1.方案整体科学合理、针对性强、可操作性强，评审为优加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2"/>
              </w:rPr>
              <w:t>分；</w:t>
            </w:r>
          </w:p>
          <w:p w14:paraId="015F3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2"/>
              </w:rPr>
              <w:t>方案较合理、有一定针对性、一定可操作性，评审为良加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2"/>
              </w:rPr>
              <w:t>分；</w:t>
            </w:r>
          </w:p>
          <w:p w14:paraId="5711E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2"/>
              </w:rPr>
              <w:t>方案不尽合理、针对性一般、可操作性一般，评审为中加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</w:rPr>
              <w:t>分；</w:t>
            </w:r>
          </w:p>
          <w:p w14:paraId="305D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2"/>
              </w:rPr>
              <w:t>方案不合理、无针对性、无可操作性，评审为差得0分。</w:t>
            </w:r>
          </w:p>
        </w:tc>
      </w:tr>
      <w:tr w14:paraId="2FBC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336" w:type="pct"/>
            <w:vAlign w:val="center"/>
          </w:tcPr>
          <w:p w14:paraId="4C86EAC0"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3</w:t>
            </w:r>
          </w:p>
        </w:tc>
        <w:tc>
          <w:tcPr>
            <w:tcW w:w="562" w:type="pct"/>
            <w:vAlign w:val="center"/>
          </w:tcPr>
          <w:p w14:paraId="15488885">
            <w:pPr>
              <w:widowControl/>
              <w:snapToGrid w:val="0"/>
              <w:spacing w:after="78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投入本项目的人员配备情况</w:t>
            </w:r>
          </w:p>
        </w:tc>
        <w:tc>
          <w:tcPr>
            <w:tcW w:w="352" w:type="pct"/>
            <w:vAlign w:val="center"/>
          </w:tcPr>
          <w:p w14:paraId="48ABB0FD">
            <w:pPr>
              <w:widowControl/>
              <w:spacing w:after="0"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10分</w:t>
            </w:r>
          </w:p>
        </w:tc>
        <w:tc>
          <w:tcPr>
            <w:tcW w:w="3748" w:type="pct"/>
            <w:vAlign w:val="center"/>
          </w:tcPr>
          <w:p w14:paraId="1682A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（一）评分内容</w:t>
            </w:r>
          </w:p>
          <w:p w14:paraId="2E310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eastAsia="zh-CN"/>
              </w:rPr>
              <w:t>对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拟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eastAsia="zh-CN"/>
              </w:rPr>
              <w:t>投入本项目的人员配备情况进行横向比较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  <w:p w14:paraId="6F60A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（二）评分依据</w:t>
            </w:r>
          </w:p>
          <w:p w14:paraId="007B9E3F">
            <w:pPr>
              <w:widowControl/>
              <w:snapToGrid w:val="0"/>
              <w:spacing w:after="78"/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证明材料：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项目负责人必须为投标人自有员工，提供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身份证、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相关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资质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证书、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学历验证证明或网上验证结果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及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社保证明等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复印件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。</w:t>
            </w:r>
          </w:p>
          <w:p w14:paraId="5C2764EE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优秀得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10分，良好得5分，一般得2分，差不得分。</w:t>
            </w:r>
          </w:p>
        </w:tc>
      </w:tr>
      <w:tr w14:paraId="7D44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336" w:type="pct"/>
            <w:vAlign w:val="center"/>
          </w:tcPr>
          <w:p w14:paraId="618D21FC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562" w:type="pct"/>
            <w:vAlign w:val="center"/>
          </w:tcPr>
          <w:p w14:paraId="0830EA12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响应文件规范性</w:t>
            </w:r>
          </w:p>
        </w:tc>
        <w:tc>
          <w:tcPr>
            <w:tcW w:w="352" w:type="pct"/>
            <w:vAlign w:val="center"/>
          </w:tcPr>
          <w:p w14:paraId="4B8EFDA1">
            <w:pPr>
              <w:widowControl/>
              <w:spacing w:after="0" w:line="276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5分</w:t>
            </w:r>
          </w:p>
        </w:tc>
        <w:tc>
          <w:tcPr>
            <w:tcW w:w="3748" w:type="pct"/>
            <w:vAlign w:val="center"/>
          </w:tcPr>
          <w:p w14:paraId="06B84EA7">
            <w:pPr>
              <w:widowControl/>
              <w:jc w:val="both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文件有缺漏项但未导致实质性偏离的扣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；</w:t>
            </w:r>
          </w:p>
          <w:p w14:paraId="56A7692F">
            <w:pPr>
              <w:widowControl/>
              <w:jc w:val="both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2、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文件资料不清晰的扣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；</w:t>
            </w:r>
          </w:p>
          <w:p w14:paraId="2B1A41FD">
            <w:pPr>
              <w:widowControl/>
              <w:jc w:val="both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3、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文件编排混乱的扣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1分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；</w:t>
            </w:r>
          </w:p>
          <w:p w14:paraId="1330852A">
            <w:pPr>
              <w:widowControl/>
              <w:jc w:val="both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无上述情况本项得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</w:tc>
      </w:tr>
    </w:tbl>
    <w:p w14:paraId="6A6C7F79">
      <w:pPr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lY2Y0OGNiMjgzNjdmOTAxN2RjMzA0MTIxNTZkNDUifQ=="/>
  </w:docVars>
  <w:rsids>
    <w:rsidRoot w:val="00B80BD1"/>
    <w:rsid w:val="001D4ABD"/>
    <w:rsid w:val="00400DE8"/>
    <w:rsid w:val="00773861"/>
    <w:rsid w:val="009959FE"/>
    <w:rsid w:val="00B80BD1"/>
    <w:rsid w:val="023A252E"/>
    <w:rsid w:val="02D15385"/>
    <w:rsid w:val="03941990"/>
    <w:rsid w:val="04C04414"/>
    <w:rsid w:val="082C7B74"/>
    <w:rsid w:val="0AF21B25"/>
    <w:rsid w:val="0C5B1592"/>
    <w:rsid w:val="1200623C"/>
    <w:rsid w:val="14036BC3"/>
    <w:rsid w:val="152E225E"/>
    <w:rsid w:val="17EE43EC"/>
    <w:rsid w:val="1EE2069D"/>
    <w:rsid w:val="29080D00"/>
    <w:rsid w:val="2C5F0DBB"/>
    <w:rsid w:val="2DEE2BBA"/>
    <w:rsid w:val="35CA0B78"/>
    <w:rsid w:val="3BE313D4"/>
    <w:rsid w:val="3E196E1B"/>
    <w:rsid w:val="3F774768"/>
    <w:rsid w:val="49592251"/>
    <w:rsid w:val="4A3263F8"/>
    <w:rsid w:val="4B17235A"/>
    <w:rsid w:val="4C712FC9"/>
    <w:rsid w:val="4D215EA9"/>
    <w:rsid w:val="50EA6413"/>
    <w:rsid w:val="565F3782"/>
    <w:rsid w:val="58080153"/>
    <w:rsid w:val="5EFA26D4"/>
    <w:rsid w:val="626340A8"/>
    <w:rsid w:val="627011FB"/>
    <w:rsid w:val="68CD6753"/>
    <w:rsid w:val="6E4642B0"/>
    <w:rsid w:val="6EA254E0"/>
    <w:rsid w:val="76D821C0"/>
    <w:rsid w:val="789C633C"/>
    <w:rsid w:val="7A745B58"/>
    <w:rsid w:val="7ADE6784"/>
    <w:rsid w:val="7B0F0C87"/>
    <w:rsid w:val="FCBA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link w:val="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autoRedefine/>
    <w:unhideWhenUsed/>
    <w:qFormat/>
    <w:uiPriority w:val="0"/>
    <w:pPr>
      <w:spacing w:after="120"/>
    </w:p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sz w:val="18"/>
      <w:szCs w:val="18"/>
      <w:u w:val="none"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000000"/>
      <w:u w:val="none"/>
    </w:rPr>
  </w:style>
  <w:style w:type="character" w:customStyle="1" w:styleId="9">
    <w:name w:val="标题 4 字符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0">
    <w:name w:val="正文文本 字符"/>
    <w:basedOn w:val="6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正文文本 字符3"/>
    <w:basedOn w:val="6"/>
    <w:link w:val="2"/>
    <w:qFormat/>
    <w:uiPriority w:val="0"/>
    <w:rPr>
      <w:rFonts w:ascii="Calibri" w:hAnsi="Calibri" w:eastAsia="宋体" w:cs="Times New Roman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lc2_menubar_label"/>
    <w:basedOn w:val="6"/>
    <w:qFormat/>
    <w:uiPriority w:val="0"/>
  </w:style>
  <w:style w:type="character" w:customStyle="1" w:styleId="14">
    <w:name w:val="after"/>
    <w:basedOn w:val="6"/>
    <w:qFormat/>
    <w:uiPriority w:val="0"/>
  </w:style>
  <w:style w:type="character" w:customStyle="1" w:styleId="15">
    <w:name w:val="hover26"/>
    <w:basedOn w:val="6"/>
    <w:qFormat/>
    <w:uiPriority w:val="0"/>
    <w:rPr>
      <w:shd w:val="clear" w:fill="1776CC"/>
    </w:rPr>
  </w:style>
  <w:style w:type="character" w:customStyle="1" w:styleId="16">
    <w:name w:val="hover27"/>
    <w:basedOn w:val="6"/>
    <w:autoRedefine/>
    <w:qFormat/>
    <w:uiPriority w:val="0"/>
  </w:style>
  <w:style w:type="character" w:customStyle="1" w:styleId="17">
    <w:name w:val="hover28"/>
    <w:basedOn w:val="6"/>
    <w:qFormat/>
    <w:uiPriority w:val="0"/>
  </w:style>
  <w:style w:type="character" w:customStyle="1" w:styleId="18">
    <w:name w:val="hover29"/>
    <w:basedOn w:val="6"/>
    <w:qFormat/>
    <w:uiPriority w:val="0"/>
  </w:style>
  <w:style w:type="character" w:customStyle="1" w:styleId="19">
    <w:name w:val="hover30"/>
    <w:basedOn w:val="6"/>
    <w:qFormat/>
    <w:uiPriority w:val="0"/>
  </w:style>
  <w:style w:type="character" w:customStyle="1" w:styleId="20">
    <w:name w:val="nth-child(2)"/>
    <w:basedOn w:val="6"/>
    <w:qFormat/>
    <w:uiPriority w:val="0"/>
  </w:style>
  <w:style w:type="character" w:customStyle="1" w:styleId="21">
    <w:name w:val="first-child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1470</Words>
  <Characters>1502</Characters>
  <Lines>13</Lines>
  <Paragraphs>3</Paragraphs>
  <TotalTime>47</TotalTime>
  <ScaleCrop>false</ScaleCrop>
  <LinksUpToDate>false</LinksUpToDate>
  <CharactersWithSpaces>1502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2021-08-05T17:21:00Z</dcterms:created>
  <dc:creator>Administrator</dc:creator>
  <cp:lastModifiedBy>电气消防检测-陈</cp:lastModifiedBy>
  <cp:lastPrinted>2022-12-19T17:41:00Z</cp:lastPrinted>
  <dcterms:modified xsi:type="dcterms:W3CDTF">2025-07-04T06:26:06Z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ACC7CA890C6843E68AA02125AEBD0E36</vt:lpwstr>
  </property>
  <property fmtid="{D5CDD505-2E9C-101B-9397-08002B2CF9AE}" pid="4" name="KSOTemplateDocerSaveRecord">
    <vt:lpwstr>eyJoZGlkIjoiMTBjZGZkZjEyZmY0YmQxMzA3NmM1NmE4YmZjZjk0ZDYiLCJ1c2VySWQiOiIzMDc4MjEyNDUifQ==</vt:lpwstr>
  </property>
</Properties>
</file>