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ED3F2">
      <w:pPr>
        <w:rPr>
          <w:rFonts w:hint="eastAsia" w:ascii="仿宋_GB2312" w:hAnsi="Times New Roman" w:eastAsia="仿宋_GB2312" w:cs="Times New Roman"/>
          <w:b/>
          <w:bCs/>
          <w:color w:val="auto"/>
          <w:sz w:val="30"/>
          <w:szCs w:val="30"/>
          <w:lang w:val="en-US" w:eastAsia="zh-CN"/>
        </w:rPr>
      </w:pPr>
      <w:bookmarkStart w:id="1" w:name="_GoBack"/>
      <w:r>
        <w:rPr>
          <w:rFonts w:hint="eastAsia" w:ascii="仿宋_GB2312" w:hAnsi="Times New Roman" w:eastAsia="仿宋_GB2312" w:cs="Times New Roman"/>
          <w:b/>
          <w:bCs/>
          <w:color w:val="auto"/>
          <w:sz w:val="30"/>
          <w:szCs w:val="30"/>
          <w:lang w:val="en-US" w:eastAsia="zh-CN"/>
        </w:rPr>
        <w:t>附件四：项目需求书</w:t>
      </w:r>
    </w:p>
    <w:bookmarkEnd w:id="1"/>
    <w:p w14:paraId="6341A1D6">
      <w:pPr>
        <w:pStyle w:val="3"/>
        <w:jc w:val="center"/>
        <w:rPr>
          <w:highlight w:val="none"/>
        </w:rPr>
      </w:pPr>
      <w:r>
        <w:rPr>
          <w:rFonts w:hint="eastAsia"/>
        </w:rPr>
        <w:t>深圳市新质生产力赋能平台软硬件集成全过程咨询服务</w:t>
      </w:r>
      <w:r>
        <w:rPr>
          <w:rFonts w:hint="eastAsia"/>
          <w:highlight w:val="none"/>
        </w:rPr>
        <w:t>-需求说明书</w:t>
      </w:r>
    </w:p>
    <w:p w14:paraId="2DBDC711">
      <w:pPr>
        <w:keepNext/>
        <w:keepLines/>
        <w:numPr>
          <w:ilvl w:val="0"/>
          <w:numId w:val="1"/>
        </w:numPr>
        <w:spacing w:before="156" w:beforeLines="50" w:after="156" w:afterLines="50" w:line="360" w:lineRule="auto"/>
        <w:ind w:left="0" w:firstLine="0"/>
        <w:rPr>
          <w:rFonts w:ascii="宋体" w:hAnsi="宋体" w:cs="宋体"/>
          <w:b/>
          <w:bCs/>
          <w:sz w:val="24"/>
          <w:szCs w:val="32"/>
          <w:highlight w:val="none"/>
        </w:rPr>
      </w:pPr>
      <w:r>
        <w:rPr>
          <w:rFonts w:hint="eastAsia" w:ascii="宋体" w:hAnsi="宋体" w:cs="宋体"/>
          <w:b/>
          <w:bCs/>
          <w:sz w:val="24"/>
          <w:szCs w:val="32"/>
          <w:highlight w:val="none"/>
        </w:rPr>
        <w:t>服务目标</w:t>
      </w:r>
    </w:p>
    <w:p w14:paraId="66029C92">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通过聘请第三方咨询单位为招标人提供专业的项目建设管理服务。项目建设管理服务期从全过程咨询服务合同签订后开始，直至项目竣工验收为止。</w:t>
      </w:r>
    </w:p>
    <w:p w14:paraId="6DA1A98E">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项目建设管理服务主要代表招标人对工程项目的组织实施进行全过程的管理和服务，须充分发挥管理的主导作用，对项目全流程的进度和质量进行管理，并从项目整体效益出发，建立相关管理制度，协助建设单位提升项目建设管理水平。</w:t>
      </w:r>
    </w:p>
    <w:p w14:paraId="260E8851">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投标人须派驻项目管理技术服务团队，持续开展项目管理服务，同时组建专家支撑团队，对项目建设过程中遇到的关键问题提供技术支持。</w:t>
      </w:r>
    </w:p>
    <w:p w14:paraId="17627168">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投标人须协调各承建方进行项目建设、测试、验收等，使项目通过最终验收</w:t>
      </w:r>
      <w:r>
        <w:rPr>
          <w:rFonts w:hint="eastAsia" w:ascii="宋体" w:hAnsi="宋体" w:cs="宋体"/>
          <w:sz w:val="24"/>
          <w:szCs w:val="32"/>
          <w:highlight w:val="none"/>
          <w:lang w:eastAsia="zh-CN"/>
        </w:rPr>
        <w:t>。</w:t>
      </w:r>
    </w:p>
    <w:p w14:paraId="49F4B93C">
      <w:pPr>
        <w:keepNext/>
        <w:keepLines/>
        <w:numPr>
          <w:ilvl w:val="0"/>
          <w:numId w:val="1"/>
        </w:numPr>
        <w:spacing w:before="156" w:beforeLines="50" w:after="156" w:afterLines="50" w:line="360" w:lineRule="auto"/>
        <w:ind w:left="0" w:firstLine="0"/>
        <w:rPr>
          <w:rFonts w:ascii="宋体" w:hAnsi="宋体" w:cs="宋体"/>
          <w:b/>
          <w:bCs/>
          <w:sz w:val="24"/>
          <w:szCs w:val="32"/>
          <w:highlight w:val="none"/>
        </w:rPr>
      </w:pPr>
      <w:r>
        <w:rPr>
          <w:rFonts w:hint="eastAsia" w:ascii="宋体" w:hAnsi="宋体" w:cs="宋体"/>
          <w:b/>
          <w:bCs/>
          <w:sz w:val="24"/>
          <w:szCs w:val="32"/>
          <w:highlight w:val="none"/>
        </w:rPr>
        <w:t>服务内容</w:t>
      </w:r>
    </w:p>
    <w:p w14:paraId="012F0FAE">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深圳市新质生产力赋能平台全过程咨询服务内容主要包括两部分：</w:t>
      </w:r>
    </w:p>
    <w:p w14:paraId="66324EC4">
      <w:pPr>
        <w:spacing w:line="360" w:lineRule="auto"/>
        <w:ind w:firstLine="482" w:firstLineChars="200"/>
        <w:rPr>
          <w:rFonts w:hint="eastAsia" w:ascii="宋体" w:hAnsi="宋体" w:cs="宋体"/>
          <w:sz w:val="24"/>
          <w:szCs w:val="32"/>
          <w:highlight w:val="none"/>
          <w:lang w:val="en-US" w:eastAsia="zh-CN"/>
        </w:rPr>
      </w:pPr>
      <w:r>
        <w:rPr>
          <w:rFonts w:hint="eastAsia" w:ascii="宋体" w:hAnsi="宋体" w:cs="宋体"/>
          <w:b/>
          <w:bCs/>
          <w:sz w:val="24"/>
          <w:szCs w:val="32"/>
          <w:highlight w:val="none"/>
          <w:lang w:val="en-US" w:eastAsia="zh-CN"/>
        </w:rPr>
        <w:t>提供全过程项目管理服务</w:t>
      </w:r>
      <w:r>
        <w:rPr>
          <w:rFonts w:hint="eastAsia" w:ascii="宋体" w:hAnsi="宋体" w:cs="宋体"/>
          <w:sz w:val="24"/>
          <w:szCs w:val="32"/>
          <w:highlight w:val="none"/>
          <w:lang w:val="en-US" w:eastAsia="zh-CN"/>
        </w:rPr>
        <w:t>，保障项目软件及机房服务器等集成全过程合规性、相关文档成果的完整性、设计及实施方案的合理性；协助采购单位履行项目软件及机房服务器等集成建设期内的各项管理职责；识别并管控风险，确保项目顺利实施；</w:t>
      </w:r>
    </w:p>
    <w:p w14:paraId="63D1D585">
      <w:pPr>
        <w:spacing w:line="360" w:lineRule="auto"/>
        <w:ind w:firstLine="482" w:firstLineChars="200"/>
        <w:rPr>
          <w:rFonts w:ascii="宋体" w:hAnsi="宋体" w:cs="宋体"/>
          <w:sz w:val="24"/>
          <w:szCs w:val="32"/>
          <w:highlight w:val="none"/>
        </w:rPr>
      </w:pPr>
      <w:r>
        <w:rPr>
          <w:rFonts w:hint="eastAsia" w:ascii="宋体" w:hAnsi="宋体" w:cs="宋体"/>
          <w:b/>
          <w:bCs/>
          <w:sz w:val="24"/>
          <w:szCs w:val="32"/>
          <w:highlight w:val="none"/>
          <w:lang w:val="en-US" w:eastAsia="zh-CN"/>
        </w:rPr>
        <w:t>提供实施监理服务</w:t>
      </w:r>
      <w:r>
        <w:rPr>
          <w:rFonts w:hint="eastAsia" w:ascii="宋体" w:hAnsi="宋体" w:cs="宋体"/>
          <w:sz w:val="24"/>
          <w:szCs w:val="32"/>
          <w:highlight w:val="none"/>
          <w:lang w:val="en-US" w:eastAsia="zh-CN"/>
        </w:rPr>
        <w:t>，按照合同约定对项目软件及机房服务器等集成整体质量和进度进行控制；在软件及机房服务器等集成工程实施阶段对工程建设相关方的关系进行协调；并在项目软件及机房服务器等集成现场施工阶段对施工进度、质量、安全进行管控；</w:t>
      </w:r>
    </w:p>
    <w:p w14:paraId="369696FB">
      <w:pPr>
        <w:pStyle w:val="5"/>
        <w:numPr>
          <w:ilvl w:val="0"/>
          <w:numId w:val="2"/>
        </w:numPr>
        <w:spacing w:line="360" w:lineRule="auto"/>
        <w:ind w:left="0" w:firstLine="480"/>
        <w:rPr>
          <w:rFonts w:ascii="宋体" w:hAnsi="宋体" w:cs="宋体"/>
          <w:sz w:val="24"/>
          <w:szCs w:val="32"/>
          <w:highlight w:val="none"/>
        </w:rPr>
      </w:pPr>
      <w:r>
        <w:rPr>
          <w:rFonts w:hint="eastAsia" w:ascii="宋体" w:hAnsi="宋体" w:cs="宋体"/>
          <w:sz w:val="24"/>
          <w:szCs w:val="32"/>
          <w:highlight w:val="none"/>
        </w:rPr>
        <w:t>围绕上述两项服务内容，分解到项目全过程不同阶段，对应的具体服务内容如下：</w:t>
      </w:r>
    </w:p>
    <w:p w14:paraId="226512F5">
      <w:pPr>
        <w:pStyle w:val="5"/>
        <w:spacing w:line="360" w:lineRule="auto"/>
        <w:ind w:firstLine="482"/>
        <w:outlineLvl w:val="1"/>
        <w:rPr>
          <w:rFonts w:ascii="宋体" w:hAnsi="宋体" w:cs="宋体"/>
          <w:b/>
          <w:sz w:val="24"/>
          <w:szCs w:val="32"/>
          <w:highlight w:val="none"/>
        </w:rPr>
      </w:pPr>
      <w:r>
        <w:rPr>
          <w:rFonts w:hint="eastAsia" w:ascii="宋体" w:hAnsi="宋体" w:cs="宋体"/>
          <w:b/>
          <w:sz w:val="24"/>
          <w:szCs w:val="32"/>
          <w:highlight w:val="none"/>
        </w:rPr>
        <w:t>（1）深化设计阶段</w:t>
      </w:r>
    </w:p>
    <w:p w14:paraId="35146123">
      <w:pPr>
        <w:pStyle w:val="5"/>
        <w:numPr>
          <w:ilvl w:val="0"/>
          <w:numId w:val="2"/>
        </w:numPr>
        <w:spacing w:line="360" w:lineRule="auto"/>
        <w:ind w:left="0" w:firstLine="480"/>
        <w:rPr>
          <w:rFonts w:ascii="宋体" w:hAnsi="宋体" w:cs="宋体"/>
          <w:sz w:val="24"/>
          <w:szCs w:val="32"/>
          <w:highlight w:val="none"/>
        </w:rPr>
      </w:pPr>
      <w:r>
        <w:rPr>
          <w:rFonts w:hint="eastAsia" w:ascii="宋体" w:hAnsi="宋体" w:cs="宋体"/>
          <w:sz w:val="24"/>
          <w:szCs w:val="32"/>
          <w:highlight w:val="none"/>
        </w:rPr>
        <w:t>按建设单位要求检查并控制设计单位的设计进度。</w:t>
      </w:r>
    </w:p>
    <w:p w14:paraId="606F1F9A">
      <w:pPr>
        <w:pStyle w:val="5"/>
        <w:numPr>
          <w:ilvl w:val="0"/>
          <w:numId w:val="2"/>
        </w:numPr>
        <w:spacing w:line="360" w:lineRule="auto"/>
        <w:ind w:left="0" w:firstLine="480"/>
        <w:rPr>
          <w:rFonts w:hint="eastAsia" w:ascii="宋体" w:hAnsi="宋体" w:eastAsia="宋体" w:cs="宋体"/>
          <w:sz w:val="24"/>
          <w:szCs w:val="32"/>
          <w:highlight w:val="none"/>
        </w:rPr>
      </w:pPr>
      <w:r>
        <w:rPr>
          <w:rFonts w:hint="eastAsia" w:ascii="宋体" w:hAnsi="宋体" w:cs="宋体"/>
          <w:sz w:val="24"/>
          <w:szCs w:val="32"/>
          <w:highlight w:val="none"/>
        </w:rPr>
        <w:t>协助建设单位对各阶段（根据项目实际要求的设计阶段）及各专业（包括但不限于通算、智算、存储、网络、软件以及其他与本项目密切相关必不可少的系统、专业和其他特殊工程）的设计图纸、设计深度及</w:t>
      </w:r>
      <w:r>
        <w:rPr>
          <w:rFonts w:hint="eastAsia" w:ascii="宋体" w:hAnsi="宋体" w:eastAsia="宋体" w:cs="宋体"/>
          <w:sz w:val="24"/>
          <w:szCs w:val="32"/>
          <w:highlight w:val="none"/>
        </w:rPr>
        <w:t>设计成果进行审查，减少由于设计错误造成的设计变更、增加投资、拖延工期等情况，并提交监理设计阶段审查报告。</w:t>
      </w:r>
    </w:p>
    <w:p w14:paraId="0D96CC23">
      <w:pPr>
        <w:pStyle w:val="5"/>
        <w:numPr>
          <w:ilvl w:val="0"/>
          <w:numId w:val="2"/>
        </w:numPr>
        <w:spacing w:line="360" w:lineRule="auto"/>
        <w:ind w:left="0"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协助组织设计单位进行工程设计优化、工程变更所涉及技术方案和成本比选并进行成本控制。</w:t>
      </w:r>
    </w:p>
    <w:p w14:paraId="6025E057">
      <w:pPr>
        <w:pStyle w:val="5"/>
        <w:spacing w:line="360" w:lineRule="auto"/>
        <w:ind w:firstLine="482"/>
        <w:outlineLvl w:val="1"/>
        <w:rPr>
          <w:rFonts w:ascii="宋体" w:hAnsi="宋体" w:cs="宋体"/>
          <w:b/>
          <w:sz w:val="24"/>
          <w:szCs w:val="32"/>
          <w:highlight w:val="none"/>
        </w:rPr>
      </w:pPr>
      <w:r>
        <w:rPr>
          <w:rFonts w:hint="eastAsia" w:ascii="宋体" w:hAnsi="宋体" w:cs="宋体"/>
          <w:b/>
          <w:sz w:val="24"/>
          <w:szCs w:val="32"/>
          <w:highlight w:val="none"/>
        </w:rPr>
        <w:t>（2）建设实施阶段</w:t>
      </w:r>
    </w:p>
    <w:p w14:paraId="5307A8D2">
      <w:pPr>
        <w:pStyle w:val="5"/>
        <w:numPr>
          <w:ilvl w:val="0"/>
          <w:numId w:val="2"/>
        </w:numPr>
        <w:spacing w:line="360" w:lineRule="auto"/>
        <w:ind w:left="0" w:firstLine="480"/>
        <w:rPr>
          <w:rFonts w:ascii="宋体" w:hAnsi="宋体" w:cs="宋体"/>
          <w:sz w:val="24"/>
          <w:szCs w:val="32"/>
          <w:highlight w:val="none"/>
        </w:rPr>
      </w:pPr>
      <w:r>
        <w:rPr>
          <w:rFonts w:hint="eastAsia" w:ascii="宋体" w:hAnsi="宋体" w:cs="宋体"/>
          <w:sz w:val="24"/>
          <w:szCs w:val="32"/>
          <w:highlight w:val="none"/>
        </w:rPr>
        <w:t>严格实施计划进度管理，定期输出项目阶段性月度报告，反映项目的工作进度、成果，存在的问题以及纠偏措施。</w:t>
      </w:r>
    </w:p>
    <w:p w14:paraId="27873106">
      <w:pPr>
        <w:pStyle w:val="5"/>
        <w:numPr>
          <w:ilvl w:val="0"/>
          <w:numId w:val="2"/>
        </w:numPr>
        <w:spacing w:line="360" w:lineRule="auto"/>
        <w:ind w:left="0" w:firstLine="480"/>
        <w:rPr>
          <w:rFonts w:ascii="宋体" w:hAnsi="宋体" w:cs="宋体"/>
          <w:sz w:val="24"/>
          <w:szCs w:val="32"/>
          <w:highlight w:val="none"/>
        </w:rPr>
      </w:pPr>
      <w:r>
        <w:rPr>
          <w:rFonts w:hint="eastAsia" w:ascii="宋体" w:hAnsi="宋体" w:cs="宋体"/>
          <w:sz w:val="24"/>
          <w:szCs w:val="32"/>
          <w:highlight w:val="none"/>
        </w:rPr>
        <w:t>参与工程管理例会和工程协调例会，对于工程中的规划、设计、技术、设备等重大问题以及影响工程质量、进度、投资的关键问题提出意见，推进工程质量、进度、投资等控制目标的实现。</w:t>
      </w:r>
    </w:p>
    <w:p w14:paraId="590944A7">
      <w:pPr>
        <w:pStyle w:val="5"/>
        <w:numPr>
          <w:ilvl w:val="0"/>
          <w:numId w:val="2"/>
        </w:numPr>
        <w:spacing w:line="360" w:lineRule="auto"/>
        <w:ind w:left="0" w:firstLine="480"/>
        <w:rPr>
          <w:rFonts w:ascii="宋体" w:hAnsi="宋体" w:cs="宋体"/>
          <w:sz w:val="24"/>
          <w:szCs w:val="32"/>
          <w:highlight w:val="none"/>
        </w:rPr>
      </w:pPr>
      <w:r>
        <w:rPr>
          <w:rFonts w:hint="eastAsia" w:ascii="宋体" w:hAnsi="宋体" w:cs="宋体"/>
          <w:sz w:val="24"/>
          <w:szCs w:val="32"/>
          <w:highlight w:val="none"/>
        </w:rPr>
        <w:t>协助审核施工方（总包、分包商等）提出的变更，并提出合理化建议。</w:t>
      </w:r>
    </w:p>
    <w:p w14:paraId="4A25AC74">
      <w:pPr>
        <w:pStyle w:val="5"/>
        <w:numPr>
          <w:ilvl w:val="0"/>
          <w:numId w:val="2"/>
        </w:numPr>
        <w:spacing w:line="360" w:lineRule="auto"/>
        <w:ind w:left="0" w:firstLine="480"/>
        <w:rPr>
          <w:rFonts w:ascii="宋体" w:hAnsi="宋体" w:cs="宋体"/>
          <w:sz w:val="24"/>
          <w:szCs w:val="32"/>
          <w:highlight w:val="none"/>
        </w:rPr>
      </w:pPr>
      <w:r>
        <w:rPr>
          <w:rFonts w:hint="eastAsia" w:ascii="宋体" w:hAnsi="宋体" w:cs="宋体"/>
          <w:sz w:val="24"/>
          <w:szCs w:val="32"/>
          <w:highlight w:val="none"/>
        </w:rPr>
        <w:t>在现场施工阶段对施工进度及质量进行监督管理，对重要工序进行旁站。</w:t>
      </w:r>
    </w:p>
    <w:p w14:paraId="561E280F">
      <w:pPr>
        <w:pStyle w:val="5"/>
        <w:spacing w:line="360" w:lineRule="auto"/>
        <w:ind w:firstLine="482"/>
        <w:outlineLvl w:val="1"/>
        <w:rPr>
          <w:rFonts w:ascii="宋体" w:hAnsi="宋体" w:cs="宋体"/>
          <w:b/>
          <w:sz w:val="24"/>
          <w:szCs w:val="32"/>
          <w:highlight w:val="none"/>
        </w:rPr>
      </w:pPr>
      <w:r>
        <w:rPr>
          <w:rFonts w:hint="eastAsia" w:ascii="宋体" w:hAnsi="宋体" w:cs="宋体"/>
          <w:b/>
          <w:sz w:val="24"/>
          <w:szCs w:val="32"/>
          <w:highlight w:val="none"/>
        </w:rPr>
        <w:t>（3）竣工验收阶段</w:t>
      </w:r>
    </w:p>
    <w:p w14:paraId="2D1FFCA3">
      <w:pPr>
        <w:pStyle w:val="5"/>
        <w:numPr>
          <w:ilvl w:val="0"/>
          <w:numId w:val="2"/>
        </w:numPr>
        <w:spacing w:line="360" w:lineRule="auto"/>
        <w:ind w:left="0" w:firstLine="480"/>
        <w:rPr>
          <w:rFonts w:ascii="宋体" w:hAnsi="宋体" w:cs="宋体"/>
          <w:sz w:val="24"/>
          <w:szCs w:val="32"/>
          <w:highlight w:val="none"/>
        </w:rPr>
      </w:pPr>
      <w:r>
        <w:rPr>
          <w:rFonts w:hint="eastAsia" w:ascii="宋体" w:hAnsi="宋体" w:cs="宋体"/>
          <w:sz w:val="24"/>
          <w:szCs w:val="32"/>
          <w:highlight w:val="none"/>
        </w:rPr>
        <w:t>基于深化设计方案及各项已签署的合同等文</w:t>
      </w:r>
      <w:r>
        <w:rPr>
          <w:rFonts w:hint="eastAsia" w:ascii="宋体" w:hAnsi="宋体" w:eastAsia="宋体" w:cs="宋体"/>
          <w:sz w:val="24"/>
          <w:szCs w:val="32"/>
          <w:highlight w:val="none"/>
        </w:rPr>
        <w:t>件，协助建设单位及项目验收机构参照合同建设内容、软硬件清单、验收条件对项目建设成果进行验</w:t>
      </w:r>
      <w:r>
        <w:rPr>
          <w:rFonts w:hint="eastAsia" w:ascii="宋体" w:hAnsi="宋体" w:cs="宋体"/>
          <w:sz w:val="24"/>
          <w:szCs w:val="32"/>
          <w:highlight w:val="none"/>
        </w:rPr>
        <w:t>收评审。</w:t>
      </w:r>
    </w:p>
    <w:p w14:paraId="7CE03ED6">
      <w:pPr>
        <w:pStyle w:val="5"/>
        <w:numPr>
          <w:ilvl w:val="0"/>
          <w:numId w:val="2"/>
        </w:numPr>
        <w:spacing w:line="360" w:lineRule="auto"/>
        <w:ind w:left="0" w:firstLine="480"/>
        <w:rPr>
          <w:rFonts w:ascii="宋体" w:hAnsi="宋体" w:cs="宋体"/>
          <w:sz w:val="24"/>
          <w:szCs w:val="32"/>
          <w:highlight w:val="none"/>
        </w:rPr>
      </w:pPr>
      <w:r>
        <w:rPr>
          <w:rFonts w:hint="eastAsia" w:ascii="宋体" w:hAnsi="宋体" w:cs="宋体"/>
          <w:sz w:val="24"/>
          <w:szCs w:val="32"/>
          <w:highlight w:val="none"/>
        </w:rPr>
        <w:t>协助建设单位进行工程竣工资料的收集、汇编，并审核竣工验收档案资料的完整性、合规性。</w:t>
      </w:r>
    </w:p>
    <w:p w14:paraId="16DAB66D">
      <w:pPr>
        <w:pStyle w:val="5"/>
        <w:spacing w:line="360" w:lineRule="auto"/>
        <w:ind w:firstLine="482"/>
        <w:outlineLvl w:val="1"/>
        <w:rPr>
          <w:rFonts w:ascii="宋体" w:hAnsi="宋体" w:cs="宋体"/>
          <w:b/>
          <w:sz w:val="24"/>
          <w:szCs w:val="32"/>
          <w:highlight w:val="none"/>
        </w:rPr>
      </w:pPr>
      <w:r>
        <w:rPr>
          <w:rFonts w:hint="eastAsia" w:ascii="宋体" w:hAnsi="宋体" w:cs="宋体"/>
          <w:b/>
          <w:sz w:val="24"/>
          <w:szCs w:val="32"/>
          <w:highlight w:val="none"/>
        </w:rPr>
        <w:t>（4）其他支撑工作</w:t>
      </w:r>
    </w:p>
    <w:p w14:paraId="4CC53DDD">
      <w:pPr>
        <w:pStyle w:val="5"/>
        <w:numPr>
          <w:ilvl w:val="0"/>
          <w:numId w:val="2"/>
        </w:numPr>
        <w:spacing w:line="360" w:lineRule="auto"/>
        <w:ind w:left="0" w:firstLine="480"/>
        <w:rPr>
          <w:rFonts w:ascii="宋体" w:hAnsi="宋体" w:cs="宋体"/>
          <w:sz w:val="24"/>
          <w:szCs w:val="32"/>
          <w:highlight w:val="none"/>
        </w:rPr>
      </w:pPr>
      <w:r>
        <w:rPr>
          <w:rFonts w:hint="eastAsia" w:ascii="宋体" w:hAnsi="宋体" w:cs="宋体"/>
          <w:sz w:val="24"/>
          <w:szCs w:val="32"/>
          <w:highlight w:val="none"/>
        </w:rPr>
        <w:t>负责向建设单位提供优良而全面的技术顾问服务，比如：</w:t>
      </w:r>
    </w:p>
    <w:p w14:paraId="48F0B983">
      <w:pPr>
        <w:pStyle w:val="5"/>
        <w:numPr>
          <w:ilvl w:val="0"/>
          <w:numId w:val="2"/>
        </w:numPr>
        <w:spacing w:line="360" w:lineRule="auto"/>
        <w:ind w:left="0" w:firstLine="480"/>
        <w:rPr>
          <w:rFonts w:ascii="宋体" w:hAnsi="宋体" w:cs="宋体"/>
          <w:sz w:val="24"/>
          <w:szCs w:val="32"/>
          <w:highlight w:val="none"/>
        </w:rPr>
      </w:pPr>
      <w:r>
        <w:rPr>
          <w:rFonts w:hint="eastAsia" w:ascii="宋体" w:hAnsi="宋体" w:cs="宋体"/>
          <w:sz w:val="24"/>
          <w:szCs w:val="32"/>
          <w:highlight w:val="none"/>
        </w:rPr>
        <w:t>协助建设单位对项目技术风险进行识别和规避。</w:t>
      </w:r>
    </w:p>
    <w:p w14:paraId="544C83BE">
      <w:pPr>
        <w:pStyle w:val="5"/>
        <w:numPr>
          <w:ilvl w:val="0"/>
          <w:numId w:val="2"/>
        </w:numPr>
        <w:spacing w:line="360" w:lineRule="auto"/>
        <w:ind w:left="0" w:firstLine="480"/>
        <w:rPr>
          <w:rFonts w:ascii="宋体" w:hAnsi="宋体" w:cs="宋体"/>
          <w:sz w:val="24"/>
          <w:szCs w:val="32"/>
          <w:highlight w:val="none"/>
        </w:rPr>
      </w:pPr>
      <w:r>
        <w:rPr>
          <w:rFonts w:hint="eastAsia" w:ascii="宋体" w:hAnsi="宋体" w:cs="宋体"/>
          <w:sz w:val="24"/>
          <w:szCs w:val="32"/>
          <w:highlight w:val="none"/>
        </w:rPr>
        <w:t>协助建设单位组织关键技术路线以及重点实施方案相关讨论，把关技术方案合理性、完整性、可扩展性。</w:t>
      </w:r>
    </w:p>
    <w:p w14:paraId="3E36BBD5">
      <w:pPr>
        <w:keepNext/>
        <w:keepLines/>
        <w:numPr>
          <w:ilvl w:val="0"/>
          <w:numId w:val="1"/>
        </w:numPr>
        <w:spacing w:before="156" w:beforeLines="50" w:after="156" w:afterLines="50" w:line="360" w:lineRule="auto"/>
        <w:ind w:left="0" w:firstLine="0"/>
        <w:rPr>
          <w:rFonts w:ascii="宋体" w:hAnsi="宋体" w:cs="宋体"/>
          <w:b/>
          <w:bCs/>
          <w:sz w:val="24"/>
          <w:szCs w:val="32"/>
          <w:highlight w:val="none"/>
        </w:rPr>
      </w:pPr>
      <w:r>
        <w:rPr>
          <w:rFonts w:hint="eastAsia" w:ascii="宋体" w:hAnsi="宋体" w:cs="宋体"/>
          <w:b/>
          <w:bCs/>
          <w:sz w:val="24"/>
          <w:szCs w:val="32"/>
          <w:highlight w:val="none"/>
        </w:rPr>
        <w:t>服务成果</w:t>
      </w:r>
    </w:p>
    <w:p w14:paraId="303E8AEF">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（1）项目实施计划（WORD/PDF，份数视专业和复杂程度按需提供），明确项目应用目标、组织架构及时间计划，规范各参与方工作行为。</w:t>
      </w:r>
    </w:p>
    <w:p w14:paraId="1BB3024E">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（2）项目阶段性周报、月度报告（WORD，1份/月），要求反映项目的工作进度、成果，存在的问题以及纠偏措施。</w:t>
      </w:r>
    </w:p>
    <w:p w14:paraId="72E744B8">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（3）项目相关会议纪要（WORD，1份/次），对项目过程中组织召开的沟通协调会议，负责对相关方的职责以正式会议纪要的方式加以明确，并跟踪问题解决的进度和质量及时向招标方反馈。</w:t>
      </w:r>
    </w:p>
    <w:p w14:paraId="691D0321">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（4）项目技术方案审核意见（WORD/PDF，份数视专业和复杂程度按需提供），基于招标方要求，对设计/施工单位提交的深化设计方案以及施工方案进行审核，及时提出审查意见。</w:t>
      </w:r>
    </w:p>
    <w:p w14:paraId="78CCD84E">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（5）项目管理总结报告（WORD/PDF，份数视专业和复杂程度按需提供），对项目最终的质量、进度、造价进行评估总结，对项目过程中发生的变更情况进行记录归档。</w:t>
      </w:r>
    </w:p>
    <w:p w14:paraId="12BAC29D">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（6）项目竣工资料审查报告（WORD/PDF，份数视专业和复杂程度按需提供）审核竣工验收档案资料的完整性、合规性。</w:t>
      </w:r>
    </w:p>
    <w:p w14:paraId="65EB6B5D">
      <w:pPr>
        <w:keepNext/>
        <w:keepLines/>
        <w:numPr>
          <w:ilvl w:val="0"/>
          <w:numId w:val="1"/>
        </w:numPr>
        <w:spacing w:before="156" w:beforeLines="50" w:after="156" w:afterLines="50" w:line="360" w:lineRule="auto"/>
        <w:ind w:left="0" w:firstLine="0"/>
        <w:rPr>
          <w:rFonts w:ascii="宋体" w:hAnsi="宋体" w:cs="宋体"/>
          <w:b/>
          <w:bCs/>
          <w:sz w:val="24"/>
          <w:szCs w:val="32"/>
          <w:highlight w:val="none"/>
        </w:rPr>
      </w:pPr>
      <w:r>
        <w:rPr>
          <w:rFonts w:hint="eastAsia" w:ascii="宋体" w:hAnsi="宋体" w:cs="宋体"/>
          <w:b/>
          <w:bCs/>
          <w:sz w:val="24"/>
          <w:szCs w:val="32"/>
          <w:highlight w:val="none"/>
        </w:rPr>
        <w:t>服务要求</w:t>
      </w:r>
    </w:p>
    <w:p w14:paraId="711D30A5">
      <w:pPr>
        <w:pStyle w:val="4"/>
        <w:spacing w:before="0" w:after="0"/>
        <w:ind w:firstLine="482"/>
        <w:rPr>
          <w:rFonts w:eastAsia="宋体" w:cs="宋体"/>
          <w:sz w:val="24"/>
          <w:szCs w:val="24"/>
          <w:highlight w:val="none"/>
        </w:rPr>
      </w:pPr>
      <w:r>
        <w:rPr>
          <w:rFonts w:hint="eastAsia" w:eastAsia="宋体" w:cs="宋体"/>
          <w:sz w:val="24"/>
          <w:szCs w:val="24"/>
          <w:highlight w:val="none"/>
        </w:rPr>
        <w:t>（1）咨询服务工作原则</w:t>
      </w:r>
    </w:p>
    <w:p w14:paraId="09A1D58D">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咨询服务团队须遵循独立、科学、专业、公正等四个原则，运用技术功底、业务理解、项目管理和法律法规等多方面的知识和经验，提供技术支持服务。</w:t>
      </w:r>
    </w:p>
    <w:p w14:paraId="6EC67C7C">
      <w:pPr>
        <w:spacing w:line="360" w:lineRule="auto"/>
        <w:ind w:left="420" w:leftChars="200"/>
        <w:rPr>
          <w:rFonts w:ascii="宋体" w:hAnsi="宋体" w:cs="宋体"/>
          <w:b/>
          <w:bCs/>
          <w:sz w:val="24"/>
          <w:szCs w:val="32"/>
          <w:highlight w:val="none"/>
        </w:rPr>
      </w:pPr>
      <w:r>
        <w:rPr>
          <w:rFonts w:hint="eastAsia" w:ascii="宋体" w:hAnsi="宋体" w:cs="宋体"/>
          <w:b/>
          <w:bCs/>
          <w:sz w:val="24"/>
          <w:szCs w:val="32"/>
          <w:highlight w:val="none"/>
        </w:rPr>
        <w:t>1）独立性</w:t>
      </w:r>
    </w:p>
    <w:p w14:paraId="1EC35313">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独立是指咨询服务团队应具有相对独立的地位，不受其他方面偏好、意图的干扰，能够独立自主地执业，对完成的工作成果担责。团队的独立性，是其工作的基础，是坚持客观、公正立场的前提条件。</w:t>
      </w:r>
    </w:p>
    <w:p w14:paraId="3D2193FE">
      <w:pPr>
        <w:spacing w:line="360" w:lineRule="auto"/>
        <w:ind w:left="420" w:leftChars="200"/>
        <w:rPr>
          <w:rFonts w:ascii="宋体" w:hAnsi="宋体" w:cs="宋体"/>
          <w:b/>
          <w:bCs/>
          <w:sz w:val="24"/>
          <w:szCs w:val="32"/>
          <w:highlight w:val="none"/>
        </w:rPr>
      </w:pPr>
      <w:r>
        <w:rPr>
          <w:rFonts w:hint="eastAsia" w:ascii="宋体" w:hAnsi="宋体" w:cs="宋体"/>
          <w:b/>
          <w:bCs/>
          <w:sz w:val="24"/>
          <w:szCs w:val="32"/>
          <w:highlight w:val="none"/>
        </w:rPr>
        <w:t>2）科学性</w:t>
      </w:r>
    </w:p>
    <w:p w14:paraId="060D3EFE">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科学是指工作成果的依据、方法和过程应具有科学性。本次咨询服务，要求咨询人员实事求是，了解并反映项目客观、真实的情况，据实记录，据理论证，不弄虚作假；要求咨询人员符合科学的工作程序、咨询标准和行为规范，不违背客观规律；要求咨询方体现科学发展观，运用科学的理论、方法、知识和技术，使咨询成果经得住时间和历史的检验。</w:t>
      </w:r>
    </w:p>
    <w:p w14:paraId="419D39E2">
      <w:pPr>
        <w:spacing w:line="360" w:lineRule="auto"/>
        <w:ind w:left="420" w:leftChars="200"/>
        <w:rPr>
          <w:rFonts w:ascii="宋体" w:hAnsi="宋体" w:cs="宋体"/>
          <w:b/>
          <w:bCs/>
          <w:sz w:val="24"/>
          <w:szCs w:val="32"/>
          <w:highlight w:val="none"/>
        </w:rPr>
      </w:pPr>
      <w:r>
        <w:rPr>
          <w:rFonts w:hint="eastAsia" w:ascii="宋体" w:hAnsi="宋体" w:cs="宋体"/>
          <w:b/>
          <w:bCs/>
          <w:sz w:val="24"/>
          <w:szCs w:val="32"/>
          <w:highlight w:val="none"/>
        </w:rPr>
        <w:t>3）专业性</w:t>
      </w:r>
    </w:p>
    <w:p w14:paraId="5FF51DBE">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本次咨询服务是专业性很强的工作，既要忠实地为招标人提供咨询服务，又不能完全以某一方单方面的满意度作为评价工作好坏的唯一标准。</w:t>
      </w:r>
    </w:p>
    <w:p w14:paraId="12900C2F">
      <w:pPr>
        <w:spacing w:line="360" w:lineRule="auto"/>
        <w:ind w:left="420" w:leftChars="200"/>
        <w:rPr>
          <w:rFonts w:ascii="宋体" w:hAnsi="宋体" w:cs="宋体"/>
          <w:b/>
          <w:bCs/>
          <w:sz w:val="24"/>
          <w:szCs w:val="32"/>
          <w:highlight w:val="none"/>
        </w:rPr>
      </w:pPr>
      <w:r>
        <w:rPr>
          <w:rFonts w:hint="eastAsia" w:ascii="宋体" w:hAnsi="宋体" w:cs="宋体"/>
          <w:b/>
          <w:bCs/>
          <w:sz w:val="24"/>
          <w:szCs w:val="32"/>
          <w:highlight w:val="none"/>
        </w:rPr>
        <w:t>4）公正性</w:t>
      </w:r>
    </w:p>
    <w:p w14:paraId="63F3316B">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公正是指在本次咨询工作中，应坚持原则，坚持公正立场。当招标人的想法和意见存在客观不足时，咨询团队应敢于提出不同意见，或在授权范围内进行协调或裁决，支持意见正确的另一方。</w:t>
      </w:r>
    </w:p>
    <w:p w14:paraId="746E7D48">
      <w:pPr>
        <w:pStyle w:val="4"/>
        <w:spacing w:before="0" w:after="0"/>
        <w:ind w:firstLine="482"/>
        <w:rPr>
          <w:rFonts w:eastAsia="宋体" w:cs="宋体"/>
          <w:sz w:val="24"/>
          <w:szCs w:val="24"/>
          <w:highlight w:val="none"/>
        </w:rPr>
      </w:pPr>
      <w:r>
        <w:rPr>
          <w:rFonts w:hint="eastAsia" w:eastAsia="宋体" w:cs="宋体"/>
          <w:sz w:val="24"/>
          <w:szCs w:val="24"/>
          <w:highlight w:val="none"/>
        </w:rPr>
        <w:t>（2）咨询服务团队及人员要求</w:t>
      </w:r>
    </w:p>
    <w:p w14:paraId="7291611B">
      <w:pPr>
        <w:pStyle w:val="5"/>
        <w:spacing w:line="360" w:lineRule="auto"/>
        <w:ind w:left="420" w:leftChars="200" w:firstLine="0" w:firstLineChars="0"/>
        <w:rPr>
          <w:rFonts w:ascii="宋体" w:hAnsi="宋体" w:cs="宋体"/>
          <w:b/>
          <w:bCs/>
          <w:sz w:val="24"/>
          <w:szCs w:val="32"/>
          <w:highlight w:val="none"/>
        </w:rPr>
      </w:pPr>
      <w:r>
        <w:rPr>
          <w:rFonts w:hint="eastAsia" w:ascii="宋体" w:hAnsi="宋体" w:cs="宋体"/>
          <w:b/>
          <w:bCs/>
          <w:sz w:val="24"/>
          <w:szCs w:val="32"/>
          <w:highlight w:val="none"/>
        </w:rPr>
        <w:t>1）服务团队要求</w:t>
      </w:r>
    </w:p>
    <w:p w14:paraId="165B2BEB">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投标人应成立项目管理咨询服务团队，团队应设置资深咨询顾问、高级咨询顾问、咨询顾问、咨询助理等角色（岗位），咨询服务团队固定人员不少于4名，并根据用户的项目需求配置相应的后端技术支持团队，协助完成项目。岗位分述如下：</w:t>
      </w:r>
    </w:p>
    <w:p w14:paraId="5E56ECE9">
      <w:pPr>
        <w:pStyle w:val="11"/>
        <w:numPr>
          <w:ilvl w:val="0"/>
          <w:numId w:val="3"/>
        </w:numPr>
        <w:spacing w:line="360" w:lineRule="auto"/>
        <w:ind w:left="0" w:firstLine="482" w:firstLineChars="200"/>
        <w:rPr>
          <w:rFonts w:ascii="宋体" w:hAnsi="宋体" w:cs="宋体"/>
          <w:b/>
          <w:bCs/>
          <w:sz w:val="24"/>
          <w:szCs w:val="32"/>
          <w:highlight w:val="none"/>
        </w:rPr>
      </w:pPr>
      <w:r>
        <w:rPr>
          <w:rFonts w:hint="eastAsia" w:ascii="宋体" w:hAnsi="宋体" w:cs="宋体"/>
          <w:b/>
          <w:bCs/>
          <w:sz w:val="24"/>
          <w:szCs w:val="32"/>
          <w:highlight w:val="none"/>
        </w:rPr>
        <w:t>资深咨询顾问</w:t>
      </w:r>
    </w:p>
    <w:p w14:paraId="44BE655E">
      <w:pPr>
        <w:pStyle w:val="11"/>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负责监督项目计划、文件和重要交付节点管理，评估项目潜在风险，确保良好沟通与协作，对咨询的重要文档质量把关，保证咨询服务项目顺利进行。为项目负责人提供方法指导和资源支持，指导和组织进行项目关键节点和重要里程碑的管理与保障，指导和检查项目交付文件的管理。</w:t>
      </w:r>
    </w:p>
    <w:p w14:paraId="4317AC49">
      <w:pPr>
        <w:pStyle w:val="11"/>
        <w:numPr>
          <w:ilvl w:val="0"/>
          <w:numId w:val="3"/>
        </w:numPr>
        <w:spacing w:line="360" w:lineRule="auto"/>
        <w:ind w:left="0" w:firstLine="482" w:firstLineChars="200"/>
        <w:rPr>
          <w:rFonts w:ascii="宋体" w:hAnsi="宋体" w:cs="宋体"/>
          <w:b/>
          <w:bCs/>
          <w:sz w:val="24"/>
          <w:szCs w:val="32"/>
          <w:highlight w:val="none"/>
        </w:rPr>
      </w:pPr>
      <w:r>
        <w:rPr>
          <w:rFonts w:hint="eastAsia" w:ascii="宋体" w:hAnsi="宋体" w:cs="宋体"/>
          <w:b/>
          <w:bCs/>
          <w:sz w:val="24"/>
          <w:szCs w:val="32"/>
          <w:highlight w:val="none"/>
        </w:rPr>
        <w:t>高级咨询顾问</w:t>
      </w:r>
    </w:p>
    <w:p w14:paraId="1BD3C47B">
      <w:pPr>
        <w:pStyle w:val="11"/>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具体负责组建咨询团队，对团队进行全面管理，主持进行项目工作分解与分工，组织团队针对任务制定项目计划和任务分解，开展项目进程管理、节点管理、总体统筹和质量控制，组织规划成果物的编制，进行各阶段的沟通协调与会议安排，组织阶段性沟通汇报。</w:t>
      </w:r>
    </w:p>
    <w:p w14:paraId="4C851A57">
      <w:pPr>
        <w:pStyle w:val="11"/>
        <w:numPr>
          <w:ilvl w:val="0"/>
          <w:numId w:val="3"/>
        </w:numPr>
        <w:spacing w:line="360" w:lineRule="auto"/>
        <w:ind w:left="0" w:firstLine="482" w:firstLineChars="200"/>
        <w:rPr>
          <w:rFonts w:ascii="宋体" w:hAnsi="宋体" w:cs="宋体"/>
          <w:b/>
          <w:bCs/>
          <w:sz w:val="24"/>
          <w:szCs w:val="32"/>
          <w:highlight w:val="none"/>
        </w:rPr>
      </w:pPr>
      <w:r>
        <w:rPr>
          <w:rFonts w:hint="eastAsia" w:ascii="宋体" w:hAnsi="宋体" w:cs="宋体"/>
          <w:b/>
          <w:bCs/>
          <w:sz w:val="24"/>
          <w:szCs w:val="32"/>
          <w:highlight w:val="none"/>
        </w:rPr>
        <w:t>咨询顾问</w:t>
      </w:r>
    </w:p>
    <w:p w14:paraId="1A4E5E24">
      <w:pPr>
        <w:pStyle w:val="11"/>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参与项目管理，组织进行相关报告、文档的编制，制订现场调研的计划和方案，并具体组织开展调研、访谈和研讨，对所承担的阶段性成果交付进行进程管理和质量控制。</w:t>
      </w:r>
    </w:p>
    <w:p w14:paraId="1661B299">
      <w:pPr>
        <w:pStyle w:val="11"/>
        <w:numPr>
          <w:ilvl w:val="0"/>
          <w:numId w:val="3"/>
        </w:numPr>
        <w:spacing w:line="360" w:lineRule="auto"/>
        <w:ind w:left="0" w:firstLine="482" w:firstLineChars="200"/>
        <w:rPr>
          <w:rFonts w:ascii="宋体" w:hAnsi="宋体" w:cs="宋体"/>
          <w:b/>
          <w:bCs/>
          <w:sz w:val="24"/>
          <w:szCs w:val="32"/>
          <w:highlight w:val="none"/>
        </w:rPr>
      </w:pPr>
      <w:r>
        <w:rPr>
          <w:rFonts w:hint="eastAsia" w:ascii="宋体" w:hAnsi="宋体" w:cs="宋体"/>
          <w:b/>
          <w:bCs/>
          <w:sz w:val="24"/>
          <w:szCs w:val="32"/>
          <w:highlight w:val="none"/>
        </w:rPr>
        <w:t>咨询助理</w:t>
      </w:r>
    </w:p>
    <w:p w14:paraId="528471F9">
      <w:pPr>
        <w:pStyle w:val="11"/>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根据咨询工作的分解与分工，负责项目工作落地执行，参与访谈、统计分析调研数据、相关报告、文档的编制，保证所承担任务的进度和质量。</w:t>
      </w:r>
    </w:p>
    <w:p w14:paraId="06DA30BE">
      <w:pPr>
        <w:pStyle w:val="5"/>
        <w:spacing w:line="360" w:lineRule="auto"/>
        <w:ind w:left="420" w:leftChars="200" w:firstLine="0" w:firstLineChars="0"/>
        <w:rPr>
          <w:rFonts w:ascii="宋体" w:hAnsi="宋体" w:cs="宋体"/>
          <w:b/>
          <w:bCs/>
          <w:sz w:val="24"/>
          <w:szCs w:val="32"/>
          <w:highlight w:val="none"/>
        </w:rPr>
      </w:pPr>
      <w:r>
        <w:rPr>
          <w:rFonts w:hint="eastAsia" w:ascii="宋体" w:hAnsi="宋体" w:cs="宋体"/>
          <w:b/>
          <w:bCs/>
          <w:sz w:val="24"/>
          <w:szCs w:val="32"/>
          <w:highlight w:val="none"/>
        </w:rPr>
        <w:t>2）现场服务人员要求</w:t>
      </w:r>
    </w:p>
    <w:p w14:paraId="5BD1F919">
      <w:pPr>
        <w:pStyle w:val="5"/>
        <w:spacing w:line="360" w:lineRule="auto"/>
        <w:ind w:firstLine="480"/>
        <w:rPr>
          <w:rFonts w:ascii="宋体" w:hAnsi="宋体" w:cs="宋体"/>
          <w:sz w:val="24"/>
          <w:szCs w:val="32"/>
          <w:highlight w:val="none"/>
        </w:rPr>
      </w:pPr>
      <w:r>
        <w:rPr>
          <w:rFonts w:hint="eastAsia" w:ascii="宋体" w:hAnsi="宋体" w:cs="宋体"/>
          <w:sz w:val="24"/>
          <w:szCs w:val="32"/>
          <w:highlight w:val="none"/>
        </w:rPr>
        <w:t>如招标人项目需要，投标人需要提供不少于1名技术骨干不定期现场技术服务，配合招标人开展相关服务工作；投标人安排的技术人员应具有信息化项目管理、咨询经验。</w:t>
      </w:r>
    </w:p>
    <w:p w14:paraId="72AEE571">
      <w:pPr>
        <w:pStyle w:val="5"/>
        <w:spacing w:line="360" w:lineRule="auto"/>
        <w:ind w:left="420" w:leftChars="200" w:firstLine="0" w:firstLineChars="0"/>
        <w:rPr>
          <w:rFonts w:ascii="宋体" w:hAnsi="宋体" w:cs="宋体"/>
          <w:b/>
          <w:bCs/>
          <w:sz w:val="24"/>
          <w:szCs w:val="32"/>
          <w:highlight w:val="none"/>
        </w:rPr>
      </w:pPr>
      <w:r>
        <w:rPr>
          <w:rFonts w:hint="eastAsia" w:ascii="宋体" w:hAnsi="宋体" w:cs="宋体"/>
          <w:b/>
          <w:bCs/>
          <w:sz w:val="24"/>
          <w:szCs w:val="32"/>
          <w:highlight w:val="none"/>
        </w:rPr>
        <w:t>3）响应时间要求</w:t>
      </w:r>
    </w:p>
    <w:p w14:paraId="1F15EDCF">
      <w:pPr>
        <w:pStyle w:val="5"/>
        <w:numPr>
          <w:ilvl w:val="0"/>
          <w:numId w:val="4"/>
        </w:numPr>
        <w:spacing w:line="360" w:lineRule="auto"/>
        <w:ind w:left="0" w:firstLine="482"/>
        <w:rPr>
          <w:rFonts w:ascii="宋体" w:hAnsi="宋体" w:cs="宋体"/>
          <w:b/>
          <w:bCs/>
          <w:sz w:val="24"/>
          <w:szCs w:val="32"/>
          <w:highlight w:val="none"/>
        </w:rPr>
      </w:pPr>
      <w:r>
        <w:rPr>
          <w:rFonts w:hint="eastAsia" w:ascii="宋体" w:hAnsi="宋体" w:cs="宋体"/>
          <w:b/>
          <w:bCs/>
          <w:sz w:val="24"/>
          <w:szCs w:val="32"/>
          <w:highlight w:val="none"/>
        </w:rPr>
        <w:t>服务团队</w:t>
      </w:r>
    </w:p>
    <w:p w14:paraId="41060E47">
      <w:pPr>
        <w:pStyle w:val="5"/>
        <w:spacing w:line="360" w:lineRule="auto"/>
        <w:ind w:firstLine="480"/>
        <w:rPr>
          <w:rFonts w:ascii="宋体" w:hAnsi="宋体" w:cs="宋体"/>
          <w:sz w:val="24"/>
          <w:szCs w:val="32"/>
          <w:highlight w:val="none"/>
        </w:rPr>
      </w:pPr>
      <w:r>
        <w:rPr>
          <w:rFonts w:hint="eastAsia" w:ascii="宋体" w:hAnsi="宋体" w:cs="宋体"/>
          <w:sz w:val="24"/>
          <w:szCs w:val="32"/>
          <w:highlight w:val="none"/>
        </w:rPr>
        <w:t>投标人需承诺提供5*8小时的咨询服务和技术业务咨询服务，并有专业的服务团队负责及时解决项目技术问题。</w:t>
      </w:r>
    </w:p>
    <w:p w14:paraId="57F0C622">
      <w:pPr>
        <w:pStyle w:val="5"/>
        <w:numPr>
          <w:ilvl w:val="0"/>
          <w:numId w:val="5"/>
        </w:numPr>
        <w:spacing w:line="360" w:lineRule="auto"/>
        <w:ind w:left="0" w:firstLine="482"/>
        <w:rPr>
          <w:rFonts w:ascii="宋体" w:hAnsi="宋体" w:cs="宋体"/>
          <w:b/>
          <w:bCs/>
          <w:sz w:val="24"/>
          <w:szCs w:val="32"/>
          <w:highlight w:val="none"/>
        </w:rPr>
      </w:pPr>
      <w:r>
        <w:rPr>
          <w:rFonts w:hint="eastAsia" w:ascii="宋体" w:hAnsi="宋体" w:cs="宋体"/>
          <w:b/>
          <w:bCs/>
          <w:sz w:val="24"/>
          <w:szCs w:val="32"/>
          <w:highlight w:val="none"/>
        </w:rPr>
        <w:t>现场服务人员</w:t>
      </w:r>
    </w:p>
    <w:p w14:paraId="3FFE0F81">
      <w:pPr>
        <w:pStyle w:val="5"/>
        <w:spacing w:line="360" w:lineRule="auto"/>
        <w:ind w:firstLine="480"/>
        <w:rPr>
          <w:rFonts w:ascii="宋体" w:hAnsi="宋体" w:cs="宋体"/>
          <w:sz w:val="24"/>
          <w:szCs w:val="32"/>
          <w:highlight w:val="none"/>
        </w:rPr>
      </w:pPr>
      <w:r>
        <w:rPr>
          <w:rFonts w:hint="eastAsia" w:ascii="宋体" w:hAnsi="宋体" w:cs="宋体"/>
          <w:sz w:val="24"/>
          <w:szCs w:val="32"/>
          <w:highlight w:val="none"/>
        </w:rPr>
        <w:t>如招标人项目需要，现场服务人员须5*8小时至招标人指定地点开展相关服务工作（参照招标人的安排并服从招标人的要求）。</w:t>
      </w:r>
    </w:p>
    <w:p w14:paraId="1ED39610">
      <w:pPr>
        <w:keepNext/>
        <w:keepLines/>
        <w:numPr>
          <w:ilvl w:val="0"/>
          <w:numId w:val="1"/>
        </w:numPr>
        <w:spacing w:before="156" w:beforeLines="50" w:after="156" w:afterLines="50" w:line="360" w:lineRule="auto"/>
        <w:ind w:left="0" w:firstLine="0"/>
        <w:rPr>
          <w:rFonts w:ascii="宋体" w:hAnsi="宋体" w:cs="宋体"/>
          <w:b/>
          <w:bCs/>
          <w:sz w:val="24"/>
          <w:szCs w:val="32"/>
          <w:highlight w:val="none"/>
        </w:rPr>
      </w:pPr>
      <w:r>
        <w:rPr>
          <w:rFonts w:hint="eastAsia" w:ascii="宋体" w:hAnsi="宋体" w:cs="宋体"/>
          <w:b/>
          <w:bCs/>
          <w:sz w:val="24"/>
          <w:szCs w:val="32"/>
          <w:highlight w:val="none"/>
        </w:rPr>
        <w:t>服务明细</w:t>
      </w:r>
    </w:p>
    <w:tbl>
      <w:tblPr>
        <w:tblStyle w:val="8"/>
        <w:tblW w:w="5000" w:type="pct"/>
        <w:tblInd w:w="0" w:type="dxa"/>
        <w:tblLayout w:type="autofit"/>
        <w:tblCellMar>
          <w:top w:w="0" w:type="dxa"/>
          <w:left w:w="108" w:type="dxa"/>
          <w:bottom w:w="0" w:type="dxa"/>
          <w:right w:w="108" w:type="dxa"/>
        </w:tblCellMar>
      </w:tblPr>
      <w:tblGrid>
        <w:gridCol w:w="1589"/>
        <w:gridCol w:w="7472"/>
      </w:tblGrid>
      <w:tr w14:paraId="30DD620A">
        <w:tblPrEx>
          <w:tblCellMar>
            <w:top w:w="0" w:type="dxa"/>
            <w:left w:w="108" w:type="dxa"/>
            <w:bottom w:w="0" w:type="dxa"/>
            <w:right w:w="108" w:type="dxa"/>
          </w:tblCellMar>
        </w:tblPrEx>
        <w:trPr>
          <w:trHeight w:val="860" w:hRule="atLeast"/>
        </w:trPr>
        <w:tc>
          <w:tcPr>
            <w:tcW w:w="881" w:type="pct"/>
            <w:tcBorders>
              <w:top w:val="single" w:color="000000" w:sz="8" w:space="0"/>
              <w:left w:val="single" w:color="000000" w:sz="8" w:space="0"/>
              <w:bottom w:val="single" w:color="000000" w:sz="4" w:space="0"/>
              <w:right w:val="single" w:color="000000" w:sz="4" w:space="0"/>
            </w:tcBorders>
            <w:noWrap/>
            <w:vAlign w:val="center"/>
          </w:tcPr>
          <w:p w14:paraId="45931671">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服务大项</w:t>
            </w:r>
          </w:p>
        </w:tc>
        <w:tc>
          <w:tcPr>
            <w:tcW w:w="4118" w:type="pct"/>
            <w:tcBorders>
              <w:top w:val="single" w:color="000000" w:sz="8" w:space="0"/>
              <w:left w:val="single" w:color="000000" w:sz="4" w:space="0"/>
              <w:bottom w:val="single" w:color="000000" w:sz="4" w:space="0"/>
              <w:right w:val="single" w:color="000000" w:sz="4" w:space="0"/>
            </w:tcBorders>
            <w:noWrap/>
            <w:vAlign w:val="center"/>
          </w:tcPr>
          <w:p w14:paraId="20AFF3F0">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工作细项</w:t>
            </w:r>
          </w:p>
        </w:tc>
      </w:tr>
      <w:tr w14:paraId="52772A49">
        <w:tblPrEx>
          <w:tblCellMar>
            <w:top w:w="0" w:type="dxa"/>
            <w:left w:w="108" w:type="dxa"/>
            <w:bottom w:w="0" w:type="dxa"/>
            <w:right w:w="108" w:type="dxa"/>
          </w:tblCellMar>
        </w:tblPrEx>
        <w:trPr>
          <w:trHeight w:val="482" w:hRule="atLeast"/>
        </w:trPr>
        <w:tc>
          <w:tcPr>
            <w:tcW w:w="881" w:type="pct"/>
            <w:vMerge w:val="restart"/>
            <w:tcBorders>
              <w:top w:val="single" w:color="000000" w:sz="4" w:space="0"/>
              <w:left w:val="single" w:color="000000" w:sz="8" w:space="0"/>
              <w:bottom w:val="single" w:color="000000" w:sz="4" w:space="0"/>
              <w:right w:val="single" w:color="000000" w:sz="4" w:space="0"/>
            </w:tcBorders>
            <w:noWrap/>
            <w:vAlign w:val="center"/>
          </w:tcPr>
          <w:p w14:paraId="0F9550CC">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全过程项目管理</w:t>
            </w:r>
          </w:p>
        </w:tc>
        <w:tc>
          <w:tcPr>
            <w:tcW w:w="4118" w:type="pct"/>
            <w:tcBorders>
              <w:top w:val="single" w:color="000000" w:sz="4" w:space="0"/>
              <w:left w:val="single" w:color="000000" w:sz="4" w:space="0"/>
              <w:bottom w:val="single" w:color="000000" w:sz="4" w:space="0"/>
              <w:right w:val="single" w:color="000000" w:sz="4" w:space="0"/>
            </w:tcBorders>
            <w:noWrap w:val="0"/>
            <w:vAlign w:val="center"/>
          </w:tcPr>
          <w:p w14:paraId="21F62E87">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深化设计阶段，检查并控制设计单位的设计进度。</w:t>
            </w:r>
          </w:p>
        </w:tc>
      </w:tr>
      <w:tr w14:paraId="09FBC5E5">
        <w:tblPrEx>
          <w:tblCellMar>
            <w:top w:w="0" w:type="dxa"/>
            <w:left w:w="108" w:type="dxa"/>
            <w:bottom w:w="0" w:type="dxa"/>
            <w:right w:w="108" w:type="dxa"/>
          </w:tblCellMar>
        </w:tblPrEx>
        <w:trPr>
          <w:trHeight w:val="1720" w:hRule="atLeast"/>
        </w:trPr>
        <w:tc>
          <w:tcPr>
            <w:tcW w:w="881" w:type="pct"/>
            <w:vMerge w:val="continue"/>
            <w:tcBorders>
              <w:top w:val="single" w:color="000000" w:sz="4" w:space="0"/>
              <w:left w:val="single" w:color="000000" w:sz="8" w:space="0"/>
              <w:bottom w:val="single" w:color="000000" w:sz="4" w:space="0"/>
              <w:right w:val="single" w:color="000000" w:sz="4" w:space="0"/>
            </w:tcBorders>
            <w:noWrap/>
            <w:vAlign w:val="center"/>
          </w:tcPr>
          <w:p w14:paraId="3F9DE8FF">
            <w:pPr>
              <w:jc w:val="center"/>
              <w:rPr>
                <w:rFonts w:ascii="宋体" w:hAnsi="宋体" w:cs="宋体"/>
                <w:color w:val="000000"/>
                <w:sz w:val="22"/>
                <w:szCs w:val="22"/>
                <w:highlight w:val="none"/>
              </w:rPr>
            </w:pPr>
          </w:p>
        </w:tc>
        <w:tc>
          <w:tcPr>
            <w:tcW w:w="4118" w:type="pct"/>
            <w:tcBorders>
              <w:top w:val="single" w:color="000000" w:sz="4" w:space="0"/>
              <w:left w:val="single" w:color="000000" w:sz="4" w:space="0"/>
              <w:bottom w:val="single" w:color="000000" w:sz="4" w:space="0"/>
              <w:right w:val="single" w:color="000000" w:sz="4" w:space="0"/>
            </w:tcBorders>
            <w:noWrap w:val="0"/>
            <w:vAlign w:val="center"/>
          </w:tcPr>
          <w:p w14:paraId="39C19DFF">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深化设计阶段，对各阶段（根据项目实际要求的设计阶段）及各专业（包括但不限于通算、智算、存储、网络、软件以及其他与本项目密切相关必不可少的系统、专业和其他特殊工程）的设计图纸、设计深度及设计成果进行审查，减少由于设计错误造成的设计变更、增加投资、拖延工期等情况，并提交监理设计阶段审查报告</w:t>
            </w:r>
          </w:p>
        </w:tc>
      </w:tr>
      <w:tr w14:paraId="77F66869">
        <w:tblPrEx>
          <w:tblCellMar>
            <w:top w:w="0" w:type="dxa"/>
            <w:left w:w="108" w:type="dxa"/>
            <w:bottom w:w="0" w:type="dxa"/>
            <w:right w:w="108" w:type="dxa"/>
          </w:tblCellMar>
        </w:tblPrEx>
        <w:trPr>
          <w:trHeight w:val="749" w:hRule="atLeast"/>
        </w:trPr>
        <w:tc>
          <w:tcPr>
            <w:tcW w:w="881" w:type="pct"/>
            <w:vMerge w:val="continue"/>
            <w:tcBorders>
              <w:top w:val="single" w:color="000000" w:sz="4" w:space="0"/>
              <w:left w:val="single" w:color="000000" w:sz="8" w:space="0"/>
              <w:bottom w:val="single" w:color="000000" w:sz="4" w:space="0"/>
              <w:right w:val="single" w:color="000000" w:sz="4" w:space="0"/>
            </w:tcBorders>
            <w:noWrap/>
            <w:vAlign w:val="center"/>
          </w:tcPr>
          <w:p w14:paraId="63E828C1">
            <w:pPr>
              <w:jc w:val="center"/>
              <w:rPr>
                <w:rFonts w:ascii="宋体" w:hAnsi="宋体" w:cs="宋体"/>
                <w:color w:val="000000"/>
                <w:sz w:val="22"/>
                <w:szCs w:val="22"/>
                <w:highlight w:val="none"/>
              </w:rPr>
            </w:pPr>
          </w:p>
        </w:tc>
        <w:tc>
          <w:tcPr>
            <w:tcW w:w="4118" w:type="pct"/>
            <w:tcBorders>
              <w:top w:val="single" w:color="000000" w:sz="4" w:space="0"/>
              <w:left w:val="single" w:color="000000" w:sz="4" w:space="0"/>
              <w:bottom w:val="single" w:color="000000" w:sz="4" w:space="0"/>
              <w:right w:val="single" w:color="000000" w:sz="4" w:space="0"/>
            </w:tcBorders>
            <w:noWrap w:val="0"/>
            <w:vAlign w:val="center"/>
          </w:tcPr>
          <w:p w14:paraId="076FF00A">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深化设计阶段，协助组织设计单位进行工程设计优化、工程变更所涉及技术方案和成本比选并进行成本控制。</w:t>
            </w:r>
          </w:p>
        </w:tc>
      </w:tr>
      <w:tr w14:paraId="7853DE8E">
        <w:tblPrEx>
          <w:tblCellMar>
            <w:top w:w="0" w:type="dxa"/>
            <w:left w:w="108" w:type="dxa"/>
            <w:bottom w:w="0" w:type="dxa"/>
            <w:right w:w="108" w:type="dxa"/>
          </w:tblCellMar>
        </w:tblPrEx>
        <w:trPr>
          <w:trHeight w:val="749" w:hRule="atLeast"/>
        </w:trPr>
        <w:tc>
          <w:tcPr>
            <w:tcW w:w="881" w:type="pct"/>
            <w:vMerge w:val="continue"/>
            <w:tcBorders>
              <w:top w:val="single" w:color="000000" w:sz="4" w:space="0"/>
              <w:left w:val="single" w:color="000000" w:sz="8" w:space="0"/>
              <w:bottom w:val="single" w:color="000000" w:sz="4" w:space="0"/>
              <w:right w:val="single" w:color="000000" w:sz="4" w:space="0"/>
            </w:tcBorders>
            <w:noWrap/>
            <w:vAlign w:val="center"/>
          </w:tcPr>
          <w:p w14:paraId="70B459D9">
            <w:pPr>
              <w:jc w:val="center"/>
              <w:rPr>
                <w:rFonts w:ascii="宋体" w:hAnsi="宋体" w:cs="宋体"/>
                <w:color w:val="000000"/>
                <w:sz w:val="22"/>
                <w:szCs w:val="22"/>
                <w:highlight w:val="none"/>
              </w:rPr>
            </w:pPr>
          </w:p>
        </w:tc>
        <w:tc>
          <w:tcPr>
            <w:tcW w:w="4118" w:type="pct"/>
            <w:tcBorders>
              <w:top w:val="single" w:color="000000" w:sz="4" w:space="0"/>
              <w:left w:val="single" w:color="000000" w:sz="4" w:space="0"/>
              <w:bottom w:val="single" w:color="000000" w:sz="4" w:space="0"/>
              <w:right w:val="single" w:color="000000" w:sz="4" w:space="0"/>
            </w:tcBorders>
            <w:noWrap w:val="0"/>
            <w:vAlign w:val="center"/>
          </w:tcPr>
          <w:p w14:paraId="4D9A2E90">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项目实施阶段，严格实施计划进度管理，定期输出项目阶段性月度报告，反映项目的工作进度、成果，存在的问题以及纠偏措施</w:t>
            </w:r>
          </w:p>
        </w:tc>
      </w:tr>
      <w:tr w14:paraId="0EF17D55">
        <w:tblPrEx>
          <w:tblCellMar>
            <w:top w:w="0" w:type="dxa"/>
            <w:left w:w="108" w:type="dxa"/>
            <w:bottom w:w="0" w:type="dxa"/>
            <w:right w:w="108" w:type="dxa"/>
          </w:tblCellMar>
        </w:tblPrEx>
        <w:trPr>
          <w:trHeight w:val="956" w:hRule="atLeast"/>
        </w:trPr>
        <w:tc>
          <w:tcPr>
            <w:tcW w:w="881" w:type="pct"/>
            <w:vMerge w:val="continue"/>
            <w:tcBorders>
              <w:top w:val="single" w:color="000000" w:sz="4" w:space="0"/>
              <w:left w:val="single" w:color="000000" w:sz="8" w:space="0"/>
              <w:bottom w:val="single" w:color="000000" w:sz="4" w:space="0"/>
              <w:right w:val="single" w:color="000000" w:sz="4" w:space="0"/>
            </w:tcBorders>
            <w:noWrap/>
            <w:vAlign w:val="center"/>
          </w:tcPr>
          <w:p w14:paraId="591FBEF2">
            <w:pPr>
              <w:jc w:val="center"/>
              <w:rPr>
                <w:rFonts w:ascii="宋体" w:hAnsi="宋体" w:cs="宋体"/>
                <w:color w:val="000000"/>
                <w:sz w:val="22"/>
                <w:szCs w:val="22"/>
                <w:highlight w:val="none"/>
              </w:rPr>
            </w:pPr>
          </w:p>
        </w:tc>
        <w:tc>
          <w:tcPr>
            <w:tcW w:w="4118" w:type="pct"/>
            <w:tcBorders>
              <w:top w:val="single" w:color="000000" w:sz="4" w:space="0"/>
              <w:left w:val="single" w:color="000000" w:sz="4" w:space="0"/>
              <w:bottom w:val="single" w:color="000000" w:sz="4" w:space="0"/>
              <w:right w:val="single" w:color="000000" w:sz="4" w:space="0"/>
            </w:tcBorders>
            <w:noWrap w:val="0"/>
            <w:vAlign w:val="center"/>
          </w:tcPr>
          <w:p w14:paraId="2FF898D7">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项目实施阶段，参与工程管理例会和工程协调例会，对于工程中的规划、设计、技术、设备等重大问题以及影响工程质量、进度、投资的关键问题提出意见，推进工程质量、进度、投资等控制目标的实现</w:t>
            </w:r>
          </w:p>
        </w:tc>
      </w:tr>
      <w:tr w14:paraId="2504F50D">
        <w:tblPrEx>
          <w:tblCellMar>
            <w:top w:w="0" w:type="dxa"/>
            <w:left w:w="108" w:type="dxa"/>
            <w:bottom w:w="0" w:type="dxa"/>
            <w:right w:w="108" w:type="dxa"/>
          </w:tblCellMar>
        </w:tblPrEx>
        <w:trPr>
          <w:trHeight w:val="659" w:hRule="atLeast"/>
        </w:trPr>
        <w:tc>
          <w:tcPr>
            <w:tcW w:w="881" w:type="pct"/>
            <w:vMerge w:val="continue"/>
            <w:tcBorders>
              <w:top w:val="single" w:color="000000" w:sz="4" w:space="0"/>
              <w:left w:val="single" w:color="000000" w:sz="8" w:space="0"/>
              <w:bottom w:val="single" w:color="000000" w:sz="4" w:space="0"/>
              <w:right w:val="single" w:color="000000" w:sz="4" w:space="0"/>
            </w:tcBorders>
            <w:noWrap/>
            <w:vAlign w:val="center"/>
          </w:tcPr>
          <w:p w14:paraId="495B439D">
            <w:pPr>
              <w:jc w:val="center"/>
              <w:rPr>
                <w:rFonts w:ascii="宋体" w:hAnsi="宋体" w:cs="宋体"/>
                <w:color w:val="000000"/>
                <w:sz w:val="22"/>
                <w:szCs w:val="22"/>
                <w:highlight w:val="none"/>
              </w:rPr>
            </w:pPr>
          </w:p>
        </w:tc>
        <w:tc>
          <w:tcPr>
            <w:tcW w:w="4118" w:type="pct"/>
            <w:tcBorders>
              <w:top w:val="single" w:color="000000" w:sz="4" w:space="0"/>
              <w:left w:val="single" w:color="000000" w:sz="4" w:space="0"/>
              <w:bottom w:val="single" w:color="000000" w:sz="4" w:space="0"/>
              <w:right w:val="single" w:color="000000" w:sz="4" w:space="0"/>
            </w:tcBorders>
            <w:noWrap w:val="0"/>
            <w:vAlign w:val="center"/>
          </w:tcPr>
          <w:p w14:paraId="6BEA413F">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深化设计及项目实施阶段，协助建设单位组织关键技术路线以及重点实施方案相关讨论，把关技术方案合理性、完整性、可扩展性</w:t>
            </w:r>
          </w:p>
        </w:tc>
      </w:tr>
      <w:tr w14:paraId="1239E980">
        <w:tblPrEx>
          <w:tblCellMar>
            <w:top w:w="0" w:type="dxa"/>
            <w:left w:w="108" w:type="dxa"/>
            <w:bottom w:w="0" w:type="dxa"/>
            <w:right w:w="108" w:type="dxa"/>
          </w:tblCellMar>
        </w:tblPrEx>
        <w:trPr>
          <w:trHeight w:val="956" w:hRule="atLeast"/>
        </w:trPr>
        <w:tc>
          <w:tcPr>
            <w:tcW w:w="881" w:type="pct"/>
            <w:vMerge w:val="continue"/>
            <w:tcBorders>
              <w:top w:val="single" w:color="000000" w:sz="4" w:space="0"/>
              <w:left w:val="single" w:color="000000" w:sz="8" w:space="0"/>
              <w:bottom w:val="single" w:color="000000" w:sz="4" w:space="0"/>
              <w:right w:val="single" w:color="000000" w:sz="4" w:space="0"/>
            </w:tcBorders>
            <w:noWrap/>
            <w:vAlign w:val="center"/>
          </w:tcPr>
          <w:p w14:paraId="1B7C59BD">
            <w:pPr>
              <w:jc w:val="center"/>
              <w:rPr>
                <w:rFonts w:ascii="宋体" w:hAnsi="宋体" w:cs="宋体"/>
                <w:color w:val="000000"/>
                <w:sz w:val="22"/>
                <w:szCs w:val="22"/>
                <w:highlight w:val="none"/>
              </w:rPr>
            </w:pPr>
          </w:p>
        </w:tc>
        <w:tc>
          <w:tcPr>
            <w:tcW w:w="4118" w:type="pct"/>
            <w:tcBorders>
              <w:top w:val="single" w:color="000000" w:sz="4" w:space="0"/>
              <w:left w:val="single" w:color="000000" w:sz="4" w:space="0"/>
              <w:bottom w:val="single" w:color="000000" w:sz="4" w:space="0"/>
              <w:right w:val="single" w:color="000000" w:sz="4" w:space="0"/>
            </w:tcBorders>
            <w:noWrap w:val="0"/>
            <w:vAlign w:val="center"/>
          </w:tcPr>
          <w:p w14:paraId="7E3E4ECC">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竣工</w:t>
            </w:r>
            <w:r>
              <w:rPr>
                <w:rFonts w:hint="eastAsia" w:ascii="宋体" w:hAnsi="宋体" w:eastAsia="宋体" w:cs="宋体"/>
                <w:color w:val="000000"/>
                <w:kern w:val="0"/>
                <w:sz w:val="22"/>
                <w:szCs w:val="22"/>
                <w:highlight w:val="none"/>
                <w:lang w:bidi="ar"/>
              </w:rPr>
              <w:t>验收阶段，基于深化设计方案及各项已签署的合同等文件，协助建设单位及</w:t>
            </w:r>
            <w:bookmarkStart w:id="0" w:name="OLE_LINK1"/>
            <w:r>
              <w:rPr>
                <w:rFonts w:hint="eastAsia" w:ascii="宋体" w:hAnsi="宋体" w:eastAsia="宋体" w:cs="宋体"/>
                <w:color w:val="000000"/>
                <w:kern w:val="0"/>
                <w:sz w:val="22"/>
                <w:szCs w:val="22"/>
                <w:highlight w:val="none"/>
                <w:lang w:bidi="ar"/>
              </w:rPr>
              <w:t>项目验收机构</w:t>
            </w:r>
            <w:bookmarkEnd w:id="0"/>
            <w:r>
              <w:rPr>
                <w:rFonts w:hint="eastAsia" w:ascii="宋体" w:hAnsi="宋体" w:eastAsia="宋体" w:cs="宋体"/>
                <w:color w:val="000000"/>
                <w:kern w:val="0"/>
                <w:sz w:val="22"/>
                <w:szCs w:val="22"/>
                <w:highlight w:val="none"/>
                <w:lang w:bidi="ar"/>
              </w:rPr>
              <w:t>参照合同建设内容、软硬件清单、验收条件对项目建设成果进行验收评审</w:t>
            </w:r>
          </w:p>
        </w:tc>
      </w:tr>
      <w:tr w14:paraId="3B25B851">
        <w:tblPrEx>
          <w:tblCellMar>
            <w:top w:w="0" w:type="dxa"/>
            <w:left w:w="108" w:type="dxa"/>
            <w:bottom w:w="0" w:type="dxa"/>
            <w:right w:w="108" w:type="dxa"/>
          </w:tblCellMar>
        </w:tblPrEx>
        <w:trPr>
          <w:trHeight w:val="629" w:hRule="atLeast"/>
        </w:trPr>
        <w:tc>
          <w:tcPr>
            <w:tcW w:w="881" w:type="pct"/>
            <w:vMerge w:val="continue"/>
            <w:tcBorders>
              <w:top w:val="single" w:color="000000" w:sz="4" w:space="0"/>
              <w:left w:val="single" w:color="000000" w:sz="8" w:space="0"/>
              <w:bottom w:val="single" w:color="000000" w:sz="4" w:space="0"/>
              <w:right w:val="single" w:color="000000" w:sz="4" w:space="0"/>
            </w:tcBorders>
            <w:noWrap/>
            <w:vAlign w:val="center"/>
          </w:tcPr>
          <w:p w14:paraId="0BC83EF1">
            <w:pPr>
              <w:jc w:val="center"/>
              <w:rPr>
                <w:rFonts w:ascii="宋体" w:hAnsi="宋体" w:cs="宋体"/>
                <w:color w:val="000000"/>
                <w:sz w:val="22"/>
                <w:szCs w:val="22"/>
                <w:highlight w:val="none"/>
              </w:rPr>
            </w:pPr>
          </w:p>
        </w:tc>
        <w:tc>
          <w:tcPr>
            <w:tcW w:w="4118" w:type="pct"/>
            <w:tcBorders>
              <w:top w:val="single" w:color="000000" w:sz="4" w:space="0"/>
              <w:left w:val="single" w:color="000000" w:sz="4" w:space="0"/>
              <w:bottom w:val="single" w:color="000000" w:sz="4" w:space="0"/>
              <w:right w:val="single" w:color="000000" w:sz="4" w:space="0"/>
            </w:tcBorders>
            <w:noWrap w:val="0"/>
            <w:vAlign w:val="center"/>
          </w:tcPr>
          <w:p w14:paraId="35879520">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竣工验收阶段，协助建</w:t>
            </w:r>
            <w:r>
              <w:rPr>
                <w:rFonts w:hint="eastAsia" w:ascii="宋体" w:hAnsi="宋体" w:eastAsia="宋体" w:cs="宋体"/>
                <w:color w:val="000000"/>
                <w:kern w:val="0"/>
                <w:sz w:val="22"/>
                <w:szCs w:val="22"/>
                <w:highlight w:val="none"/>
                <w:lang w:bidi="ar"/>
              </w:rPr>
              <w:t>设单位及项目验收机构进行工程竣工资料的收集、汇编，并审核竣工验收档案资料的完整性、合规</w:t>
            </w:r>
            <w:r>
              <w:rPr>
                <w:rFonts w:hint="eastAsia" w:ascii="宋体" w:hAnsi="宋体" w:cs="宋体"/>
                <w:color w:val="000000"/>
                <w:kern w:val="0"/>
                <w:sz w:val="22"/>
                <w:szCs w:val="22"/>
                <w:highlight w:val="none"/>
                <w:lang w:bidi="ar"/>
              </w:rPr>
              <w:t>性</w:t>
            </w:r>
          </w:p>
        </w:tc>
      </w:tr>
      <w:tr w14:paraId="63265CF0">
        <w:tblPrEx>
          <w:tblCellMar>
            <w:top w:w="0" w:type="dxa"/>
            <w:left w:w="108" w:type="dxa"/>
            <w:bottom w:w="0" w:type="dxa"/>
            <w:right w:w="108" w:type="dxa"/>
          </w:tblCellMar>
        </w:tblPrEx>
        <w:trPr>
          <w:trHeight w:val="572" w:hRule="atLeast"/>
        </w:trPr>
        <w:tc>
          <w:tcPr>
            <w:tcW w:w="881" w:type="pct"/>
            <w:vMerge w:val="restart"/>
            <w:tcBorders>
              <w:top w:val="single" w:color="000000" w:sz="4" w:space="0"/>
              <w:left w:val="single" w:color="000000" w:sz="8" w:space="0"/>
              <w:bottom w:val="single" w:color="000000" w:sz="4" w:space="0"/>
              <w:right w:val="single" w:color="000000" w:sz="4" w:space="0"/>
            </w:tcBorders>
            <w:noWrap/>
            <w:vAlign w:val="center"/>
          </w:tcPr>
          <w:p w14:paraId="466F0FF6">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项目实施监理</w:t>
            </w:r>
          </w:p>
        </w:tc>
        <w:tc>
          <w:tcPr>
            <w:tcW w:w="4118" w:type="pct"/>
            <w:tcBorders>
              <w:top w:val="single" w:color="000000" w:sz="4" w:space="0"/>
              <w:left w:val="single" w:color="000000" w:sz="4" w:space="0"/>
              <w:bottom w:val="single" w:color="000000" w:sz="4" w:space="0"/>
              <w:right w:val="single" w:color="000000" w:sz="4" w:space="0"/>
            </w:tcBorders>
            <w:noWrap/>
            <w:vAlign w:val="center"/>
          </w:tcPr>
          <w:p w14:paraId="5AAA12F0">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协助审核施工方（总包、分包商等）提出的变更，并提出合理化建议</w:t>
            </w:r>
          </w:p>
        </w:tc>
      </w:tr>
      <w:tr w14:paraId="7D9DE345">
        <w:tblPrEx>
          <w:tblCellMar>
            <w:top w:w="0" w:type="dxa"/>
            <w:left w:w="108" w:type="dxa"/>
            <w:bottom w:w="0" w:type="dxa"/>
            <w:right w:w="108" w:type="dxa"/>
          </w:tblCellMar>
        </w:tblPrEx>
        <w:trPr>
          <w:trHeight w:val="749" w:hRule="atLeast"/>
        </w:trPr>
        <w:tc>
          <w:tcPr>
            <w:tcW w:w="881" w:type="pct"/>
            <w:vMerge w:val="continue"/>
            <w:tcBorders>
              <w:top w:val="single" w:color="000000" w:sz="4" w:space="0"/>
              <w:left w:val="single" w:color="000000" w:sz="8" w:space="0"/>
              <w:bottom w:val="single" w:color="000000" w:sz="4" w:space="0"/>
              <w:right w:val="single" w:color="000000" w:sz="4" w:space="0"/>
            </w:tcBorders>
            <w:noWrap/>
            <w:vAlign w:val="center"/>
          </w:tcPr>
          <w:p w14:paraId="79CA75AC">
            <w:pPr>
              <w:jc w:val="center"/>
              <w:rPr>
                <w:rFonts w:ascii="宋体" w:hAnsi="宋体" w:cs="宋体"/>
                <w:color w:val="000000"/>
                <w:sz w:val="22"/>
                <w:szCs w:val="22"/>
                <w:highlight w:val="none"/>
              </w:rPr>
            </w:pPr>
          </w:p>
        </w:tc>
        <w:tc>
          <w:tcPr>
            <w:tcW w:w="4118" w:type="pct"/>
            <w:tcBorders>
              <w:top w:val="single" w:color="000000" w:sz="4" w:space="0"/>
              <w:left w:val="single" w:color="000000" w:sz="4" w:space="0"/>
              <w:bottom w:val="single" w:color="000000" w:sz="4" w:space="0"/>
              <w:right w:val="single" w:color="000000" w:sz="4" w:space="0"/>
            </w:tcBorders>
            <w:noWrap/>
            <w:vAlign w:val="center"/>
          </w:tcPr>
          <w:p w14:paraId="54CDD41F">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设备到货后进行设备清点，检查实际到货设备数量、型号、参数与采购清单的一致性</w:t>
            </w:r>
          </w:p>
        </w:tc>
      </w:tr>
      <w:tr w14:paraId="54E51382">
        <w:tblPrEx>
          <w:tblCellMar>
            <w:top w:w="0" w:type="dxa"/>
            <w:left w:w="108" w:type="dxa"/>
            <w:bottom w:w="0" w:type="dxa"/>
            <w:right w:w="108" w:type="dxa"/>
          </w:tblCellMar>
        </w:tblPrEx>
        <w:trPr>
          <w:trHeight w:val="512" w:hRule="atLeast"/>
        </w:trPr>
        <w:tc>
          <w:tcPr>
            <w:tcW w:w="881" w:type="pct"/>
            <w:vMerge w:val="continue"/>
            <w:tcBorders>
              <w:top w:val="single" w:color="000000" w:sz="4" w:space="0"/>
              <w:left w:val="single" w:color="000000" w:sz="8" w:space="0"/>
              <w:bottom w:val="single" w:color="000000" w:sz="4" w:space="0"/>
              <w:right w:val="single" w:color="000000" w:sz="4" w:space="0"/>
            </w:tcBorders>
            <w:noWrap/>
            <w:vAlign w:val="center"/>
          </w:tcPr>
          <w:p w14:paraId="1CCE0A84">
            <w:pPr>
              <w:jc w:val="center"/>
              <w:rPr>
                <w:rFonts w:ascii="宋体" w:hAnsi="宋体" w:cs="宋体"/>
                <w:color w:val="000000"/>
                <w:sz w:val="22"/>
                <w:szCs w:val="22"/>
                <w:highlight w:val="none"/>
              </w:rPr>
            </w:pPr>
          </w:p>
        </w:tc>
        <w:tc>
          <w:tcPr>
            <w:tcW w:w="4118" w:type="pct"/>
            <w:tcBorders>
              <w:top w:val="single" w:color="000000" w:sz="4" w:space="0"/>
              <w:left w:val="single" w:color="000000" w:sz="4" w:space="0"/>
              <w:bottom w:val="single" w:color="000000" w:sz="4" w:space="0"/>
              <w:right w:val="single" w:color="000000" w:sz="4" w:space="0"/>
            </w:tcBorders>
            <w:noWrap/>
            <w:vAlign w:val="center"/>
          </w:tcPr>
          <w:p w14:paraId="3E67F562">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对施工材料进行检验和验收，确保材料的质量符合要求</w:t>
            </w:r>
          </w:p>
        </w:tc>
      </w:tr>
      <w:tr w14:paraId="0271C6D3">
        <w:tblPrEx>
          <w:tblCellMar>
            <w:top w:w="0" w:type="dxa"/>
            <w:left w:w="108" w:type="dxa"/>
            <w:bottom w:w="0" w:type="dxa"/>
            <w:right w:w="108" w:type="dxa"/>
          </w:tblCellMar>
        </w:tblPrEx>
        <w:trPr>
          <w:trHeight w:val="542" w:hRule="atLeast"/>
        </w:trPr>
        <w:tc>
          <w:tcPr>
            <w:tcW w:w="881" w:type="pct"/>
            <w:vMerge w:val="continue"/>
            <w:tcBorders>
              <w:top w:val="single" w:color="000000" w:sz="4" w:space="0"/>
              <w:left w:val="single" w:color="000000" w:sz="8" w:space="0"/>
              <w:bottom w:val="single" w:color="000000" w:sz="4" w:space="0"/>
              <w:right w:val="single" w:color="000000" w:sz="4" w:space="0"/>
            </w:tcBorders>
            <w:noWrap/>
            <w:vAlign w:val="center"/>
          </w:tcPr>
          <w:p w14:paraId="13C395E4">
            <w:pPr>
              <w:jc w:val="center"/>
              <w:rPr>
                <w:rFonts w:ascii="宋体" w:hAnsi="宋体" w:cs="宋体"/>
                <w:color w:val="000000"/>
                <w:sz w:val="22"/>
                <w:szCs w:val="22"/>
                <w:highlight w:val="none"/>
              </w:rPr>
            </w:pPr>
          </w:p>
        </w:tc>
        <w:tc>
          <w:tcPr>
            <w:tcW w:w="4118" w:type="pct"/>
            <w:tcBorders>
              <w:top w:val="single" w:color="000000" w:sz="4" w:space="0"/>
              <w:left w:val="single" w:color="000000" w:sz="4" w:space="0"/>
              <w:bottom w:val="single" w:color="000000" w:sz="4" w:space="0"/>
              <w:right w:val="single" w:color="000000" w:sz="4" w:space="0"/>
            </w:tcBorders>
            <w:noWrap w:val="0"/>
            <w:vAlign w:val="center"/>
          </w:tcPr>
          <w:p w14:paraId="0A74EB44">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对施工现场进行检查和监督，确保施工质量符合设计要求和施工标准</w:t>
            </w:r>
          </w:p>
        </w:tc>
      </w:tr>
      <w:tr w14:paraId="5CDCBDB5">
        <w:tblPrEx>
          <w:tblCellMar>
            <w:top w:w="0" w:type="dxa"/>
            <w:left w:w="108" w:type="dxa"/>
            <w:bottom w:w="0" w:type="dxa"/>
            <w:right w:w="108" w:type="dxa"/>
          </w:tblCellMar>
        </w:tblPrEx>
        <w:trPr>
          <w:trHeight w:val="794" w:hRule="atLeast"/>
        </w:trPr>
        <w:tc>
          <w:tcPr>
            <w:tcW w:w="881" w:type="pct"/>
            <w:vMerge w:val="continue"/>
            <w:tcBorders>
              <w:top w:val="single" w:color="000000" w:sz="4" w:space="0"/>
              <w:left w:val="single" w:color="000000" w:sz="8" w:space="0"/>
              <w:bottom w:val="single" w:color="000000" w:sz="4" w:space="0"/>
              <w:right w:val="single" w:color="000000" w:sz="4" w:space="0"/>
            </w:tcBorders>
            <w:noWrap/>
            <w:vAlign w:val="center"/>
          </w:tcPr>
          <w:p w14:paraId="19502FFB">
            <w:pPr>
              <w:jc w:val="center"/>
              <w:rPr>
                <w:rFonts w:ascii="宋体" w:hAnsi="宋体" w:cs="宋体"/>
                <w:color w:val="000000"/>
                <w:sz w:val="22"/>
                <w:szCs w:val="22"/>
                <w:highlight w:val="none"/>
              </w:rPr>
            </w:pPr>
          </w:p>
        </w:tc>
        <w:tc>
          <w:tcPr>
            <w:tcW w:w="4118" w:type="pct"/>
            <w:tcBorders>
              <w:top w:val="single" w:color="000000" w:sz="4" w:space="0"/>
              <w:left w:val="single" w:color="000000" w:sz="4" w:space="0"/>
              <w:bottom w:val="single" w:color="000000" w:sz="4" w:space="0"/>
              <w:right w:val="single" w:color="000000" w:sz="4" w:space="0"/>
            </w:tcBorders>
            <w:noWrap w:val="0"/>
            <w:vAlign w:val="center"/>
          </w:tcPr>
          <w:p w14:paraId="353A2984">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每周组织召开现场例会，若临时确定有必要临时召开专题会议，需与有关单位协商后组织会议进行专题讨论</w:t>
            </w:r>
          </w:p>
        </w:tc>
      </w:tr>
      <w:tr w14:paraId="55349F63">
        <w:tblPrEx>
          <w:tblCellMar>
            <w:top w:w="0" w:type="dxa"/>
            <w:left w:w="108" w:type="dxa"/>
            <w:bottom w:w="0" w:type="dxa"/>
            <w:right w:w="108" w:type="dxa"/>
          </w:tblCellMar>
        </w:tblPrEx>
        <w:trPr>
          <w:trHeight w:val="794" w:hRule="atLeast"/>
        </w:trPr>
        <w:tc>
          <w:tcPr>
            <w:tcW w:w="881" w:type="pct"/>
            <w:vMerge w:val="continue"/>
            <w:tcBorders>
              <w:top w:val="single" w:color="000000" w:sz="4" w:space="0"/>
              <w:left w:val="single" w:color="000000" w:sz="8" w:space="0"/>
              <w:bottom w:val="single" w:color="000000" w:sz="4" w:space="0"/>
              <w:right w:val="single" w:color="000000" w:sz="4" w:space="0"/>
            </w:tcBorders>
            <w:noWrap/>
            <w:vAlign w:val="center"/>
          </w:tcPr>
          <w:p w14:paraId="6AE75B5B">
            <w:pPr>
              <w:jc w:val="center"/>
              <w:rPr>
                <w:rFonts w:ascii="宋体" w:hAnsi="宋体" w:cs="宋体"/>
                <w:color w:val="000000"/>
                <w:sz w:val="22"/>
                <w:szCs w:val="22"/>
                <w:highlight w:val="none"/>
              </w:rPr>
            </w:pPr>
          </w:p>
        </w:tc>
        <w:tc>
          <w:tcPr>
            <w:tcW w:w="4118" w:type="pct"/>
            <w:tcBorders>
              <w:top w:val="single" w:color="000000" w:sz="4" w:space="0"/>
              <w:left w:val="single" w:color="000000" w:sz="4" w:space="0"/>
              <w:bottom w:val="single" w:color="000000" w:sz="4" w:space="0"/>
              <w:right w:val="single" w:color="000000" w:sz="4" w:space="0"/>
            </w:tcBorders>
            <w:noWrap w:val="0"/>
            <w:vAlign w:val="center"/>
          </w:tcPr>
          <w:p w14:paraId="5BEF7545">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发现设计方/施工方需要整改的工作内容，视情况严重程度发出工作联系单或监理通知单，提出要求采取的措施及监理意见</w:t>
            </w:r>
          </w:p>
        </w:tc>
      </w:tr>
      <w:tr w14:paraId="72A5CCA2">
        <w:tblPrEx>
          <w:tblCellMar>
            <w:top w:w="0" w:type="dxa"/>
            <w:left w:w="108" w:type="dxa"/>
            <w:bottom w:w="0" w:type="dxa"/>
            <w:right w:w="108" w:type="dxa"/>
          </w:tblCellMar>
        </w:tblPrEx>
        <w:trPr>
          <w:trHeight w:val="824" w:hRule="atLeast"/>
        </w:trPr>
        <w:tc>
          <w:tcPr>
            <w:tcW w:w="881" w:type="pct"/>
            <w:vMerge w:val="continue"/>
            <w:tcBorders>
              <w:top w:val="single" w:color="000000" w:sz="4" w:space="0"/>
              <w:left w:val="single" w:color="000000" w:sz="8" w:space="0"/>
              <w:bottom w:val="single" w:color="000000" w:sz="4" w:space="0"/>
              <w:right w:val="single" w:color="000000" w:sz="4" w:space="0"/>
            </w:tcBorders>
            <w:noWrap/>
            <w:vAlign w:val="center"/>
          </w:tcPr>
          <w:p w14:paraId="0DF33E03">
            <w:pPr>
              <w:jc w:val="center"/>
              <w:rPr>
                <w:rFonts w:ascii="宋体" w:hAnsi="宋体" w:cs="宋体"/>
                <w:color w:val="000000"/>
                <w:sz w:val="22"/>
                <w:szCs w:val="22"/>
                <w:highlight w:val="none"/>
              </w:rPr>
            </w:pPr>
          </w:p>
        </w:tc>
        <w:tc>
          <w:tcPr>
            <w:tcW w:w="4118" w:type="pct"/>
            <w:tcBorders>
              <w:top w:val="single" w:color="000000" w:sz="4" w:space="0"/>
              <w:left w:val="single" w:color="000000" w:sz="4" w:space="0"/>
              <w:bottom w:val="single" w:color="000000" w:sz="4" w:space="0"/>
              <w:right w:val="single" w:color="000000" w:sz="4" w:space="0"/>
            </w:tcBorders>
            <w:noWrap w:val="0"/>
            <w:vAlign w:val="center"/>
          </w:tcPr>
          <w:p w14:paraId="6D17DB19">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协助建设单位组织定期的安全检查，现场检查特殊工种持证上岗情况及安全保护措施，落实文明施工管理的具体内容</w:t>
            </w:r>
          </w:p>
        </w:tc>
      </w:tr>
      <w:tr w14:paraId="66A3D269">
        <w:tblPrEx>
          <w:tblCellMar>
            <w:top w:w="0" w:type="dxa"/>
            <w:left w:w="108" w:type="dxa"/>
            <w:bottom w:w="0" w:type="dxa"/>
            <w:right w:w="108" w:type="dxa"/>
          </w:tblCellMar>
        </w:tblPrEx>
        <w:trPr>
          <w:trHeight w:val="527" w:hRule="atLeast"/>
        </w:trPr>
        <w:tc>
          <w:tcPr>
            <w:tcW w:w="881" w:type="pct"/>
            <w:vMerge w:val="continue"/>
            <w:tcBorders>
              <w:top w:val="single" w:color="000000" w:sz="4" w:space="0"/>
              <w:left w:val="single" w:color="000000" w:sz="8" w:space="0"/>
              <w:bottom w:val="single" w:color="000000" w:sz="4" w:space="0"/>
              <w:right w:val="single" w:color="000000" w:sz="4" w:space="0"/>
            </w:tcBorders>
            <w:noWrap/>
            <w:vAlign w:val="center"/>
          </w:tcPr>
          <w:p w14:paraId="561CA10D">
            <w:pPr>
              <w:jc w:val="center"/>
              <w:rPr>
                <w:rFonts w:ascii="宋体" w:hAnsi="宋体" w:cs="宋体"/>
                <w:color w:val="000000"/>
                <w:sz w:val="22"/>
                <w:szCs w:val="22"/>
                <w:highlight w:val="none"/>
              </w:rPr>
            </w:pPr>
          </w:p>
        </w:tc>
        <w:tc>
          <w:tcPr>
            <w:tcW w:w="4118" w:type="pct"/>
            <w:tcBorders>
              <w:top w:val="single" w:color="000000" w:sz="4" w:space="0"/>
              <w:left w:val="single" w:color="000000" w:sz="4" w:space="0"/>
              <w:bottom w:val="single" w:color="000000" w:sz="4" w:space="0"/>
              <w:right w:val="single" w:color="000000" w:sz="4" w:space="0"/>
            </w:tcBorders>
            <w:noWrap w:val="0"/>
            <w:vAlign w:val="center"/>
          </w:tcPr>
          <w:p w14:paraId="3DEADAE5">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现场旁站关键工序、关键部位的施工过程以及强制性标准执行情况</w:t>
            </w:r>
          </w:p>
        </w:tc>
      </w:tr>
      <w:tr w14:paraId="6C197FEF">
        <w:tblPrEx>
          <w:tblCellMar>
            <w:top w:w="0" w:type="dxa"/>
            <w:left w:w="108" w:type="dxa"/>
            <w:bottom w:w="0" w:type="dxa"/>
            <w:right w:w="108" w:type="dxa"/>
          </w:tblCellMar>
        </w:tblPrEx>
        <w:trPr>
          <w:trHeight w:val="854" w:hRule="atLeast"/>
        </w:trPr>
        <w:tc>
          <w:tcPr>
            <w:tcW w:w="881" w:type="pct"/>
            <w:vMerge w:val="continue"/>
            <w:tcBorders>
              <w:top w:val="single" w:color="000000" w:sz="4" w:space="0"/>
              <w:left w:val="single" w:color="000000" w:sz="8" w:space="0"/>
              <w:bottom w:val="single" w:color="000000" w:sz="4" w:space="0"/>
              <w:right w:val="single" w:color="000000" w:sz="4" w:space="0"/>
            </w:tcBorders>
            <w:noWrap/>
            <w:vAlign w:val="center"/>
          </w:tcPr>
          <w:p w14:paraId="518B23BF">
            <w:pPr>
              <w:jc w:val="center"/>
              <w:rPr>
                <w:rFonts w:ascii="宋体" w:hAnsi="宋体" w:cs="宋体"/>
                <w:color w:val="000000"/>
                <w:sz w:val="22"/>
                <w:szCs w:val="22"/>
                <w:highlight w:val="none"/>
              </w:rPr>
            </w:pPr>
          </w:p>
        </w:tc>
        <w:tc>
          <w:tcPr>
            <w:tcW w:w="4118" w:type="pct"/>
            <w:tcBorders>
              <w:top w:val="single" w:color="000000" w:sz="4" w:space="0"/>
              <w:left w:val="single" w:color="000000" w:sz="4" w:space="0"/>
              <w:bottom w:val="single" w:color="000000" w:sz="4" w:space="0"/>
              <w:right w:val="single" w:color="000000" w:sz="4" w:space="0"/>
            </w:tcBorders>
            <w:noWrap w:val="0"/>
            <w:vAlign w:val="center"/>
          </w:tcPr>
          <w:p w14:paraId="2145CE77">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每日巡视检查，将发现的事件、活动、问题进行客观的记录，输出监理日志</w:t>
            </w:r>
          </w:p>
        </w:tc>
      </w:tr>
      <w:tr w14:paraId="424A0EED">
        <w:tblPrEx>
          <w:tblCellMar>
            <w:top w:w="0" w:type="dxa"/>
            <w:left w:w="108" w:type="dxa"/>
            <w:bottom w:w="0" w:type="dxa"/>
            <w:right w:w="108" w:type="dxa"/>
          </w:tblCellMar>
        </w:tblPrEx>
        <w:trPr>
          <w:trHeight w:val="587" w:hRule="atLeast"/>
        </w:trPr>
        <w:tc>
          <w:tcPr>
            <w:tcW w:w="881" w:type="pct"/>
            <w:vMerge w:val="continue"/>
            <w:tcBorders>
              <w:top w:val="single" w:color="000000" w:sz="4" w:space="0"/>
              <w:left w:val="single" w:color="000000" w:sz="8" w:space="0"/>
              <w:bottom w:val="single" w:color="000000" w:sz="4" w:space="0"/>
              <w:right w:val="single" w:color="000000" w:sz="4" w:space="0"/>
            </w:tcBorders>
            <w:noWrap/>
            <w:vAlign w:val="center"/>
          </w:tcPr>
          <w:p w14:paraId="7967EA88">
            <w:pPr>
              <w:jc w:val="center"/>
              <w:rPr>
                <w:rFonts w:ascii="宋体" w:hAnsi="宋体" w:cs="宋体"/>
                <w:color w:val="000000"/>
                <w:sz w:val="22"/>
                <w:szCs w:val="22"/>
                <w:highlight w:val="none"/>
              </w:rPr>
            </w:pPr>
          </w:p>
        </w:tc>
        <w:tc>
          <w:tcPr>
            <w:tcW w:w="4118" w:type="pct"/>
            <w:tcBorders>
              <w:top w:val="single" w:color="000000" w:sz="4" w:space="0"/>
              <w:left w:val="single" w:color="000000" w:sz="4" w:space="0"/>
              <w:bottom w:val="single" w:color="000000" w:sz="4" w:space="0"/>
              <w:right w:val="single" w:color="000000" w:sz="4" w:space="0"/>
            </w:tcBorders>
            <w:noWrap w:val="0"/>
            <w:vAlign w:val="center"/>
          </w:tcPr>
          <w:p w14:paraId="11FA8B37">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对工程计量、工程款支</w:t>
            </w:r>
            <w:r>
              <w:rPr>
                <w:rFonts w:hint="eastAsia" w:ascii="宋体" w:hAnsi="宋体" w:eastAsia="宋体" w:cs="宋体"/>
                <w:color w:val="000000"/>
                <w:kern w:val="0"/>
                <w:sz w:val="22"/>
                <w:szCs w:val="22"/>
                <w:highlight w:val="none"/>
                <w:lang w:bidi="ar"/>
              </w:rPr>
              <w:t>付、最终施工结算输出监理意</w:t>
            </w:r>
            <w:r>
              <w:rPr>
                <w:rFonts w:hint="eastAsia" w:ascii="宋体" w:hAnsi="宋体" w:cs="宋体"/>
                <w:color w:val="000000"/>
                <w:kern w:val="0"/>
                <w:sz w:val="22"/>
                <w:szCs w:val="22"/>
                <w:highlight w:val="none"/>
                <w:lang w:bidi="ar"/>
              </w:rPr>
              <w:t>见</w:t>
            </w:r>
          </w:p>
        </w:tc>
      </w:tr>
    </w:tbl>
    <w:p w14:paraId="3B800698"/>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8EF4B"/>
    <w:multiLevelType w:val="singleLevel"/>
    <w:tmpl w:val="D3C8EF4B"/>
    <w:lvl w:ilvl="0" w:tentative="0">
      <w:start w:val="1"/>
      <w:numFmt w:val="bullet"/>
      <w:lvlText w:val=""/>
      <w:lvlJc w:val="left"/>
      <w:pPr>
        <w:ind w:left="420" w:hanging="420"/>
      </w:pPr>
      <w:rPr>
        <w:rFonts w:hint="default" w:ascii="Wingdings" w:hAnsi="Wingdings"/>
      </w:rPr>
    </w:lvl>
  </w:abstractNum>
  <w:abstractNum w:abstractNumId="1">
    <w:nsid w:val="FABB133C"/>
    <w:multiLevelType w:val="singleLevel"/>
    <w:tmpl w:val="FABB133C"/>
    <w:lvl w:ilvl="0" w:tentative="0">
      <w:start w:val="1"/>
      <w:numFmt w:val="bullet"/>
      <w:lvlText w:val=""/>
      <w:lvlJc w:val="left"/>
      <w:pPr>
        <w:ind w:left="420" w:hanging="420"/>
      </w:pPr>
      <w:rPr>
        <w:rFonts w:hint="default" w:ascii="Wingdings" w:hAnsi="Wingdings"/>
      </w:rPr>
    </w:lvl>
  </w:abstractNum>
  <w:abstractNum w:abstractNumId="2">
    <w:nsid w:val="0E2A0A68"/>
    <w:multiLevelType w:val="multilevel"/>
    <w:tmpl w:val="0E2A0A68"/>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3">
    <w:nsid w:val="6D306AE9"/>
    <w:multiLevelType w:val="singleLevel"/>
    <w:tmpl w:val="6D306AE9"/>
    <w:lvl w:ilvl="0" w:tentative="0">
      <w:start w:val="1"/>
      <w:numFmt w:val="bullet"/>
      <w:lvlText w:val=""/>
      <w:lvlJc w:val="left"/>
      <w:pPr>
        <w:ind w:left="420" w:hanging="420"/>
      </w:pPr>
      <w:rPr>
        <w:rFonts w:hint="default" w:ascii="Wingdings" w:hAnsi="Wingdings"/>
      </w:rPr>
    </w:lvl>
  </w:abstractNum>
  <w:abstractNum w:abstractNumId="4">
    <w:nsid w:val="7B3148EA"/>
    <w:multiLevelType w:val="multilevel"/>
    <w:tmpl w:val="7B3148E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B5100"/>
    <w:rsid w:val="174B5100"/>
    <w:rsid w:val="36FD2CC6"/>
    <w:rsid w:val="401B2838"/>
    <w:rsid w:val="47F5469D"/>
    <w:rsid w:val="60B55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5"/>
    <w:next w:val="1"/>
    <w:qFormat/>
    <w:uiPriority w:val="0"/>
    <w:pPr>
      <w:keepNext/>
      <w:keepLines/>
      <w:spacing w:before="260" w:after="260" w:line="360" w:lineRule="auto"/>
      <w:outlineLvl w:val="2"/>
    </w:pPr>
    <w:rPr>
      <w:rFonts w:ascii="宋体" w:hAnsi="宋体" w:eastAsia="黑体"/>
      <w:b/>
      <w:bCs/>
      <w:szCs w:val="21"/>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仿宋" w:hAnsi="仿宋" w:eastAsia="仿宋" w:cs="仿宋"/>
      <w:sz w:val="28"/>
      <w:szCs w:val="28"/>
    </w:rPr>
  </w:style>
  <w:style w:type="paragraph" w:styleId="5">
    <w:name w:val="List Paragraph"/>
    <w:basedOn w:val="1"/>
    <w:qFormat/>
    <w:uiPriority w:val="34"/>
    <w:pPr>
      <w:ind w:firstLine="420" w:firstLineChars="200"/>
    </w:pPr>
  </w:style>
  <w:style w:type="paragraph" w:styleId="6">
    <w:name w:val="index 8"/>
    <w:basedOn w:val="1"/>
    <w:next w:val="1"/>
    <w:unhideWhenUsed/>
    <w:qFormat/>
    <w:uiPriority w:val="99"/>
    <w:pPr>
      <w:ind w:left="1400" w:leftChars="1400"/>
    </w:pPr>
  </w:style>
  <w:style w:type="paragraph" w:styleId="7">
    <w:name w:val="Plain Text"/>
    <w:basedOn w:val="1"/>
    <w:next w:val="6"/>
    <w:qFormat/>
    <w:uiPriority w:val="0"/>
    <w:rPr>
      <w:rFonts w:ascii="宋体" w:hAnsi="Courier New"/>
      <w:szCs w:val="21"/>
    </w:rPr>
  </w:style>
  <w:style w:type="paragraph" w:customStyle="1" w:styleId="10">
    <w:name w:val="p3"/>
    <w:basedOn w:val="1"/>
    <w:uiPriority w:val="0"/>
    <w:pPr>
      <w:spacing w:line="30" w:lineRule="atLeast"/>
      <w:jc w:val="center"/>
    </w:pPr>
    <w:rPr>
      <w:rFonts w:hint="eastAsia" w:ascii="宋体" w:hAnsi="宋体" w:cs="宋体"/>
      <w:kern w:val="0"/>
      <w:sz w:val="36"/>
      <w:szCs w:val="36"/>
    </w:rPr>
  </w:style>
  <w:style w:type="paragraph" w:customStyle="1" w:styleId="11">
    <w:name w:val="正文-方案"/>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2025-08-06T07:38:00Z</dcterms:created>
  <dc:creator>實誠</dc:creator>
  <cp:lastModifiedBy>實誠</cp:lastModifiedBy>
  <dcterms:modified xsi:type="dcterms:W3CDTF">2025-08-06T10:02:28Z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F669A369DAE44DD19C87DB2318B7D927_13</vt:lpwstr>
  </property>
  <property fmtid="{D5CDD505-2E9C-101B-9397-08002B2CF9AE}" pid="4" name="KSOTemplateDocerSaveRecord">
    <vt:lpwstr>eyJoZGlkIjoiZjYxZTUyYjc1MzQwNWRmNjlmMWQyYmQ2NmM1M2U4MmMiLCJ1c2VySWQiOiI2OTk3NTA5NDAifQ==</vt:lpwstr>
  </property>
</Properties>
</file>