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 w:val="0"/>
        <w:autoSpaceDE w:val="0"/>
        <w:autoSpaceDN w:val="0"/>
        <w:adjustRightInd w:val="0"/>
        <w:snapToGrid w:val="0"/>
        <w:spacing w:before="0" w:line="398" w:lineRule="auto"/>
        <w:jc w:val="left"/>
        <w:textAlignment w:val="baseline"/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0"/>
          <w:szCs w:val="30"/>
          <w:lang w:val="zh-CN"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0"/>
          <w:szCs w:val="30"/>
          <w:lang w:val="en-US" w:eastAsia="zh-CN"/>
        </w:rPr>
        <w:t>7.</w:t>
      </w:r>
    </w:p>
    <w:p>
      <w:pPr>
        <w:spacing w:after="156" w:afterLines="50" w:line="420" w:lineRule="exact"/>
        <w:ind w:firstLine="3252" w:firstLineChars="900"/>
        <w:outlineLvl w:val="0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履约评价报告书</w:t>
      </w:r>
    </w:p>
    <w:tbl>
      <w:tblPr>
        <w:tblStyle w:val="5"/>
        <w:tblW w:w="99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442"/>
        <w:gridCol w:w="2119"/>
        <w:gridCol w:w="1221"/>
        <w:gridCol w:w="1440"/>
        <w:gridCol w:w="108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55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评价部门</w:t>
            </w:r>
          </w:p>
        </w:tc>
        <w:tc>
          <w:tcPr>
            <w:tcW w:w="3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评价日期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55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被评价单位</w:t>
            </w:r>
          </w:p>
        </w:tc>
        <w:tc>
          <w:tcPr>
            <w:tcW w:w="3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类    别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□货物   □服务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55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合同名称</w:t>
            </w:r>
          </w:p>
        </w:tc>
        <w:tc>
          <w:tcPr>
            <w:tcW w:w="8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5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合同号</w:t>
            </w:r>
          </w:p>
        </w:tc>
        <w:tc>
          <w:tcPr>
            <w:tcW w:w="3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合同价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933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履约评价分项内容及得分情况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63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  项  内  容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得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63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63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63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63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63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63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413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存在以下情况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扣分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63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合同相对方未按合同约定履行被投诉、检举的，经集团公司纪检监察部门及投资采购部核实投诉、检举情况属实的，不得套用优秀、良好等级。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63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合同相对方使用不正当行为影响评价结果的，或存在其他违规、违纪行为的，经集团公司纪检监察部门及投资采购部核实投诉、检举情况属实的，其评价结果将降至不合格等级。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1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最终得分</w:t>
            </w:r>
          </w:p>
        </w:tc>
        <w:tc>
          <w:tcPr>
            <w:tcW w:w="88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55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评价等级</w:t>
            </w:r>
          </w:p>
        </w:tc>
        <w:tc>
          <w:tcPr>
            <w:tcW w:w="8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 良好（75≤总分＜90分）   □ 合格（60≤总分＜75分）   □ 不合格（总分＜60分）</w:t>
            </w:r>
          </w:p>
          <w:p>
            <w:pPr>
              <w:pStyle w:val="7"/>
              <w:rPr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</w:rPr>
              <w:t>□ 优秀（100≤总分≤90分）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  <w:jc w:val="center"/>
        </w:trPr>
        <w:tc>
          <w:tcPr>
            <w:tcW w:w="367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评价小组成员签字</w:t>
            </w:r>
          </w:p>
        </w:tc>
        <w:tc>
          <w:tcPr>
            <w:tcW w:w="6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spacing w:line="560" w:lineRule="exact"/>
        <w:ind w:firstLine="3200" w:firstLineChars="10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3200" w:firstLineChars="10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3200" w:firstLineChars="10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3200" w:firstLineChars="10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服务类合同履约评价表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3327"/>
        <w:gridCol w:w="1132"/>
        <w:gridCol w:w="1036"/>
        <w:gridCol w:w="1228"/>
        <w:gridCol w:w="1223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110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评价日期</w:t>
            </w:r>
          </w:p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32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32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被评价单位：</w:t>
            </w:r>
          </w:p>
        </w:tc>
        <w:tc>
          <w:tcPr>
            <w:tcW w:w="3494" w:type="dxa"/>
            <w:gridSpan w:val="4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110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主办部门：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</w:t>
            </w:r>
          </w:p>
        </w:tc>
        <w:tc>
          <w:tcPr>
            <w:tcW w:w="332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32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评价人：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   </w:t>
            </w:r>
          </w:p>
        </w:tc>
        <w:tc>
          <w:tcPr>
            <w:tcW w:w="3494" w:type="dxa"/>
            <w:gridSpan w:val="4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10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合同名称</w:t>
            </w:r>
          </w:p>
        </w:tc>
        <w:tc>
          <w:tcPr>
            <w:tcW w:w="332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32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合同编号</w:t>
            </w:r>
          </w:p>
        </w:tc>
        <w:tc>
          <w:tcPr>
            <w:tcW w:w="3494" w:type="dxa"/>
            <w:gridSpan w:val="4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分项内容</w:t>
            </w:r>
          </w:p>
        </w:tc>
        <w:tc>
          <w:tcPr>
            <w:tcW w:w="3327" w:type="dxa"/>
            <w:noWrap w:val="0"/>
            <w:vAlign w:val="top"/>
          </w:tcPr>
          <w:p>
            <w:pPr>
              <w:spacing w:line="560" w:lineRule="exact"/>
              <w:ind w:firstLine="420" w:firstLineChars="20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一般情形评价指标</w:t>
            </w:r>
          </w:p>
        </w:tc>
        <w:tc>
          <w:tcPr>
            <w:tcW w:w="1132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分值</w:t>
            </w:r>
          </w:p>
        </w:tc>
        <w:tc>
          <w:tcPr>
            <w:tcW w:w="1036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扣分</w:t>
            </w:r>
          </w:p>
        </w:tc>
        <w:tc>
          <w:tcPr>
            <w:tcW w:w="1228" w:type="dxa"/>
            <w:noWrap w:val="0"/>
            <w:vAlign w:val="top"/>
          </w:tcPr>
          <w:p>
            <w:pPr>
              <w:spacing w:line="560" w:lineRule="exact"/>
              <w:ind w:firstLine="420" w:firstLineChars="20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得分</w:t>
            </w:r>
          </w:p>
        </w:tc>
        <w:tc>
          <w:tcPr>
            <w:tcW w:w="1230" w:type="dxa"/>
            <w:gridSpan w:val="2"/>
            <w:noWrap w:val="0"/>
            <w:vAlign w:val="top"/>
          </w:tcPr>
          <w:p>
            <w:pPr>
              <w:spacing w:line="560" w:lineRule="exact"/>
              <w:ind w:firstLine="420" w:firstLineChars="20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服务水平</w:t>
            </w:r>
          </w:p>
        </w:tc>
        <w:tc>
          <w:tcPr>
            <w:tcW w:w="332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服务方案表达是否清晰，是否存在歧义。</w:t>
            </w:r>
          </w:p>
        </w:tc>
        <w:tc>
          <w:tcPr>
            <w:tcW w:w="1132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</w:t>
            </w:r>
          </w:p>
        </w:tc>
        <w:tc>
          <w:tcPr>
            <w:tcW w:w="1036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8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30" w:type="dxa"/>
            <w:gridSpan w:val="2"/>
            <w:vMerge w:val="restart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扣分说明：合同相对方存在评价内容情形的，直接扣除对应分值分数，反之得到对应分值分数。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32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服务方案能否准确反映公司提出的要求。</w:t>
            </w:r>
          </w:p>
        </w:tc>
        <w:tc>
          <w:tcPr>
            <w:tcW w:w="1132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</w:t>
            </w:r>
          </w:p>
        </w:tc>
        <w:tc>
          <w:tcPr>
            <w:tcW w:w="1036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8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30" w:type="dxa"/>
            <w:gridSpan w:val="2"/>
            <w:vMerge w:val="continue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32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服务方案是否均有深入的分析，是否全面涵盖项目内容且有充分理由及法律依据。</w:t>
            </w:r>
          </w:p>
        </w:tc>
        <w:tc>
          <w:tcPr>
            <w:tcW w:w="1132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</w:t>
            </w:r>
          </w:p>
        </w:tc>
        <w:tc>
          <w:tcPr>
            <w:tcW w:w="1036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8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30" w:type="dxa"/>
            <w:gridSpan w:val="2"/>
            <w:vMerge w:val="continue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7" w:type="dxa"/>
            <w:vMerge w:val="continue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32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服务方案是否囊括风险点且具有前瞻性。</w:t>
            </w:r>
          </w:p>
        </w:tc>
        <w:tc>
          <w:tcPr>
            <w:tcW w:w="1132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</w:t>
            </w:r>
          </w:p>
        </w:tc>
        <w:tc>
          <w:tcPr>
            <w:tcW w:w="1036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8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30" w:type="dxa"/>
            <w:gridSpan w:val="2"/>
            <w:vMerge w:val="continue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7" w:type="dxa"/>
            <w:vMerge w:val="continue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32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出具服务方案是否存在延误情形</w:t>
            </w:r>
          </w:p>
        </w:tc>
        <w:tc>
          <w:tcPr>
            <w:tcW w:w="1132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1036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8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30" w:type="dxa"/>
            <w:gridSpan w:val="2"/>
            <w:vMerge w:val="continue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32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（存在其中一项即扣除26分）</w:t>
            </w:r>
            <w:r>
              <w:rPr>
                <w:rFonts w:eastAsia="仿宋_GB2312" w:cs="Calibri"/>
                <w:szCs w:val="21"/>
              </w:rPr>
              <w:t>①</w:t>
            </w:r>
            <w:r>
              <w:rPr>
                <w:rFonts w:hint="eastAsia" w:ascii="仿宋_GB2312" w:eastAsia="仿宋_GB2312"/>
                <w:szCs w:val="21"/>
              </w:rPr>
              <w:t>服务方案反复修改次数超过3次才能完成；</w:t>
            </w:r>
            <w:r>
              <w:rPr>
                <w:rFonts w:eastAsia="仿宋_GB2312" w:cs="Calibri"/>
                <w:szCs w:val="21"/>
              </w:rPr>
              <w:t>②</w:t>
            </w:r>
            <w:r>
              <w:rPr>
                <w:rFonts w:hint="eastAsia" w:ascii="仿宋_GB2312" w:eastAsia="仿宋_GB2312"/>
                <w:szCs w:val="21"/>
              </w:rPr>
              <w:t>多次反复沟通协调后出具的服务方案仍未能完全满足项目要求的</w:t>
            </w:r>
            <w:r>
              <w:rPr>
                <w:rFonts w:hint="eastAsia" w:eastAsia="仿宋_GB2312" w:cs="Calibri"/>
                <w:szCs w:val="21"/>
              </w:rPr>
              <w:t>；</w:t>
            </w:r>
            <w:r>
              <w:rPr>
                <w:rFonts w:eastAsia="Gulim" w:cs="Calibri"/>
                <w:szCs w:val="21"/>
              </w:rPr>
              <w:t>③</w:t>
            </w:r>
            <w:r>
              <w:rPr>
                <w:rFonts w:hint="eastAsia" w:ascii="仿宋_GB2312" w:eastAsia="仿宋_GB2312"/>
                <w:szCs w:val="21"/>
              </w:rPr>
              <w:t>未推荐或未提供保障公司最大利益的方案；</w:t>
            </w:r>
            <w:r>
              <w:rPr>
                <w:rFonts w:eastAsia="Gulim" w:cs="Calibri"/>
                <w:szCs w:val="21"/>
              </w:rPr>
              <w:t>④</w:t>
            </w:r>
            <w:r>
              <w:rPr>
                <w:rFonts w:hint="eastAsia" w:ascii="仿宋_GB2312" w:eastAsia="仿宋_GB2312"/>
                <w:szCs w:val="21"/>
              </w:rPr>
              <w:t>存在其它不符合合同要求未及时整改的，但未造成不良影响的。</w:t>
            </w:r>
          </w:p>
        </w:tc>
        <w:tc>
          <w:tcPr>
            <w:tcW w:w="1132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26</w:t>
            </w:r>
          </w:p>
        </w:tc>
        <w:tc>
          <w:tcPr>
            <w:tcW w:w="1036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8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30" w:type="dxa"/>
            <w:gridSpan w:val="2"/>
            <w:vMerge w:val="continue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107" w:type="dxa"/>
            <w:vMerge w:val="restart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响应程度及服务态度</w:t>
            </w:r>
          </w:p>
        </w:tc>
        <w:tc>
          <w:tcPr>
            <w:tcW w:w="332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响应程度差，积极性不强，经多次催促才配合项目进程。</w:t>
            </w:r>
          </w:p>
        </w:tc>
        <w:tc>
          <w:tcPr>
            <w:tcW w:w="1132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26</w:t>
            </w:r>
          </w:p>
        </w:tc>
        <w:tc>
          <w:tcPr>
            <w:tcW w:w="1036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8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30" w:type="dxa"/>
            <w:gridSpan w:val="2"/>
            <w:vMerge w:val="continue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107" w:type="dxa"/>
            <w:vMerge w:val="continue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32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服务团队是否稳定，是否经常变更。</w:t>
            </w:r>
          </w:p>
        </w:tc>
        <w:tc>
          <w:tcPr>
            <w:tcW w:w="1132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</w:p>
        </w:tc>
        <w:tc>
          <w:tcPr>
            <w:tcW w:w="1036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8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30" w:type="dxa"/>
            <w:gridSpan w:val="2"/>
            <w:vMerge w:val="continue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32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服务团队人员资质是否符合项目要求。 </w:t>
            </w:r>
          </w:p>
        </w:tc>
        <w:tc>
          <w:tcPr>
            <w:tcW w:w="1132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</w:p>
        </w:tc>
        <w:tc>
          <w:tcPr>
            <w:tcW w:w="1036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8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30" w:type="dxa"/>
            <w:gridSpan w:val="2"/>
            <w:vMerge w:val="continue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32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服务团队人员不符合项目要求时，是否及时更换符合项目要求的其他人员。</w:t>
            </w:r>
          </w:p>
        </w:tc>
        <w:tc>
          <w:tcPr>
            <w:tcW w:w="1132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1036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8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30" w:type="dxa"/>
            <w:gridSpan w:val="2"/>
            <w:vMerge w:val="continue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4" w:type="dxa"/>
            <w:gridSpan w:val="2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合计</w:t>
            </w:r>
          </w:p>
        </w:tc>
        <w:tc>
          <w:tcPr>
            <w:tcW w:w="1132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100</w:t>
            </w:r>
          </w:p>
        </w:tc>
        <w:tc>
          <w:tcPr>
            <w:tcW w:w="1036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8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30" w:type="dxa"/>
            <w:gridSpan w:val="2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4" w:type="dxa"/>
            <w:gridSpan w:val="2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不合格情形评价指标</w:t>
            </w:r>
          </w:p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（出现以下任一情形应当扣除41分，同时不再对一般情形评价指标进行评价。出现以下两项及以上即扣除100分。）</w:t>
            </w:r>
          </w:p>
        </w:tc>
        <w:tc>
          <w:tcPr>
            <w:tcW w:w="1132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扣分</w:t>
            </w:r>
          </w:p>
        </w:tc>
        <w:tc>
          <w:tcPr>
            <w:tcW w:w="1036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请在需要扣分栏目打</w:t>
            </w:r>
            <w:r>
              <w:rPr>
                <w:rFonts w:ascii="Arial" w:hAnsi="Arial" w:eastAsia="仿宋_GB2312" w:cs="Arial"/>
                <w:szCs w:val="21"/>
              </w:rPr>
              <w:t>√</w:t>
            </w:r>
          </w:p>
        </w:tc>
        <w:tc>
          <w:tcPr>
            <w:tcW w:w="1228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得分</w:t>
            </w:r>
          </w:p>
        </w:tc>
        <w:tc>
          <w:tcPr>
            <w:tcW w:w="1230" w:type="dxa"/>
            <w:gridSpan w:val="2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499" w:hRule="atLeast"/>
        </w:trPr>
        <w:tc>
          <w:tcPr>
            <w:tcW w:w="4434" w:type="dxa"/>
            <w:gridSpan w:val="2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服务方案依据的法律条文适用错误（本款适用法律、审计、评估、税务等需要引用法律条文的服务方案）</w:t>
            </w:r>
          </w:p>
        </w:tc>
        <w:tc>
          <w:tcPr>
            <w:tcW w:w="1132" w:type="dxa"/>
            <w:vMerge w:val="restart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8" w:type="dxa"/>
            <w:vMerge w:val="restart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3" w:type="dxa"/>
            <w:vMerge w:val="restart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4434" w:type="dxa"/>
            <w:gridSpan w:val="2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服务团队人数未达到合同约定人数。</w:t>
            </w:r>
          </w:p>
        </w:tc>
        <w:tc>
          <w:tcPr>
            <w:tcW w:w="1132" w:type="dxa"/>
            <w:vMerge w:val="continue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8" w:type="dxa"/>
            <w:vMerge w:val="continue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3" w:type="dxa"/>
            <w:vMerge w:val="continue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4434" w:type="dxa"/>
            <w:gridSpan w:val="2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未按合同约定配合参加工作超过3次。</w:t>
            </w:r>
          </w:p>
        </w:tc>
        <w:tc>
          <w:tcPr>
            <w:tcW w:w="1132" w:type="dxa"/>
            <w:vMerge w:val="continue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8" w:type="dxa"/>
            <w:vMerge w:val="continue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3" w:type="dxa"/>
            <w:vMerge w:val="continue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4434" w:type="dxa"/>
            <w:gridSpan w:val="2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服务方案反复修改6次或以上仍出现错漏。</w:t>
            </w:r>
          </w:p>
        </w:tc>
        <w:tc>
          <w:tcPr>
            <w:tcW w:w="1132" w:type="dxa"/>
            <w:vMerge w:val="continue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8" w:type="dxa"/>
            <w:vMerge w:val="continue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3" w:type="dxa"/>
            <w:vMerge w:val="continue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4434" w:type="dxa"/>
            <w:gridSpan w:val="2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未能按照约定期限出具服务方案。</w:t>
            </w:r>
          </w:p>
        </w:tc>
        <w:tc>
          <w:tcPr>
            <w:tcW w:w="1132" w:type="dxa"/>
            <w:vMerge w:val="continue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8" w:type="dxa"/>
            <w:vMerge w:val="continue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3" w:type="dxa"/>
            <w:vMerge w:val="continue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37" w:hRule="atLeast"/>
        </w:trPr>
        <w:tc>
          <w:tcPr>
            <w:tcW w:w="4434" w:type="dxa"/>
            <w:gridSpan w:val="2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未经公司同意，泄露服务过程中获得公司信息、资料。</w:t>
            </w:r>
          </w:p>
        </w:tc>
        <w:tc>
          <w:tcPr>
            <w:tcW w:w="1132" w:type="dxa"/>
            <w:vMerge w:val="continue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8" w:type="dxa"/>
            <w:vMerge w:val="continue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3" w:type="dxa"/>
            <w:vMerge w:val="continue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00" w:hRule="atLeast"/>
        </w:trPr>
        <w:tc>
          <w:tcPr>
            <w:tcW w:w="4434" w:type="dxa"/>
            <w:gridSpan w:val="2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弄虚作假，串通损害公司利益或存在欺骗等不诚信行为；</w:t>
            </w:r>
          </w:p>
        </w:tc>
        <w:tc>
          <w:tcPr>
            <w:tcW w:w="1132" w:type="dxa"/>
            <w:vMerge w:val="continue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8" w:type="dxa"/>
            <w:vMerge w:val="restart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3" w:type="dxa"/>
            <w:vMerge w:val="continue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37" w:hRule="atLeast"/>
        </w:trPr>
        <w:tc>
          <w:tcPr>
            <w:tcW w:w="4434" w:type="dxa"/>
            <w:gridSpan w:val="2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在合同履行中受到政府有关部门严重行政处罚的；</w:t>
            </w:r>
          </w:p>
        </w:tc>
        <w:tc>
          <w:tcPr>
            <w:tcW w:w="1132" w:type="dxa"/>
            <w:vMerge w:val="continue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8" w:type="dxa"/>
            <w:vMerge w:val="continue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3" w:type="dxa"/>
            <w:vMerge w:val="continue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19" w:hRule="atLeast"/>
        </w:trPr>
        <w:tc>
          <w:tcPr>
            <w:tcW w:w="4434" w:type="dxa"/>
            <w:gridSpan w:val="2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其它违反合同约定或违反法律法规、职业道德行为。</w:t>
            </w:r>
          </w:p>
        </w:tc>
        <w:tc>
          <w:tcPr>
            <w:tcW w:w="1132" w:type="dxa"/>
            <w:vMerge w:val="continue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8" w:type="dxa"/>
            <w:vMerge w:val="continue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3" w:type="dxa"/>
            <w:vMerge w:val="continue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4" w:type="dxa"/>
            <w:gridSpan w:val="2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总分100分</w:t>
            </w:r>
          </w:p>
        </w:tc>
        <w:tc>
          <w:tcPr>
            <w:tcW w:w="1132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458" w:type="dxa"/>
            <w:gridSpan w:val="3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</w:tbl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pStyle w:val="7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pStyle w:val="7"/>
        <w:rPr>
          <w:rFonts w:hint="eastAsia" w:ascii="仿宋_GB2312" w:eastAsia="仿宋_GB2312"/>
          <w:color w:val="auto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altName w:val="Liberation Sans"/>
    <w:panose1 w:val="020B0600000101010101"/>
    <w:charset w:val="00"/>
    <w:family w:val="swiss"/>
    <w:pitch w:val="default"/>
    <w:sig w:usb0="00000000" w:usb1="00000000" w:usb2="00000030" w:usb3="00000000" w:csb0="0008009F" w:csb1="00000000"/>
  </w:font>
  <w:font w:name="Liberation Sans">
    <w:panose1 w:val="020B0604020202020204"/>
    <w:charset w:val="00"/>
    <w:family w:val="auto"/>
    <w:pitch w:val="default"/>
    <w:sig w:usb0="A00002AF" w:usb1="500078FB" w:usb2="00000000" w:usb3="00000000" w:csb0="6000009F" w:csb1="DFD70000"/>
  </w:font>
  <w:font w:name="Arial Unicode MS">
    <w:altName w:val="DejaVu Sans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Helvetica Neue">
    <w:altName w:val="C059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B57763B"/>
    <w:rsid w:val="9FDD50A2"/>
    <w:rsid w:val="EF77C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unhideWhenUsed/>
    <w:qFormat/>
    <w:uiPriority w:val="99"/>
    <w:rPr>
      <w:rFonts w:ascii="宋体" w:hAnsi="Courier New"/>
      <w:szCs w:val="20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toc 2"/>
    <w:basedOn w:val="1"/>
    <w:next w:val="1"/>
    <w:qFormat/>
    <w:uiPriority w:val="0"/>
    <w:pPr>
      <w:ind w:left="210"/>
      <w:jc w:val="left"/>
    </w:pPr>
    <w:rPr>
      <w:rFonts w:ascii="Calibri" w:hAnsi="Calibri"/>
      <w:smallCaps/>
      <w:sz w:val="20"/>
      <w:szCs w:val="20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杨倩欣</cp:lastModifiedBy>
  <dcterms:modified xsi:type="dcterms:W3CDTF">2025-07-22T14:38:12Z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9F549251353F97EB110B8A672FB5F470</vt:lpwstr>
  </property>
</Properties>
</file>