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0" w:afterAutospacing="1" w:line="560" w:lineRule="exact"/>
        <w:jc w:val="left"/>
        <w:outlineLvl w:val="0"/>
        <w:rPr>
          <w:rFonts w:hint="eastAsia" w:ascii="黑体" w:hAnsi="黑体" w:eastAsia="黑体" w:cs="黑体"/>
          <w:b/>
          <w:sz w:val="32"/>
          <w:szCs w:val="32"/>
          <w:highlight w:val="none"/>
        </w:rPr>
      </w:pPr>
      <w:r>
        <w:rPr>
          <w:rFonts w:hint="eastAsia" w:ascii="黑体" w:hAnsi="黑体" w:eastAsia="黑体" w:cs="黑体"/>
          <w:bCs/>
          <w:sz w:val="32"/>
          <w:szCs w:val="32"/>
          <w:highlight w:val="none"/>
        </w:rPr>
        <w:t>附件3</w:t>
      </w:r>
      <w:r>
        <w:rPr>
          <w:rFonts w:hint="eastAsia" w:ascii="黑体" w:hAnsi="黑体" w:eastAsia="黑体" w:cs="黑体"/>
          <w:b/>
          <w:sz w:val="32"/>
          <w:szCs w:val="32"/>
          <w:highlight w:val="none"/>
        </w:rPr>
        <w:t xml:space="preserve"> </w:t>
      </w:r>
    </w:p>
    <w:p>
      <w:pPr>
        <w:widowControl/>
        <w:spacing w:after="100" w:afterAutospacing="1" w:line="560" w:lineRule="exact"/>
        <w:jc w:val="left"/>
        <w:outlineLvl w:val="0"/>
        <w:rPr>
          <w:rFonts w:hint="eastAsia" w:ascii="仿宋" w:hAnsi="仿宋" w:eastAsia="仿宋" w:cs="仿宋"/>
          <w:b/>
          <w:sz w:val="28"/>
          <w:szCs w:val="28"/>
          <w:highlight w:val="none"/>
        </w:rPr>
      </w:pPr>
      <w:r>
        <w:rPr>
          <w:rFonts w:hint="eastAsia" w:ascii="黑体" w:hAnsi="黑体" w:eastAsia="黑体" w:cs="黑体"/>
          <w:b/>
          <w:sz w:val="32"/>
          <w:szCs w:val="32"/>
          <w:highlight w:val="none"/>
        </w:rPr>
        <w:t xml:space="preserve">             </w:t>
      </w:r>
      <w:r>
        <w:rPr>
          <w:rFonts w:hint="eastAsia" w:ascii="仿宋" w:hAnsi="仿宋" w:eastAsia="仿宋" w:cs="仿宋"/>
          <w:b/>
          <w:sz w:val="28"/>
          <w:szCs w:val="28"/>
          <w:highlight w:val="none"/>
        </w:rPr>
        <w:t xml:space="preserve">                             合同编号：     </w:t>
      </w:r>
    </w:p>
    <w:p>
      <w:pPr>
        <w:widowControl/>
        <w:spacing w:after="100" w:afterAutospacing="1" w:line="560" w:lineRule="exact"/>
        <w:jc w:val="center"/>
        <w:outlineLvl w:val="0"/>
        <w:rPr>
          <w:rFonts w:hint="eastAsia" w:asciiTheme="majorEastAsia" w:hAnsiTheme="majorEastAsia" w:eastAsiaTheme="majorEastAsia" w:cstheme="majorEastAsia"/>
          <w:b/>
          <w:sz w:val="44"/>
          <w:szCs w:val="44"/>
          <w:highlight w:val="none"/>
        </w:rPr>
      </w:pPr>
    </w:p>
    <w:p>
      <w:pPr>
        <w:widowControl/>
        <w:spacing w:after="100" w:afterAutospacing="1"/>
        <w:jc w:val="center"/>
        <w:outlineLvl w:val="0"/>
        <w:rPr>
          <w:rFonts w:hint="eastAsia" w:asciiTheme="majorEastAsia" w:hAnsiTheme="majorEastAsia" w:eastAsiaTheme="majorEastAsia" w:cstheme="majorEastAsia"/>
          <w:b/>
          <w:sz w:val="44"/>
          <w:szCs w:val="44"/>
          <w:highlight w:val="none"/>
        </w:rPr>
      </w:pPr>
    </w:p>
    <w:p>
      <w:pPr>
        <w:widowControl/>
        <w:spacing w:after="100" w:afterAutospacing="1"/>
        <w:jc w:val="center"/>
        <w:outlineLvl w:val="0"/>
        <w:rPr>
          <w:rFonts w:hint="eastAsia" w:ascii="楷体" w:hAnsi="楷体" w:eastAsia="楷体" w:cs="楷体"/>
          <w:b/>
          <w:sz w:val="72"/>
          <w:szCs w:val="72"/>
          <w:highlight w:val="none"/>
        </w:rPr>
      </w:pPr>
      <w:r>
        <w:rPr>
          <w:rFonts w:hint="eastAsia" w:ascii="楷体" w:hAnsi="楷体" w:eastAsia="楷体" w:cs="楷体"/>
          <w:b/>
          <w:sz w:val="72"/>
          <w:szCs w:val="72"/>
          <w:highlight w:val="none"/>
        </w:rPr>
        <w:t>罗山产业集聚中心项目营销中心案场物业服务合同</w:t>
      </w:r>
    </w:p>
    <w:p>
      <w:pPr>
        <w:pStyle w:val="17"/>
        <w:rPr>
          <w:rFonts w:hint="eastAsia" w:ascii="仿宋" w:hAnsi="仿宋" w:eastAsia="仿宋" w:cs="仿宋"/>
          <w:b/>
          <w:sz w:val="28"/>
          <w:szCs w:val="28"/>
          <w:highlight w:val="none"/>
        </w:rPr>
      </w:pPr>
    </w:p>
    <w:p>
      <w:pPr>
        <w:pStyle w:val="12"/>
        <w:ind w:left="2940"/>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pStyle w:val="17"/>
        <w:rPr>
          <w:rFonts w:hint="eastAsia" w:ascii="仿宋" w:hAnsi="仿宋" w:eastAsia="仿宋" w:cs="仿宋"/>
          <w:b/>
          <w:sz w:val="28"/>
          <w:szCs w:val="28"/>
          <w:highlight w:val="none"/>
        </w:rPr>
      </w:pPr>
    </w:p>
    <w:p>
      <w:pPr>
        <w:pStyle w:val="12"/>
        <w:spacing w:line="560" w:lineRule="exact"/>
        <w:ind w:left="2940"/>
        <w:rPr>
          <w:rFonts w:hint="eastAsia" w:ascii="仿宋" w:hAnsi="仿宋" w:eastAsia="仿宋" w:cs="仿宋"/>
          <w:b/>
          <w:sz w:val="28"/>
          <w:szCs w:val="28"/>
          <w:highlight w:val="none"/>
        </w:rPr>
      </w:pPr>
    </w:p>
    <w:p>
      <w:pPr>
        <w:widowControl/>
        <w:spacing w:line="560" w:lineRule="exact"/>
        <w:rPr>
          <w:rFonts w:hint="eastAsia" w:ascii="仿宋" w:hAnsi="仿宋" w:eastAsia="仿宋"/>
          <w:b/>
          <w:kern w:val="0"/>
          <w:sz w:val="32"/>
          <w:szCs w:val="32"/>
          <w:highlight w:val="none"/>
        </w:rPr>
      </w:pPr>
      <w:r>
        <w:rPr>
          <w:rFonts w:hint="eastAsia" w:ascii="仿宋" w:hAnsi="仿宋" w:eastAsia="仿宋"/>
          <w:b/>
          <w:kern w:val="0"/>
          <w:sz w:val="32"/>
          <w:szCs w:val="32"/>
          <w:highlight w:val="none"/>
        </w:rPr>
        <w:t>甲方：</w:t>
      </w:r>
      <w:r>
        <w:rPr>
          <w:highlight w:val="none"/>
        </w:rPr>
        <w:fldChar w:fldCharType="begin"/>
      </w:r>
      <w:r>
        <w:rPr>
          <w:highlight w:val="none"/>
        </w:rPr>
        <w:instrText xml:space="preserve"> HYPERLINK "http://www.szychr.cn/cn/tuiyijunrenzhaopin92/guozijugonggao/3455.html" \t "https://cn.bing.com/_blank" </w:instrText>
      </w:r>
      <w:r>
        <w:rPr>
          <w:highlight w:val="none"/>
        </w:rPr>
        <w:fldChar w:fldCharType="separate"/>
      </w:r>
      <w:r>
        <w:rPr>
          <w:rFonts w:hint="eastAsia" w:ascii="仿宋" w:hAnsi="仿宋" w:eastAsia="仿宋"/>
          <w:b/>
          <w:kern w:val="0"/>
          <w:sz w:val="32"/>
          <w:szCs w:val="32"/>
          <w:highlight w:val="none"/>
        </w:rPr>
        <w:t>深圳市罗山科技园开发运营服务有限公司</w:t>
      </w:r>
      <w:r>
        <w:rPr>
          <w:rFonts w:hint="eastAsia" w:ascii="仿宋" w:hAnsi="仿宋" w:eastAsia="仿宋"/>
          <w:b/>
          <w:kern w:val="0"/>
          <w:sz w:val="32"/>
          <w:szCs w:val="32"/>
          <w:highlight w:val="none"/>
        </w:rPr>
        <w:fldChar w:fldCharType="end"/>
      </w:r>
    </w:p>
    <w:p>
      <w:pPr>
        <w:spacing w:line="560" w:lineRule="exact"/>
        <w:rPr>
          <w:b/>
          <w:bCs/>
          <w:kern w:val="44"/>
          <w:sz w:val="44"/>
          <w:szCs w:val="44"/>
          <w:highlight w:val="none"/>
        </w:rPr>
      </w:pPr>
      <w:bookmarkStart w:id="0" w:name="_Toc12438"/>
      <w:bookmarkStart w:id="1" w:name="_Toc16888"/>
      <w:bookmarkStart w:id="2" w:name="_Toc12826"/>
      <w:r>
        <w:rPr>
          <w:rFonts w:hint="eastAsia" w:ascii="仿宋" w:hAnsi="仿宋" w:eastAsia="仿宋"/>
          <w:b/>
          <w:kern w:val="0"/>
          <w:sz w:val="32"/>
          <w:szCs w:val="32"/>
          <w:highlight w:val="none"/>
        </w:rPr>
        <w:t>乙方：</w:t>
      </w:r>
      <w:bookmarkEnd w:id="0"/>
      <w:bookmarkEnd w:id="1"/>
      <w:bookmarkEnd w:id="2"/>
      <w:r>
        <w:rPr>
          <w:rFonts w:hint="eastAsia" w:ascii="仿宋" w:hAnsi="仿宋" w:eastAsia="仿宋"/>
          <w:b/>
          <w:kern w:val="0"/>
          <w:sz w:val="32"/>
          <w:szCs w:val="32"/>
          <w:highlight w:val="none"/>
        </w:rPr>
        <w:t xml:space="preserve">  </w:t>
      </w:r>
      <w:r>
        <w:rPr>
          <w:b/>
          <w:bCs/>
          <w:kern w:val="44"/>
          <w:sz w:val="44"/>
          <w:szCs w:val="44"/>
          <w:highlight w:val="none"/>
        </w:rPr>
        <w:t xml:space="preserve">                                  </w:t>
      </w:r>
    </w:p>
    <w:p>
      <w:pPr>
        <w:spacing w:line="560" w:lineRule="exact"/>
        <w:rPr>
          <w:b/>
          <w:szCs w:val="44"/>
          <w:highlight w:val="none"/>
        </w:rPr>
      </w:pPr>
    </w:p>
    <w:p>
      <w:pPr>
        <w:widowControl/>
        <w:spacing w:line="560" w:lineRule="exact"/>
        <w:ind w:firstLine="963" w:firstLineChars="300"/>
        <w:rPr>
          <w:rFonts w:hint="eastAsia" w:ascii="仿宋" w:hAnsi="仿宋" w:eastAsia="仿宋"/>
          <w:b/>
          <w:kern w:val="0"/>
          <w:sz w:val="32"/>
          <w:szCs w:val="32"/>
          <w:highlight w:val="none"/>
        </w:rPr>
      </w:pPr>
    </w:p>
    <w:p>
      <w:pPr>
        <w:widowControl/>
        <w:spacing w:line="560" w:lineRule="exact"/>
        <w:ind w:firstLine="1124" w:firstLineChars="400"/>
        <w:rPr>
          <w:rFonts w:hint="eastAsia" w:ascii="仿宋" w:hAnsi="仿宋" w:eastAsia="仿宋"/>
          <w:b/>
          <w:kern w:val="0"/>
          <w:sz w:val="28"/>
          <w:szCs w:val="28"/>
          <w:highlight w:val="none"/>
        </w:rPr>
      </w:pPr>
    </w:p>
    <w:p>
      <w:pPr>
        <w:widowControl/>
        <w:spacing w:line="560" w:lineRule="exact"/>
        <w:jc w:val="center"/>
        <w:rPr>
          <w:rFonts w:hint="eastAsia" w:ascii="宋体" w:hAnsi="宋体"/>
          <w:b/>
          <w:kern w:val="0"/>
          <w:sz w:val="32"/>
          <w:szCs w:val="32"/>
          <w:highlight w:val="none"/>
        </w:rPr>
      </w:pPr>
      <w:r>
        <w:rPr>
          <w:rFonts w:hint="eastAsia" w:ascii="宋体" w:hAnsi="宋体"/>
          <w:b/>
          <w:kern w:val="0"/>
          <w:sz w:val="32"/>
          <w:szCs w:val="32"/>
          <w:highlight w:val="none"/>
        </w:rPr>
        <w:t>二零二五年七月</w:t>
      </w:r>
    </w:p>
    <w:p>
      <w:pPr>
        <w:widowControl/>
        <w:spacing w:line="560" w:lineRule="exact"/>
        <w:rPr>
          <w:rFonts w:hint="eastAsia" w:ascii="仿宋" w:hAnsi="仿宋" w:eastAsia="仿宋"/>
          <w:b/>
          <w:kern w:val="0"/>
          <w:sz w:val="28"/>
          <w:szCs w:val="28"/>
          <w:highlight w:val="none"/>
        </w:rPr>
      </w:pPr>
      <w:r>
        <w:rPr>
          <w:rFonts w:ascii="仿宋" w:hAnsi="仿宋" w:eastAsia="仿宋"/>
          <w:b/>
          <w:kern w:val="0"/>
          <w:sz w:val="28"/>
          <w:szCs w:val="28"/>
          <w:highlight w:val="none"/>
        </w:rPr>
        <w:br w:type="page"/>
      </w:r>
    </w:p>
    <w:p>
      <w:pPr>
        <w:pStyle w:val="23"/>
        <w:spacing w:line="560" w:lineRule="exact"/>
        <w:rPr>
          <w:highlight w:val="none"/>
        </w:rPr>
        <w:sectPr>
          <w:headerReference r:id="rId3" w:type="default"/>
          <w:footerReference r:id="rId4" w:type="default"/>
          <w:footnotePr>
            <w:numRestart w:val="eachPage"/>
          </w:footnotePr>
          <w:pgSz w:w="11906" w:h="16838"/>
          <w:pgMar w:top="1440" w:right="1797" w:bottom="1440" w:left="1797" w:header="851" w:footer="992" w:gutter="0"/>
          <w:pgNumType w:fmt="decimal" w:start="0"/>
          <w:cols w:space="720" w:num="1"/>
          <w:docGrid w:type="lines" w:linePitch="312" w:charSpace="0"/>
        </w:sectPr>
      </w:pPr>
    </w:p>
    <w:p>
      <w:pPr>
        <w:widowControl/>
        <w:spacing w:line="560" w:lineRule="exact"/>
        <w:jc w:val="center"/>
        <w:outlineLvl w:val="0"/>
        <w:rPr>
          <w:rFonts w:hint="eastAsia" w:ascii="宋体" w:hAnsi="宋体" w:eastAsia="宋体" w:cs="宋体"/>
          <w:b/>
          <w:sz w:val="44"/>
          <w:szCs w:val="44"/>
          <w:highlight w:val="none"/>
        </w:rPr>
      </w:pPr>
      <w:r>
        <w:rPr>
          <w:rFonts w:hint="eastAsia" w:ascii="宋体" w:hAnsi="宋体" w:eastAsia="宋体" w:cs="宋体"/>
          <w:b/>
          <w:sz w:val="44"/>
          <w:szCs w:val="44"/>
          <w:highlight w:val="none"/>
        </w:rPr>
        <w:t>罗山产业集聚中心项目</w:t>
      </w:r>
    </w:p>
    <w:p>
      <w:pPr>
        <w:widowControl/>
        <w:spacing w:line="560" w:lineRule="exact"/>
        <w:jc w:val="center"/>
        <w:outlineLvl w:val="0"/>
        <w:rPr>
          <w:rFonts w:hint="eastAsia" w:ascii="宋体" w:hAnsi="宋体" w:eastAsia="宋体" w:cs="宋体"/>
          <w:b/>
          <w:sz w:val="44"/>
          <w:szCs w:val="44"/>
          <w:highlight w:val="none"/>
        </w:rPr>
      </w:pPr>
      <w:r>
        <w:rPr>
          <w:rFonts w:hint="eastAsia" w:ascii="宋体" w:hAnsi="宋体" w:eastAsia="宋体" w:cs="宋体"/>
          <w:b/>
          <w:sz w:val="44"/>
          <w:szCs w:val="44"/>
          <w:highlight w:val="none"/>
        </w:rPr>
        <w:t>营销中心案场物业服务合同</w:t>
      </w:r>
    </w:p>
    <w:p>
      <w:pPr>
        <w:keepNext w:val="0"/>
        <w:keepLines w:val="0"/>
        <w:pageBreakBefore w:val="0"/>
        <w:widowControl w:val="0"/>
        <w:kinsoku/>
        <w:wordWrap/>
        <w:overflowPunct/>
        <w:topLinePunct w:val="0"/>
        <w:autoSpaceDE/>
        <w:autoSpaceDN/>
        <w:bidi w:val="0"/>
        <w:spacing w:line="540" w:lineRule="exact"/>
        <w:ind w:firstLine="602" w:firstLineChars="200"/>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b/>
          <w:bCs/>
          <w:kern w:val="0"/>
          <w:sz w:val="30"/>
          <w:szCs w:val="30"/>
          <w:highlight w:val="none"/>
        </w:rPr>
        <w:t xml:space="preserve">  </w:t>
      </w:r>
      <w:r>
        <w:rPr>
          <w:rFonts w:hint="eastAsia" w:ascii="仿宋_GB2312" w:hAnsi="仿宋_GB2312" w:eastAsia="仿宋_GB2312" w:cs="仿宋_GB2312"/>
          <w:kern w:val="0"/>
          <w:sz w:val="30"/>
          <w:szCs w:val="30"/>
          <w:highlight w:val="none"/>
        </w:rPr>
        <w:t> </w:t>
      </w:r>
    </w:p>
    <w:p>
      <w:pPr>
        <w:keepNext w:val="0"/>
        <w:keepLines w:val="0"/>
        <w:pageBreakBefore w:val="0"/>
        <w:widowControl w:val="0"/>
        <w:kinsoku/>
        <w:wordWrap/>
        <w:overflowPunct/>
        <w:topLinePunct w:val="0"/>
        <w:autoSpaceDE/>
        <w:autoSpaceDN/>
        <w:bidi w:val="0"/>
        <w:spacing w:line="540" w:lineRule="exact"/>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甲方：深圳市罗山科技园开发运营服务有限公司</w:t>
      </w:r>
    </w:p>
    <w:p>
      <w:pPr>
        <w:keepNext w:val="0"/>
        <w:keepLines w:val="0"/>
        <w:pageBreakBefore w:val="0"/>
        <w:widowControl w:val="0"/>
        <w:kinsoku/>
        <w:wordWrap/>
        <w:overflowPunct/>
        <w:topLinePunct w:val="0"/>
        <w:autoSpaceDE/>
        <w:autoSpaceDN/>
        <w:bidi w:val="0"/>
        <w:spacing w:line="540" w:lineRule="exac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法定代表人：谢云涛</w:t>
      </w:r>
    </w:p>
    <w:p>
      <w:pPr>
        <w:keepNext w:val="0"/>
        <w:keepLines w:val="0"/>
        <w:pageBreakBefore w:val="0"/>
        <w:widowControl w:val="0"/>
        <w:kinsoku/>
        <w:wordWrap/>
        <w:overflowPunct/>
        <w:topLinePunct w:val="0"/>
        <w:autoSpaceDE/>
        <w:autoSpaceDN/>
        <w:bidi w:val="0"/>
        <w:spacing w:line="540" w:lineRule="exac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地址：深圳市龙岗区中心城腾飞路创投大厦3603室</w:t>
      </w:r>
    </w:p>
    <w:p>
      <w:pPr>
        <w:keepNext w:val="0"/>
        <w:keepLines w:val="0"/>
        <w:pageBreakBefore w:val="0"/>
        <w:widowControl w:val="0"/>
        <w:kinsoku/>
        <w:wordWrap/>
        <w:overflowPunct/>
        <w:topLinePunct w:val="0"/>
        <w:autoSpaceDE/>
        <w:autoSpaceDN/>
        <w:bidi w:val="0"/>
        <w:spacing w:line="540" w:lineRule="exac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电话：0755-89806666</w:t>
      </w:r>
    </w:p>
    <w:p>
      <w:pPr>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40" w:lineRule="exact"/>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乙方：</w:t>
      </w:r>
    </w:p>
    <w:p>
      <w:pPr>
        <w:keepNext w:val="0"/>
        <w:keepLines w:val="0"/>
        <w:pageBreakBefore w:val="0"/>
        <w:widowControl w:val="0"/>
        <w:kinsoku/>
        <w:wordWrap/>
        <w:overflowPunct/>
        <w:topLinePunct w:val="0"/>
        <w:autoSpaceDE/>
        <w:autoSpaceDN/>
        <w:bidi w:val="0"/>
        <w:spacing w:line="540" w:lineRule="exact"/>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spacing w:line="540" w:lineRule="exac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地址：</w:t>
      </w:r>
    </w:p>
    <w:p>
      <w:pPr>
        <w:keepNext w:val="0"/>
        <w:keepLines w:val="0"/>
        <w:pageBreakBefore w:val="0"/>
        <w:widowControl w:val="0"/>
        <w:kinsoku/>
        <w:wordWrap/>
        <w:overflowPunct/>
        <w:topLinePunct w:val="0"/>
        <w:autoSpaceDE/>
        <w:autoSpaceDN/>
        <w:bidi w:val="0"/>
        <w:spacing w:line="540" w:lineRule="exac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电话：</w:t>
      </w:r>
    </w:p>
    <w:p>
      <w:pPr>
        <w:pStyle w:val="23"/>
        <w:keepNext w:val="0"/>
        <w:keepLines w:val="0"/>
        <w:pageBreakBefore w:val="0"/>
        <w:widowControl w:val="0"/>
        <w:kinsoku/>
        <w:wordWrap/>
        <w:overflowPunct/>
        <w:topLinePunct w:val="0"/>
        <w:autoSpaceDE/>
        <w:autoSpaceDN/>
        <w:bidi w:val="0"/>
        <w:spacing w:after="0" w:line="540" w:lineRule="exact"/>
        <w:ind w:left="0" w:firstLine="640"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鉴于：</w:t>
      </w:r>
    </w:p>
    <w:p>
      <w:pPr>
        <w:keepNext w:val="0"/>
        <w:keepLines w:val="0"/>
        <w:pageBreakBefore w:val="0"/>
        <w:widowControl w:val="0"/>
        <w:numPr>
          <w:ilvl w:val="0"/>
          <w:numId w:val="2"/>
        </w:numPr>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甲方为“罗山产业集聚中心”项目的开发建设方，拥有该项目的开发建设、销售、出租等相关权力。</w:t>
      </w:r>
    </w:p>
    <w:p>
      <w:pPr>
        <w:keepNext w:val="0"/>
        <w:keepLines w:val="0"/>
        <w:pageBreakBefore w:val="0"/>
        <w:widowControl w:val="0"/>
        <w:numPr>
          <w:ilvl w:val="0"/>
          <w:numId w:val="2"/>
        </w:numPr>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乙方为专业的物业公司，具备丰富的项目案场物业服务经验。</w:t>
      </w:r>
    </w:p>
    <w:p>
      <w:pPr>
        <w:keepNext w:val="0"/>
        <w:keepLines w:val="0"/>
        <w:pageBreakBefore w:val="0"/>
        <w:widowControl w:val="0"/>
        <w:numPr>
          <w:ilvl w:val="0"/>
          <w:numId w:val="2"/>
        </w:numPr>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甲方委托乙方提供“罗山产业集聚中心”项目营销中心案场物业服务，乙方接受该委托。</w:t>
      </w:r>
    </w:p>
    <w:p>
      <w:pPr>
        <w:keepNext w:val="0"/>
        <w:keepLines w:val="0"/>
        <w:pageBreakBefore w:val="0"/>
        <w:widowControl w:val="0"/>
        <w:numPr>
          <w:ilvl w:val="0"/>
          <w:numId w:val="2"/>
        </w:numPr>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依照《中华人民共和国民法典》、《中华人民共和国招标投标法》等国家的有关法律、行政法规，遵循平等、自愿、公平和诚实信用的原则，经双方友好协商，达成如下协议，以资共同遵守：</w:t>
      </w:r>
    </w:p>
    <w:p>
      <w:pPr>
        <w:keepNext w:val="0"/>
        <w:keepLines w:val="0"/>
        <w:pageBreakBefore w:val="0"/>
        <w:widowControl w:val="0"/>
        <w:numPr>
          <w:ilvl w:val="0"/>
          <w:numId w:val="3"/>
        </w:numPr>
        <w:kinsoku/>
        <w:wordWrap/>
        <w:overflowPunct/>
        <w:topLinePunct w:val="0"/>
        <w:autoSpaceDE/>
        <w:autoSpaceDN/>
        <w:bidi w:val="0"/>
        <w:spacing w:line="540" w:lineRule="exact"/>
        <w:outlineLvl w:val="1"/>
        <w:rPr>
          <w:rFonts w:hint="eastAsia" w:ascii="黑体" w:hAnsi="黑体" w:eastAsia="黑体" w:cs="黑体"/>
          <w:bCs/>
          <w:color w:val="000000" w:themeColor="text1"/>
          <w:kern w:val="0"/>
          <w:sz w:val="32"/>
          <w:szCs w:val="32"/>
          <w:highlight w:val="none"/>
          <w14:textFill>
            <w14:solidFill>
              <w14:schemeClr w14:val="tx1"/>
            </w14:solidFill>
          </w14:textFill>
        </w:rPr>
      </w:pPr>
      <w:r>
        <w:rPr>
          <w:rFonts w:hint="eastAsia" w:ascii="黑体" w:hAnsi="黑体" w:eastAsia="黑体" w:cs="黑体"/>
          <w:bCs/>
          <w:color w:val="000000" w:themeColor="text1"/>
          <w:kern w:val="0"/>
          <w:sz w:val="32"/>
          <w:szCs w:val="32"/>
          <w:highlight w:val="none"/>
          <w14:textFill>
            <w14:solidFill>
              <w14:schemeClr w14:val="tx1"/>
            </w14:solidFill>
          </w14:textFill>
        </w:rPr>
        <w:t>项目基本情况</w:t>
      </w:r>
    </w:p>
    <w:p>
      <w:pPr>
        <w:keepNext w:val="0"/>
        <w:keepLines w:val="0"/>
        <w:pageBreakBefore w:val="0"/>
        <w:widowControl w:val="0"/>
        <w:numPr>
          <w:ilvl w:val="0"/>
          <w:numId w:val="4"/>
        </w:numPr>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项目名称： 罗山产业集聚中心项目（以下简称“本项目”）。</w:t>
      </w:r>
    </w:p>
    <w:p>
      <w:pPr>
        <w:keepNext w:val="0"/>
        <w:keepLines w:val="0"/>
        <w:pageBreakBefore w:val="0"/>
        <w:widowControl w:val="0"/>
        <w:numPr>
          <w:ilvl w:val="0"/>
          <w:numId w:val="4"/>
        </w:numPr>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项目位置： 位于深圳市龙岗区平湖街道平大路与广深铁路的交</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处。</w:t>
      </w:r>
    </w:p>
    <w:p>
      <w:pPr>
        <w:keepNext w:val="0"/>
        <w:keepLines w:val="0"/>
        <w:pageBreakBefore w:val="0"/>
        <w:widowControl w:val="0"/>
        <w:numPr>
          <w:ilvl w:val="0"/>
          <w:numId w:val="4"/>
        </w:numPr>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项目建筑面积： 总用地面积约5.85万平方米，总建筑面积约31.4万平方米（计容面积约17.8万平方米）。其中研发用房约7.26万平方米（可售约3.63万平方米）、生产厂房约9.5万平方米（可售约4.76万平方米），总可售产业空间约8.39万平方米，配套食堂约7800平方米可整体转让。</w:t>
      </w:r>
    </w:p>
    <w:p>
      <w:pPr>
        <w:keepNext w:val="0"/>
        <w:keepLines w:val="0"/>
        <w:pageBreakBefore w:val="0"/>
        <w:widowControl w:val="0"/>
        <w:numPr>
          <w:ilvl w:val="0"/>
          <w:numId w:val="4"/>
        </w:numPr>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项目属性：优质产业空间试点项目，土地性质为M0。</w:t>
      </w:r>
    </w:p>
    <w:p>
      <w:pPr>
        <w:pStyle w:val="17"/>
        <w:keepNext w:val="0"/>
        <w:keepLines w:val="0"/>
        <w:pageBreakBefore w:val="0"/>
        <w:widowControl w:val="0"/>
        <w:numPr>
          <w:ilvl w:val="0"/>
          <w:numId w:val="4"/>
        </w:numPr>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营销中心位置：罗山产业集聚中心项目4栋1层处。</w:t>
      </w:r>
    </w:p>
    <w:p>
      <w:pPr>
        <w:keepNext w:val="0"/>
        <w:keepLines w:val="0"/>
        <w:pageBreakBefore w:val="0"/>
        <w:widowControl w:val="0"/>
        <w:numPr>
          <w:ilvl w:val="0"/>
          <w:numId w:val="3"/>
        </w:numPr>
        <w:kinsoku/>
        <w:wordWrap/>
        <w:overflowPunct/>
        <w:topLinePunct w:val="0"/>
        <w:autoSpaceDE/>
        <w:autoSpaceDN/>
        <w:bidi w:val="0"/>
        <w:spacing w:line="540" w:lineRule="exact"/>
        <w:outlineLvl w:val="1"/>
        <w:rPr>
          <w:rFonts w:hint="eastAsia" w:ascii="黑体" w:hAnsi="黑体" w:eastAsia="黑体" w:cs="黑体"/>
          <w:bCs/>
          <w:color w:val="000000" w:themeColor="text1"/>
          <w:kern w:val="0"/>
          <w:sz w:val="32"/>
          <w:szCs w:val="32"/>
          <w:highlight w:val="none"/>
          <w14:textFill>
            <w14:solidFill>
              <w14:schemeClr w14:val="tx1"/>
            </w14:solidFill>
          </w14:textFill>
        </w:rPr>
      </w:pPr>
      <w:r>
        <w:rPr>
          <w:rFonts w:hint="eastAsia" w:ascii="黑体" w:hAnsi="黑体" w:eastAsia="黑体" w:cs="黑体"/>
          <w:bCs/>
          <w:color w:val="000000" w:themeColor="text1"/>
          <w:kern w:val="0"/>
          <w:sz w:val="32"/>
          <w:szCs w:val="32"/>
          <w:highlight w:val="none"/>
          <w14:textFill>
            <w14:solidFill>
              <w14:schemeClr w14:val="tx1"/>
            </w14:solidFill>
          </w14:textFill>
        </w:rPr>
        <w:t>物业服务形式</w:t>
      </w:r>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将在进场前进行验收及交接，并与甲方对案场内的家具及配饰进行核查登记、拍照存档，验收交接清单需双方派出被授权人签字确认。若根据案场实际情况相关管理区域如样板间、体验区等需分批移交，可由甲乙双方根据现场实际情况分批次进行现场物资验收、移交。历次验收交接清单作为本合同的附件。</w:t>
      </w:r>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甲乙双方每月召开一次以上例会，乙方案场负责人需出席每次例会，避免交叉管理，如无法参加例会，需提前通知甲方并说明原因。</w:t>
      </w:r>
    </w:p>
    <w:p>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如甲方因现场需要，增、减物业服务人员，应至少提前30日书面知会乙方，经双方签字同意后实施，相应的增、减应由甲方支付的相关费用。</w:t>
      </w:r>
    </w:p>
    <w:p>
      <w:pPr>
        <w:keepNext w:val="0"/>
        <w:keepLines w:val="0"/>
        <w:pageBreakBefore w:val="0"/>
        <w:widowControl w:val="0"/>
        <w:numPr>
          <w:ilvl w:val="0"/>
          <w:numId w:val="3"/>
        </w:numPr>
        <w:kinsoku/>
        <w:wordWrap/>
        <w:overflowPunct/>
        <w:topLinePunct w:val="0"/>
        <w:autoSpaceDE/>
        <w:autoSpaceDN/>
        <w:bidi w:val="0"/>
        <w:spacing w:line="540" w:lineRule="exact"/>
        <w:outlineLvl w:val="1"/>
        <w:rPr>
          <w:rFonts w:hint="eastAsia" w:ascii="黑体" w:hAnsi="黑体" w:eastAsia="黑体" w:cs="黑体"/>
          <w:bCs/>
          <w:color w:val="000000" w:themeColor="text1"/>
          <w:kern w:val="0"/>
          <w:sz w:val="32"/>
          <w:szCs w:val="32"/>
          <w:highlight w:val="none"/>
          <w14:textFill>
            <w14:solidFill>
              <w14:schemeClr w14:val="tx1"/>
            </w14:solidFill>
          </w14:textFill>
        </w:rPr>
      </w:pPr>
      <w:r>
        <w:rPr>
          <w:rFonts w:hint="eastAsia" w:ascii="黑体" w:hAnsi="黑体" w:eastAsia="黑体" w:cs="黑体"/>
          <w:bCs/>
          <w:color w:val="000000" w:themeColor="text1"/>
          <w:kern w:val="0"/>
          <w:sz w:val="32"/>
          <w:szCs w:val="32"/>
          <w:highlight w:val="none"/>
          <w14:textFill>
            <w14:solidFill>
              <w14:schemeClr w14:val="tx1"/>
            </w14:solidFill>
          </w14:textFill>
        </w:rPr>
        <w:t>物业服务范围和内容</w:t>
      </w:r>
    </w:p>
    <w:p>
      <w:pPr>
        <w:keepNext w:val="0"/>
        <w:keepLines w:val="0"/>
        <w:pageBreakBefore w:val="0"/>
        <w:widowControl w:val="0"/>
        <w:numPr>
          <w:ilvl w:val="0"/>
          <w:numId w:val="6"/>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乙方提供物业服务的区域范围为：</w:t>
      </w:r>
      <w:r>
        <w:rPr>
          <w:rFonts w:hint="eastAsia" w:ascii="仿宋_GB2312" w:hAnsi="仿宋_GB2312" w:eastAsia="仿宋_GB2312" w:cs="仿宋_GB2312"/>
          <w:sz w:val="32"/>
          <w:szCs w:val="32"/>
          <w:highlight w:val="none"/>
          <w:u w:val="single"/>
        </w:rPr>
        <w:t xml:space="preserve"> 罗山产业集聚中心项目营销中心 </w:t>
      </w:r>
      <w:r>
        <w:rPr>
          <w:rFonts w:hint="eastAsia" w:ascii="仿宋_GB2312" w:hAnsi="仿宋_GB2312" w:eastAsia="仿宋_GB2312" w:cs="仿宋_GB2312"/>
          <w:sz w:val="32"/>
          <w:szCs w:val="32"/>
          <w:highlight w:val="none"/>
        </w:rPr>
        <w:t>案场区域内的售楼处主体、停车场、样板房示范区及公建等。</w:t>
      </w:r>
    </w:p>
    <w:p>
      <w:pPr>
        <w:keepNext w:val="0"/>
        <w:keepLines w:val="0"/>
        <w:pageBreakBefore w:val="0"/>
        <w:widowControl w:val="0"/>
        <w:numPr>
          <w:ilvl w:val="0"/>
          <w:numId w:val="6"/>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乙方为本项目案场提供物业服务的主要内容如下：</w:t>
      </w:r>
    </w:p>
    <w:p>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综合管理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（1）负责制定物业服务工作计划，并组织实施。</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（2）对案场区域进行每月定期巡检。</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（3）建立起应对各公共突发事件的处理机制和预案，包括组织机构，人员和具体措施等，一旦发生，能随时投入运行。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（4）由甲方配备现场工程人员，负责案场内照明设备的维护、附属设施维护、巡检</w:t>
      </w:r>
      <w:bookmarkStart w:id="9" w:name="_GoBack"/>
      <w:bookmarkEnd w:id="9"/>
      <w:r>
        <w:rPr>
          <w:rFonts w:hint="eastAsia" w:ascii="仿宋_GB2312" w:hAnsi="仿宋_GB2312" w:eastAsia="仿宋_GB2312" w:cs="仿宋_GB2312"/>
          <w:sz w:val="32"/>
          <w:szCs w:val="32"/>
          <w:highlight w:val="none"/>
        </w:rPr>
        <w:t>及日常消耗品统计工作，乙方需配合。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（5）乙方有权劝阻、制止一切不利于或有损于甲方名誉或权益的行为。由此产生出的相关费用经甲方确认后由甲方负责协调解决或承担。</w:t>
      </w:r>
    </w:p>
    <w:p>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客户接待服务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（1）负责接待来往本项目购房及租赁客户接待工作，提供客户信息咨询、路线指引、水吧台出品等服务；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（2）根据甲方需求，提供客户接待讲解服务，协助甲方销售人员接待访客工作；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（3）负责每日登记来访客户工作，记录访客信息。</w:t>
      </w:r>
    </w:p>
    <w:p>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卫生清洁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（1）负责所服务区共域内的常规卫生清洁工作（不包含高空作业）。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（2）制定及健全保洁员管理制度，有明确的分工和责任范围。</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（3）制定岗位工作流程、岗位职责。</w:t>
      </w:r>
    </w:p>
    <w:p>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公共秩序维护</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（1）负责所服务区域内公共秩序的维护工作。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（2）制定公共秩序维护流程。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（3）制定发生治安案件、刑事案件、交通事故的处置预案；发生时及时采取措施，并报警和配合公安部门进行处理。</w:t>
      </w:r>
    </w:p>
    <w:p>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停车管理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（1）制定健全的机动车、非机动车管理制度。</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（2）制定停车管理紧急情况预案。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（3）有权对停车场车辆进行疏导、指挥。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（4）有权制止违章停车、行驶及损害停放车辆的行为。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（5）由于停放车辆自身造成的车辆事故，责任由事故双方协商解决。</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（6）有权对不按规定停放、影响道路畅通及公共安全的车辆采取报警等处理方式，由此产生的责任和费用均由违法停放人承担。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（7）遵守国家关于停车场的相关政策法规。</w:t>
      </w:r>
    </w:p>
    <w:p>
      <w:pPr>
        <w:pStyle w:val="62"/>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甲方的权利和义务</w:t>
      </w:r>
    </w:p>
    <w:p>
      <w:pPr>
        <w:keepNext w:val="0"/>
        <w:keepLines w:val="0"/>
        <w:pageBreakBefore w:val="0"/>
        <w:widowControl w:val="0"/>
        <w:numPr>
          <w:ilvl w:val="0"/>
          <w:numId w:val="8"/>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甲方根据案场的实际情况须为乙方派驻的</w:t>
      </w:r>
      <w:r>
        <w:rPr>
          <w:rFonts w:hint="eastAsia" w:ascii="仿宋_GB2312" w:hAnsi="仿宋_GB2312" w:eastAsia="仿宋_GB2312" w:cs="仿宋_GB2312"/>
          <w:sz w:val="32"/>
          <w:szCs w:val="32"/>
          <w:highlight w:val="none"/>
          <w:lang w:eastAsia="zh-Hans"/>
        </w:rPr>
        <w:t>物业服务人员</w:t>
      </w:r>
      <w:r>
        <w:rPr>
          <w:rFonts w:hint="eastAsia" w:ascii="仿宋_GB2312" w:hAnsi="仿宋_GB2312" w:eastAsia="仿宋_GB2312" w:cs="仿宋_GB2312"/>
          <w:sz w:val="32"/>
          <w:szCs w:val="32"/>
          <w:highlight w:val="none"/>
        </w:rPr>
        <w:t>提供必要的工作条件（包含但不限于对讲机、网络等办公设施、办公场地等）。</w:t>
      </w:r>
    </w:p>
    <w:p>
      <w:pPr>
        <w:keepNext w:val="0"/>
        <w:keepLines w:val="0"/>
        <w:pageBreakBefore w:val="0"/>
        <w:widowControl w:val="0"/>
        <w:numPr>
          <w:ilvl w:val="0"/>
          <w:numId w:val="8"/>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按照本合同的有关条款，甲方应按时向乙方支付案场物业服务费。</w:t>
      </w:r>
    </w:p>
    <w:p>
      <w:pPr>
        <w:keepNext w:val="0"/>
        <w:keepLines w:val="0"/>
        <w:pageBreakBefore w:val="0"/>
        <w:widowControl w:val="0"/>
        <w:numPr>
          <w:ilvl w:val="0"/>
          <w:numId w:val="8"/>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乙方上岗的管理人员由甲方审核通过后方可上岗，否则甲方有权要求乙方调整人选。若乙方管理人员上岗后若表现不佳，甲方有更换人员的权限。</w:t>
      </w:r>
    </w:p>
    <w:p>
      <w:pPr>
        <w:keepNext w:val="0"/>
        <w:keepLines w:val="0"/>
        <w:pageBreakBefore w:val="0"/>
        <w:widowControl w:val="0"/>
        <w:numPr>
          <w:ilvl w:val="0"/>
          <w:numId w:val="8"/>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甲方不能要求乙方预付任何应由甲方支付的外包公司、员工、事业单位或政府机构等的费用支出。</w:t>
      </w:r>
    </w:p>
    <w:p>
      <w:pPr>
        <w:keepNext w:val="0"/>
        <w:keepLines w:val="0"/>
        <w:pageBreakBefore w:val="0"/>
        <w:widowControl w:val="0"/>
        <w:numPr>
          <w:ilvl w:val="0"/>
          <w:numId w:val="8"/>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甲方有权要求乙方针对案场物业服务中的不足制定新的管理文件，并经双方同意后签字生效。</w:t>
      </w:r>
    </w:p>
    <w:p>
      <w:pPr>
        <w:keepNext w:val="0"/>
        <w:keepLines w:val="0"/>
        <w:pageBreakBefore w:val="0"/>
        <w:widowControl w:val="0"/>
        <w:numPr>
          <w:ilvl w:val="0"/>
          <w:numId w:val="8"/>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甲方对乙方的服务实施监督检查，并有权书面提出整改意见，同时明确整改期限，如乙方无正当理由未在整改期限内完成整改，甲方有权暂停支付款项，直至乙方整改完毕或有权解除合同。</w:t>
      </w:r>
    </w:p>
    <w:p>
      <w:pPr>
        <w:keepNext w:val="0"/>
        <w:keepLines w:val="0"/>
        <w:pageBreakBefore w:val="0"/>
        <w:widowControl w:val="0"/>
        <w:numPr>
          <w:ilvl w:val="0"/>
          <w:numId w:val="8"/>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双方同意合同金额为包干价，已包含甲方为履行本合同所支付的所有的费用，乙方及乙方工作人员不得以任何理由要求甲方增加费用。</w:t>
      </w:r>
    </w:p>
    <w:p>
      <w:pPr>
        <w:keepNext w:val="0"/>
        <w:keepLines w:val="0"/>
        <w:pageBreakBefore w:val="0"/>
        <w:widowControl w:val="0"/>
        <w:numPr>
          <w:ilvl w:val="0"/>
          <w:numId w:val="8"/>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甲方有义务将停车场停放车辆及楼体消防系统基本情况以书面形式告知乙方</w:t>
      </w:r>
      <w:r>
        <w:rPr>
          <w:rFonts w:hint="eastAsia" w:ascii="仿宋_GB2312" w:hAnsi="仿宋_GB2312" w:eastAsia="仿宋_GB2312" w:cs="仿宋_GB2312"/>
          <w:sz w:val="32"/>
          <w:szCs w:val="32"/>
          <w:highlight w:val="none"/>
          <w:lang w:eastAsia="zh-Hans"/>
        </w:rPr>
        <w:t>。</w:t>
      </w:r>
    </w:p>
    <w:p>
      <w:pPr>
        <w:keepNext w:val="0"/>
        <w:keepLines w:val="0"/>
        <w:pageBreakBefore w:val="0"/>
        <w:widowControl w:val="0"/>
        <w:numPr>
          <w:ilvl w:val="0"/>
          <w:numId w:val="8"/>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甲方交接给乙方的物品（包括阳伞、雨伞、水吧固定资产等），若因乙方看管或使用不当而造成损失的，甲方有权要求乙方赔偿或在物业服务费中扣除相应的额度。</w:t>
      </w:r>
    </w:p>
    <w:p>
      <w:pPr>
        <w:pStyle w:val="62"/>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乙方的权利和义务</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按照本合同的有关条款，向甲方案场提供物业服务。</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按照本合同的有关条款，向甲方收取案场物业服务费。</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乙方有权要求甲方工作人员配合乙方的管理服务行为。</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乙方工作人员应全部经乙方专业培训合格后上岗。乙方应按甲方要求，及时换掉不符合要求的乙方工作人员。</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乙方全体员工统一着装，佩戴标志，行为语言规范，服务主动，统一工服须由乙方提供，样式须经甲方认可。</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乙方需定期对服务人员进行物业管理业务知识培训、消防培训及其他服务培训。</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乙方应负责购买项目服务人员相关保险费，甲方不另行支付该笔费用。</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乙方需妥善做好人员劳务沟通工作，若发生人员劳资纠纷，应由乙方自行负责处理，并承担由此产生的全部责任。</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经甲方书面同意，乙方可选聘专业公司承担本物业的专项管理业务，但不得将物业的整体管理委托给第三方。</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bCs/>
          <w:color w:val="000000"/>
          <w:sz w:val="32"/>
          <w:szCs w:val="32"/>
          <w:highlight w:val="none"/>
        </w:rPr>
        <w:t>需配备清洁维护所需工具及耗材，如抹布、扫把、拖把、水刮器、水桶等</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乙方应做好其参与项目服务团队的安全管理工作，不得随意进出服务区域以外的空间，如未完工交付的工地范围等。</w:t>
      </w:r>
    </w:p>
    <w:p>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本合同终止后，乙方应及时撤出案场，并退还相关办公设备、办公家具等。</w:t>
      </w:r>
    </w:p>
    <w:p>
      <w:pPr>
        <w:pStyle w:val="62"/>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物业服务费及其支付方式</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本合同为固定总价合同，根据甲乙双方协商，本合同项下案场物业服务总计费用：</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）其中：税率为：【 】%，不含税总费用：</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元；税金为：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本合同为固定总价合同，以上费用已包含乙方开展工作过程中全部费用，包括但不限于人员成本、加班费、交通差旅费、文件材料费用及税费、专家评审或聘请专家等费用。</w:t>
      </w:r>
      <w:r>
        <w:rPr>
          <w:rFonts w:hint="eastAsia" w:ascii="仿宋_GB2312" w:hAnsi="仿宋_GB2312" w:eastAsia="仿宋_GB2312" w:cs="仿宋_GB2312"/>
          <w:sz w:val="32"/>
          <w:szCs w:val="32"/>
          <w:highlight w:val="none"/>
        </w:rPr>
        <w:t>甲乙双方同意以附件《物业服务费用测算表》为依据，以每季度为结算周期，由甲方向乙方支付物业服务费。</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支付方式：</w:t>
      </w:r>
    </w:p>
    <w:p>
      <w:pPr>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第一笔：</w:t>
      </w:r>
      <w:r>
        <w:rPr>
          <w:rFonts w:hint="eastAsia" w:ascii="仿宋_GB2312" w:hAnsi="仿宋_GB2312" w:eastAsia="仿宋_GB2312" w:cs="仿宋_GB2312"/>
          <w:color w:val="000000"/>
          <w:sz w:val="32"/>
          <w:szCs w:val="32"/>
          <w:highlight w:val="none"/>
        </w:rPr>
        <w:t>自合同签订之日起首季度服务期满10个工作日内，甲方对乙方服务进行履约评价，根据评价结果确定最终支付金额。乙方提交对应工作成果验收单，开具对应金额的有效增值税发票并提出书面申请，经甲方审核通过后，甲方向乙方支付相应金额（至多支付案场物业服务费总价款的25%）；</w:t>
      </w:r>
    </w:p>
    <w:p>
      <w:pPr>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第二笔：</w:t>
      </w:r>
      <w:r>
        <w:rPr>
          <w:rFonts w:hint="eastAsia" w:ascii="仿宋_GB2312" w:hAnsi="仿宋_GB2312" w:eastAsia="仿宋_GB2312" w:cs="仿宋_GB2312"/>
          <w:color w:val="000000"/>
          <w:sz w:val="32"/>
          <w:szCs w:val="32"/>
          <w:highlight w:val="none"/>
        </w:rPr>
        <w:t>自合同签订之日起第二季度服务期满10个工作日内，甲方对乙方服务进行履约评价，根据评价结果确定最终支付金额。乙方提交对应工作成果验收单，开具对应金额的有效增值税发票并提出书面申请，经甲方审核通过后，甲方向乙方支付相应金额（至多支付案场物业服务费总价款的25%）；</w:t>
      </w:r>
    </w:p>
    <w:p>
      <w:pPr>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第三笔：</w:t>
      </w:r>
      <w:r>
        <w:rPr>
          <w:rFonts w:hint="eastAsia" w:ascii="仿宋_GB2312" w:hAnsi="仿宋_GB2312" w:eastAsia="仿宋_GB2312" w:cs="仿宋_GB2312"/>
          <w:color w:val="000000"/>
          <w:sz w:val="32"/>
          <w:szCs w:val="32"/>
          <w:highlight w:val="none"/>
        </w:rPr>
        <w:t>自合同签订之日起第三季度服务期满10个工作日内，甲方对乙方服务进行履约评价，根据评价结果确定最终支付金额。乙方提交对应工作成果验收单，开具对应金额的有效增值税发票并提出书面申请，经甲方审核通过后，甲方向乙方支付相应金额（至多支付案场物业服务费总价款的25%）；</w:t>
      </w:r>
    </w:p>
    <w:p>
      <w:pPr>
        <w:pStyle w:val="17"/>
        <w:keepNext w:val="0"/>
        <w:keepLines w:val="0"/>
        <w:pageBreakBefore w:val="0"/>
        <w:widowControl w:val="0"/>
        <w:kinsoku/>
        <w:wordWrap/>
        <w:overflowPunct/>
        <w:topLinePunct w:val="0"/>
        <w:autoSpaceDE/>
        <w:autoSpaceDN/>
        <w:bidi w:val="0"/>
        <w:spacing w:line="540" w:lineRule="exact"/>
        <w:ind w:firstLine="642"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rPr>
        <w:t>第四笔：</w:t>
      </w:r>
      <w:r>
        <w:rPr>
          <w:rFonts w:hint="eastAsia" w:ascii="仿宋_GB2312" w:hAnsi="仿宋_GB2312" w:eastAsia="仿宋_GB2312" w:cs="仿宋_GB2312"/>
          <w:color w:val="000000"/>
          <w:sz w:val="32"/>
          <w:szCs w:val="32"/>
          <w:highlight w:val="none"/>
        </w:rPr>
        <w:t>自合同签订之日起第四季度服务期满10个工作日内，甲方对乙方服务进行履约评价，根据评价结果确定最终支付金额。乙方提交对应工作成果验收单，开具对应金额的有效增值税发票并提出书面申请，经甲方审核通过后，甲方向乙方支付相应金额（至多支付案场物业服务费总价款的25%）。</w:t>
      </w:r>
      <w:r>
        <w:rPr>
          <w:rFonts w:hint="eastAsia" w:ascii="仿宋_GB2312" w:hAnsi="仿宋_GB2312" w:eastAsia="仿宋_GB2312" w:cs="仿宋_GB2312"/>
          <w:color w:val="000000"/>
          <w:sz w:val="32"/>
          <w:szCs w:val="32"/>
          <w:highlight w:val="none"/>
          <w:lang w:val="en-US" w:eastAsia="zh-CN"/>
        </w:rPr>
        <w:t>至此支付完成全部年度服务费用。</w:t>
      </w:r>
    </w:p>
    <w:p>
      <w:pPr>
        <w:pStyle w:val="17"/>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履约评价及支付</w:t>
      </w:r>
    </w:p>
    <w:p>
      <w:pPr>
        <w:pStyle w:val="17"/>
        <w:keepNext w:val="0"/>
        <w:keepLines w:val="0"/>
        <w:pageBreakBefore w:val="0"/>
        <w:widowControl w:val="0"/>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1.为保障乙方履行合同质量，甲方每季度对乙方当季履约表现和服务成果进行评价，履约评价考核内容包括项目人员、环境、工作配合等，具体详见本合同附件5：《罗山产业集聚中心项目营销中心案场</w:t>
      </w:r>
      <w:r>
        <w:rPr>
          <w:rFonts w:hint="eastAsia" w:ascii="仿宋_GB2312" w:hAnsi="仿宋_GB2312" w:eastAsia="仿宋_GB2312" w:cs="仿宋_GB2312"/>
          <w:color w:val="000000"/>
          <w:sz w:val="32"/>
          <w:szCs w:val="32"/>
          <w:highlight w:val="none"/>
          <w:lang w:val="en-US" w:eastAsia="zh-CN"/>
        </w:rPr>
        <w:t>物业</w:t>
      </w:r>
      <w:r>
        <w:rPr>
          <w:rFonts w:hint="eastAsia" w:ascii="仿宋_GB2312" w:hAnsi="仿宋_GB2312" w:eastAsia="仿宋_GB2312" w:cs="仿宋_GB2312"/>
          <w:color w:val="000000"/>
          <w:sz w:val="32"/>
          <w:szCs w:val="32"/>
          <w:highlight w:val="none"/>
        </w:rPr>
        <w:t xml:space="preserve">服务履约评价表》。 </w:t>
      </w:r>
    </w:p>
    <w:p>
      <w:pPr>
        <w:pStyle w:val="17"/>
        <w:keepNext w:val="0"/>
        <w:keepLines w:val="0"/>
        <w:pageBreakBefore w:val="0"/>
        <w:widowControl w:val="0"/>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2.履约评价时间：由甲方每季度（次季度起【10 】个工作日内）对乙方服务考核打分。</w:t>
      </w:r>
    </w:p>
    <w:p>
      <w:pPr>
        <w:pStyle w:val="17"/>
        <w:keepNext w:val="0"/>
        <w:keepLines w:val="0"/>
        <w:pageBreakBefore w:val="0"/>
        <w:widowControl w:val="0"/>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③履约评价支付：</w:t>
      </w:r>
      <w:r>
        <w:rPr>
          <w:rFonts w:hint="eastAsia" w:ascii="仿宋_GB2312" w:hAnsi="仿宋_GB2312" w:eastAsia="仿宋_GB2312" w:cs="仿宋_GB2312"/>
          <w:sz w:val="32"/>
          <w:szCs w:val="32"/>
          <w:highlight w:val="none"/>
          <w:lang w:eastAsia="zh-Hans"/>
        </w:rPr>
        <w:t>履约评价金基数为</w:t>
      </w:r>
      <w:r>
        <w:rPr>
          <w:rFonts w:hint="eastAsia" w:ascii="仿宋_GB2312" w:hAnsi="仿宋_GB2312" w:eastAsia="仿宋_GB2312" w:cs="仿宋_GB2312"/>
          <w:sz w:val="32"/>
          <w:szCs w:val="32"/>
          <w:highlight w:val="none"/>
        </w:rPr>
        <w:t>季</w:t>
      </w:r>
      <w:r>
        <w:rPr>
          <w:rFonts w:hint="eastAsia" w:ascii="仿宋_GB2312" w:hAnsi="仿宋_GB2312" w:eastAsia="仿宋_GB2312" w:cs="仿宋_GB2312"/>
          <w:sz w:val="32"/>
          <w:szCs w:val="32"/>
          <w:highlight w:val="none"/>
          <w:lang w:eastAsia="zh-Hans"/>
        </w:rPr>
        <w:t>度</w:t>
      </w:r>
      <w:r>
        <w:rPr>
          <w:rFonts w:hint="eastAsia" w:ascii="仿宋_GB2312" w:hAnsi="仿宋_GB2312" w:eastAsia="仿宋_GB2312" w:cs="仿宋_GB2312"/>
          <w:sz w:val="32"/>
          <w:szCs w:val="32"/>
          <w:highlight w:val="none"/>
        </w:rPr>
        <w:t>案场服务</w:t>
      </w:r>
      <w:r>
        <w:rPr>
          <w:rFonts w:hint="eastAsia" w:ascii="仿宋_GB2312" w:hAnsi="仿宋_GB2312" w:eastAsia="仿宋_GB2312" w:cs="仿宋_GB2312"/>
          <w:sz w:val="32"/>
          <w:szCs w:val="32"/>
          <w:highlight w:val="none"/>
          <w:lang w:eastAsia="zh-Hans"/>
        </w:rPr>
        <w:t>费的</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color w:val="000000"/>
          <w:sz w:val="32"/>
          <w:szCs w:val="32"/>
          <w:highlight w:val="none"/>
        </w:rPr>
        <w:t>评价结果达到80分（含）以上时，由乙方向甲方提出支付申请，经甲方核准后，支付100%的履约评价金；评价结果为60分（含）以上80分（不含）以下时，扣除50%的履约评价金后，支付剩余部分；评价结果为60分（不含）以下时，视为乙方未正常履约，甲方将发出书面通报批评，且有权扣除全部履约评价金。</w:t>
      </w:r>
    </w:p>
    <w:p>
      <w:pPr>
        <w:pStyle w:val="17"/>
        <w:keepNext w:val="0"/>
        <w:keepLines w:val="0"/>
        <w:pageBreakBefore w:val="0"/>
        <w:widowControl w:val="0"/>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④因履约评价结果未达良好而少支付或不予支付的履约评价金，均由甲方从履约评价金中扣除，乙方无权要求甲方补发。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如果需要甲方支付应由甲方承担的任何上述金额范围外的资金，乙方应就资金的具体用途提前5个工作日向甲方提交说明，经双方签字确认，方可作为甲方的付款依据，经甲方确认支付的款项，甲方应在下月物业服务费结算时按照上述第（二）条约定在乙方提供相应的票据的前提下支付所需费用。</w:t>
      </w:r>
    </w:p>
    <w:p>
      <w:pPr>
        <w:keepNext w:val="0"/>
        <w:keepLines w:val="0"/>
        <w:pageBreakBefore w:val="0"/>
        <w:widowControl w:val="0"/>
        <w:numPr>
          <w:ilvl w:val="0"/>
          <w:numId w:val="3"/>
        </w:numPr>
        <w:kinsoku/>
        <w:wordWrap/>
        <w:overflowPunct/>
        <w:topLinePunct w:val="0"/>
        <w:autoSpaceDE/>
        <w:autoSpaceDN/>
        <w:bidi w:val="0"/>
        <w:adjustRightInd w:val="0"/>
        <w:snapToGrid w:val="0"/>
        <w:spacing w:line="540" w:lineRule="exact"/>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补充条件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rPr>
        <w:t>如因甲方原因导致乙方连续两个付款周期未收到甲方案场物业服务费用的，</w:t>
      </w:r>
      <w:r>
        <w:rPr>
          <w:rFonts w:hint="eastAsia" w:ascii="仿宋_GB2312" w:hAnsi="仿宋_GB2312" w:eastAsia="仿宋_GB2312" w:cs="仿宋_GB2312"/>
          <w:sz w:val="32"/>
          <w:szCs w:val="32"/>
          <w:highlight w:val="none"/>
          <w:lang w:eastAsia="zh-Hans"/>
        </w:rPr>
        <w:t>视为甲方违约。</w:t>
      </w:r>
      <w:r>
        <w:rPr>
          <w:rFonts w:hint="eastAsia" w:ascii="仿宋_GB2312" w:hAnsi="仿宋_GB2312" w:eastAsia="仿宋_GB2312" w:cs="仿宋_GB2312"/>
          <w:sz w:val="32"/>
          <w:szCs w:val="32"/>
          <w:highlight w:val="none"/>
        </w:rPr>
        <w:t>乙方可立即终止本合同且甲方须支付乙方提供服务期间应付未付的物业服务费。</w:t>
      </w:r>
      <w:r>
        <w:rPr>
          <w:rFonts w:hint="eastAsia" w:ascii="仿宋_GB2312" w:hAnsi="仿宋_GB2312" w:eastAsia="仿宋_GB2312" w:cs="仿宋_GB2312"/>
          <w:sz w:val="32"/>
          <w:szCs w:val="32"/>
          <w:highlight w:val="none"/>
          <w:lang w:eastAsia="zh-Hans"/>
        </w:rPr>
        <w:t>甲方应</w:t>
      </w:r>
      <w:r>
        <w:rPr>
          <w:rFonts w:hint="eastAsia" w:ascii="仿宋_GB2312" w:hAnsi="仿宋_GB2312" w:eastAsia="仿宋_GB2312" w:cs="仿宋_GB2312"/>
          <w:sz w:val="32"/>
          <w:szCs w:val="32"/>
          <w:highlight w:val="none"/>
        </w:rPr>
        <w:t>及时</w:t>
      </w:r>
      <w:r>
        <w:rPr>
          <w:rFonts w:hint="eastAsia" w:ascii="仿宋_GB2312" w:hAnsi="仿宋_GB2312" w:eastAsia="仿宋_GB2312" w:cs="仿宋_GB2312"/>
          <w:sz w:val="32"/>
          <w:szCs w:val="32"/>
          <w:highlight w:val="none"/>
          <w:lang w:eastAsia="zh-Hans"/>
        </w:rPr>
        <w:t>配合，因此产生的损失和影响由甲方自行承担。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（一）物业服务验收需按照季度进行，且《罗山产业集聚中心项目营销中心物业服务验收清单》需作为季度结算的凭证。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乙方须于每月5日前向甲方提交服务人员上月考勤打卡记录，该记录将作为甲方对乙方履约情况进行评价考核的重要依据之一</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（三）《开荒保洁服务内容要求及验收标准》仅针对案场开荒保洁服务的验收标准，且作为首季度费用结算的凭证之一。</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（四）银行及发票信息如下：</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甲方银行账户信息： </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甲方名称：【】</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纳税人识别号：【】</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账号：【】</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乙方银行账户信息：</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乙方名称：【】</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纳税人识别号：【】</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账号：【】</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p>
    <w:p>
      <w:pPr>
        <w:pStyle w:val="62"/>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物业服务期限</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（一）物业服务期限</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自合同签订之日起一年</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（二）如服务期限延长，可</w:t>
      </w:r>
      <w:r>
        <w:rPr>
          <w:rFonts w:hint="eastAsia" w:ascii="仿宋_GB2312" w:hAnsi="仿宋_GB2312" w:eastAsia="仿宋_GB2312" w:cs="仿宋_GB2312"/>
          <w:sz w:val="32"/>
          <w:szCs w:val="32"/>
          <w:highlight w:val="none"/>
          <w:lang w:val="en-US" w:eastAsia="zh-CN"/>
        </w:rPr>
        <w:t>按相应流程</w:t>
      </w:r>
      <w:r>
        <w:rPr>
          <w:rFonts w:hint="eastAsia" w:ascii="仿宋_GB2312" w:hAnsi="仿宋_GB2312" w:eastAsia="仿宋_GB2312" w:cs="仿宋_GB2312"/>
          <w:sz w:val="32"/>
          <w:szCs w:val="32"/>
          <w:highlight w:val="none"/>
        </w:rPr>
        <w:t>另行签订补充协议。</w:t>
      </w:r>
    </w:p>
    <w:p>
      <w:pPr>
        <w:pStyle w:val="62"/>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其他事项</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（一）本合同执行期内，在合同标的（案场范围及服务内容）的基础上，若甲方提出扩大案场管理范围或增加服务内容，应向乙方支付相应的费用，经双方协商同意后签订补充协议。</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（二）本合同履行期间，在合同标的（案场范围及服务内容）的基础上，若甲方需减少案场管理范围及服务内容，甲方须提前30日向乙方提出减少管理区域需求，经双方协商同意后执行。</w:t>
      </w:r>
    </w:p>
    <w:p>
      <w:pPr>
        <w:pStyle w:val="62"/>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违约责任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对于本合同项下的一方（下称“违约方”）违反本合同的任何条款而致使本合同另一方（下称“非违约方”）产生或遭受的任何及所有权利请求、诉讼、损害、损失和费用（包括但不限于律师费用和支出，以及对任何权利请求进行调查的费用），违约方同意对非违约方进行充分补偿。该补偿并不影响非违约方根据法律法规就违约方对本合同任何条款或条件的该等违反可享有的其他权利和救济。</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非违约方就违约方违反本合同任何条款或条件有关而享有的权利和救济应在本合同被取消、终止或完成后仍然有效。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（二）甲、乙任何一方不履行本合同义务或者履行本合同义务不符合本合同约定的，应当承担继续履行、采取补救措施或者赔偿损失等违约责任。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在合同签订后，甲方原因终止或解除合同，甲方应根据乙方已进行的实际工作量（含乙方支付为履行余下工作已发生的费用及因甲方解除合同导致的对外赔付损失，提供签约合同及支付凭证），支付相应费用，且甲方向乙方支付的违约金总额不超过本合同暂定总价的10%。除此之外，乙方不得要求甲方承担其他任何的法律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合同生效后，因乙方原因终止或解除合同，乙方未开始服务工作的，乙方须向甲方支付本合同暂定总价的10%作为违约金。已开始服务工作的，对于乙方已完成的工作周期，双方按合同约定价格进行结算，同时，乙方须向甲方支付本合同暂定总价的10%作为违约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（五）未经甲方书面同意，乙方不得将自己在本合同中的权利或义务全部转让给第三方，否则甲方有权解除本合同，并要求乙方支付合同暂定总价10%作为违约金。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本合同对违约金已约定标准的，按本合同约定执行；本合同未约定违约情形所适用的违约金标准的，违约方应赔偿另一方的全部损失，包括但不限于另一方的律师费、仲裁费、诉讼费、保全费等实现债权的费用。</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（七）合同解除或终止后，乙方应在收到解除或终止通知后的3日内撤场并移交所有资料、文件和物品等，逾期撤场移交的，应支付5万元/日的违约金。</w:t>
      </w:r>
    </w:p>
    <w:p>
      <w:pPr>
        <w:pStyle w:val="62"/>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不可抗力</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若发生不可抗力事件直接影响本合同的履行或使本合同不能履行，遭受不可抗力事件的一方应在事件发生后（因不可抗力事件导致通讯中断的，则为恢复通讯之日后）48小时内通过电话或传真将事件的状况通知另一方，并应在事件发生后10日内向另一方提供事件的详情及证明其不能履行，需延期履行，或只能部分履行本合同的有效证明文件。各方按事件对履行本合同影响的程度，协商决定是否免除履行本合同的部分责任，或者延期履行本合同，或者采取各方均能接受的其他解决办法或补救措施。当不可抗力事件对本合同的影响消除后，遭受事件影响的一方应在不可抗力对本合同的影响消除后的48小时内采取积极措施，继续履行本合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（三）因不可抗力事件影响导致无法实现合同目的的一方有权解除本合同。</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（四）根据不可抗力的影响，因不可抗力事件而不能履行本合同项下义务的任何一方可部分或者全部免除责任，但该方迟延履行后发生不可抗力的，不能免除责任。</w:t>
      </w:r>
    </w:p>
    <w:p>
      <w:pPr>
        <w:pStyle w:val="62"/>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适用法律和争议的解决</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（一）法律适用：本合同的生效、变更、终止及争议解决均适用中华人民共和国的法律法规（不含香港、澳门及台湾地区的法律法规）。</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争议解决：如果因本合同的签署、履行及解释而出现任何争议应由双方以真诚态度协商解决。如协商不成，一方可向甲方住所地有管辖权的人民法院提起诉讼。败诉方应承担为解决本争议而产生的所有合理费用，包括但不限于诉讼费、律师费、鉴定费、保全费和执行费用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（三）在协商和诉讼、仲裁期间，除争议事项以外，双方应继续不中断地履行本合同。</w:t>
      </w:r>
    </w:p>
    <w:p>
      <w:pPr>
        <w:pStyle w:val="62"/>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保密条款</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（一）任一方应将与下列事项有关的、在签订或履行本合同中获得的全部信息视为保密信息：</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1、本合同条款；</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2、与本合同有关的谈判；</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3、在签订、履行本合同及在谈判中获得的另一方及其子公司的商业秘密（包括但不限于彼此间披露的一切信息、文件和数据，除非该等数据已经公开）。</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（二）双方在此同意和保证，未经本合同双方书面同意，不得将保密信息向任何第三方披露；在本合同履行完毕或因任何原因终止后，对本合同的任何一方而言，本条约定对其仍具有约束力。但是以下情形除外：</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1、依据中国法律法规要求应当披露；</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2、依据任何有管辖权的政府机关、监管机构的要求应当披露；</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3、向己方的专业顾问或律师披露；</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4、双方事先给予书面同意。</w:t>
      </w:r>
    </w:p>
    <w:p>
      <w:pPr>
        <w:pStyle w:val="62"/>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40" w:lineRule="exact"/>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通知</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任何与本合同有关的由本合同双方发出的任何文件、通知及其他通讯往来，必须采取书面形式，可通过当面转交签收或者通过快递服务公司邮寄方式送达。如以邮寄方式送达，送达至下述地址或双方书面通知的其他地址。若一方改变地址应通知另一方，如不通知，仍以下列地址为送达地点，由此产生的后果由未通知方承担。若被送达一方未有回应，在寄出后第3个工作日将视为已送达，快递服务公司出具的投送凭条，将作为有效证明。如以当面转交的方式送达，则于对方签收时视作已送达，收条将作为有效证明。</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2、双方同意，法定代表人、授权代表人、本合同工作人员以及按照法律规定有权签收人员的签收，均视为双方的签收。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甲方联系人：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甲方地址：</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乙方联系人：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乙方地址：</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pPr>
        <w:pStyle w:val="62"/>
        <w:keepNext w:val="0"/>
        <w:keepLines w:val="0"/>
        <w:pageBreakBefore w:val="0"/>
        <w:widowControl w:val="0"/>
        <w:numPr>
          <w:ilvl w:val="0"/>
          <w:numId w:val="3"/>
        </w:numPr>
        <w:tabs>
          <w:tab w:val="clear" w:pos="851"/>
        </w:tabs>
        <w:kinsoku/>
        <w:wordWrap/>
        <w:overflowPunct/>
        <w:topLinePunct w:val="0"/>
        <w:autoSpaceDE/>
        <w:autoSpaceDN/>
        <w:bidi w:val="0"/>
        <w:adjustRightInd w:val="0"/>
        <w:snapToGrid w:val="0"/>
        <w:spacing w:beforeLines="0" w:afterLines="0" w:line="540" w:lineRule="exact"/>
        <w:jc w:val="both"/>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一般性条款</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bookmarkStart w:id="3" w:name="#289923"/>
      <w:bookmarkEnd w:id="3"/>
      <w:bookmarkStart w:id="4" w:name="#289922"/>
      <w:bookmarkEnd w:id="4"/>
      <w:bookmarkStart w:id="5" w:name="#289925"/>
      <w:bookmarkEnd w:id="5"/>
      <w:bookmarkStart w:id="6" w:name="#289921"/>
      <w:bookmarkEnd w:id="6"/>
      <w:r>
        <w:rPr>
          <w:rFonts w:hint="eastAsia" w:ascii="仿宋_GB2312" w:hAnsi="仿宋_GB2312" w:eastAsia="仿宋_GB2312" w:cs="仿宋_GB2312"/>
          <w:sz w:val="32"/>
          <w:szCs w:val="32"/>
          <w:highlight w:val="none"/>
        </w:rPr>
        <w:t>（一）除非双方另有约定，费用应按以下约定分担：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1、双方在本合同的准备、协商和履行过程中所发生的各自的成本和费用均应自行承担。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2、为履行本合同，应缴纳的税款、行政事业性收费由双方按中国法律、法规、规章的规定承担；法律、法规、规章没有规定的，由双方当事人平均分担。</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bookmarkStart w:id="7" w:name="#289926"/>
      <w:bookmarkEnd w:id="7"/>
      <w:r>
        <w:rPr>
          <w:rFonts w:hint="eastAsia" w:ascii="仿宋_GB2312" w:hAnsi="仿宋_GB2312" w:eastAsia="仿宋_GB2312" w:cs="仿宋_GB2312"/>
          <w:sz w:val="32"/>
          <w:szCs w:val="32"/>
          <w:highlight w:val="none"/>
        </w:rPr>
        <w:t>（二）除非双方另有约定，本合同所列举的用于说明和解释本合同相关条款的附件以及双方按照本合同约定的各项原则订立的其他附属合同文件，均为本合同的组成部分，与本合同具有同等法律效力。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bookmarkStart w:id="8" w:name="#289931"/>
      <w:bookmarkEnd w:id="8"/>
      <w:r>
        <w:rPr>
          <w:rFonts w:hint="eastAsia" w:ascii="仿宋_GB2312" w:hAnsi="仿宋_GB2312" w:eastAsia="仿宋_GB2312" w:cs="仿宋_GB2312"/>
          <w:sz w:val="32"/>
          <w:szCs w:val="32"/>
          <w:highlight w:val="none"/>
        </w:rPr>
        <w:t>本合同于双方法定代表人或授权代表签字并加盖公章或合同专用章之日起生效。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（四）本合同正本一式陆份，甲方执肆份，乙方执贰份。</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《物业安全管理协议》</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《物业服务费用测算表》</w:t>
      </w:r>
    </w:p>
    <w:p>
      <w:pPr>
        <w:keepNext w:val="0"/>
        <w:keepLines w:val="0"/>
        <w:pageBreakBefore w:val="0"/>
        <w:widowControl w:val="0"/>
        <w:kinsoku/>
        <w:wordWrap/>
        <w:overflowPunct/>
        <w:topLinePunct w:val="0"/>
        <w:autoSpaceDE/>
        <w:autoSpaceDN/>
        <w:bidi w:val="0"/>
        <w:adjustRightInd w:val="0"/>
        <w:snapToGrid w:val="0"/>
        <w:spacing w:line="540" w:lineRule="exact"/>
        <w:ind w:left="1916" w:leftChars="760"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《罗山产业集聚中心项目营销中心</w:t>
      </w:r>
      <w:r>
        <w:rPr>
          <w:rFonts w:hint="eastAsia" w:ascii="仿宋_GB2312" w:hAnsi="仿宋_GB2312" w:eastAsia="仿宋_GB2312" w:cs="仿宋_GB2312"/>
          <w:sz w:val="32"/>
          <w:szCs w:val="32"/>
          <w:highlight w:val="none"/>
          <w:lang w:val="en-US" w:eastAsia="zh-CN"/>
        </w:rPr>
        <w:t>案场</w:t>
      </w:r>
      <w:r>
        <w:rPr>
          <w:rFonts w:hint="eastAsia" w:ascii="仿宋_GB2312" w:hAnsi="仿宋_GB2312" w:eastAsia="仿宋_GB2312" w:cs="仿宋_GB2312"/>
          <w:sz w:val="32"/>
          <w:szCs w:val="32"/>
          <w:highlight w:val="none"/>
        </w:rPr>
        <w:t>物业服务验收清单》</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《开荒保洁服务内容要求及验收标准》</w:t>
      </w:r>
    </w:p>
    <w:p>
      <w:pPr>
        <w:keepNext w:val="0"/>
        <w:keepLines w:val="0"/>
        <w:pageBreakBefore w:val="0"/>
        <w:widowControl w:val="0"/>
        <w:kinsoku/>
        <w:wordWrap/>
        <w:overflowPunct/>
        <w:topLinePunct w:val="0"/>
        <w:autoSpaceDE/>
        <w:autoSpaceDN/>
        <w:bidi w:val="0"/>
        <w:adjustRightInd w:val="0"/>
        <w:snapToGrid w:val="0"/>
        <w:spacing w:line="540" w:lineRule="exact"/>
        <w:ind w:left="1916" w:leftChars="760" w:hanging="320" w:hanging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《罗山产业集聚中心项目营销中心案场</w:t>
      </w:r>
      <w:r>
        <w:rPr>
          <w:rFonts w:hint="eastAsia" w:ascii="仿宋_GB2312" w:hAnsi="仿宋_GB2312" w:eastAsia="仿宋_GB2312" w:cs="仿宋_GB2312"/>
          <w:sz w:val="32"/>
          <w:szCs w:val="32"/>
          <w:highlight w:val="none"/>
          <w:lang w:val="en-US" w:eastAsia="zh-CN"/>
        </w:rPr>
        <w:t>物业</w:t>
      </w:r>
      <w:r>
        <w:rPr>
          <w:rFonts w:hint="eastAsia" w:ascii="仿宋_GB2312" w:hAnsi="仿宋_GB2312" w:eastAsia="仿宋_GB2312" w:cs="仿宋_GB2312"/>
          <w:sz w:val="32"/>
          <w:szCs w:val="32"/>
          <w:highlight w:val="none"/>
        </w:rPr>
        <w:t>服务履约评价表》</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(以下无正文)</w:t>
      </w:r>
    </w:p>
    <w:p>
      <w:pPr>
        <w:keepNext w:val="0"/>
        <w:keepLines w:val="0"/>
        <w:pageBreakBefore w:val="0"/>
        <w:widowControl w:val="0"/>
        <w:kinsoku/>
        <w:wordWrap/>
        <w:overflowPunct/>
        <w:topLinePunct w:val="0"/>
        <w:autoSpaceDE/>
        <w:autoSpaceDN/>
        <w:bidi w:val="0"/>
        <w:snapToGrid w:val="0"/>
        <w:spacing w:line="540" w:lineRule="exact"/>
        <w:ind w:firstLine="640" w:firstLineChars="200"/>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napToGrid w:val="0"/>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签字页（本页签章包含对前述合同及附件全部签章）</w:t>
      </w:r>
    </w:p>
    <w:p>
      <w:pPr>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甲方（盖章）：</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法定代表人（或授权委托人）签字：</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日期：</w:t>
      </w:r>
    </w:p>
    <w:p>
      <w:pPr>
        <w:keepNext w:val="0"/>
        <w:keepLines w:val="0"/>
        <w:pageBreakBefore w:val="0"/>
        <w:widowControl w:val="0"/>
        <w:kinsoku/>
        <w:wordWrap/>
        <w:overflowPunct/>
        <w:topLinePunct w:val="0"/>
        <w:autoSpaceDE/>
        <w:autoSpaceDN/>
        <w:bidi w:val="0"/>
        <w:spacing w:line="54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540" w:lineRule="exact"/>
        <w:ind w:firstLine="642"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乙方（盖章）：</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法定代表人（或授权委托人）签字：</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日期：</w:t>
      </w:r>
    </w:p>
    <w:p>
      <w:pPr>
        <w:adjustRightInd w:val="0"/>
        <w:snapToGrid w:val="0"/>
        <w:spacing w:line="530" w:lineRule="exact"/>
        <w:rPr>
          <w:rFonts w:hint="eastAsia" w:ascii="黑体" w:hAnsi="黑体" w:eastAsia="黑体" w:cs="黑体"/>
          <w:sz w:val="32"/>
          <w:szCs w:val="32"/>
          <w:highlight w:val="none"/>
        </w:rPr>
        <w:sectPr>
          <w:headerReference r:id="rId5" w:type="default"/>
          <w:footerReference r:id="rId6" w:type="default"/>
          <w:pgSz w:w="11906" w:h="16838"/>
          <w:pgMar w:top="1701" w:right="1417" w:bottom="1701" w:left="1417" w:header="851" w:footer="992" w:gutter="0"/>
          <w:pgNumType w:fmt="decimal" w:start="1"/>
          <w:cols w:space="425" w:num="1"/>
          <w:docGrid w:type="lines" w:linePitch="312" w:charSpace="0"/>
        </w:sectPr>
      </w:pPr>
    </w:p>
    <w:p>
      <w:pPr>
        <w:adjustRightInd w:val="0"/>
        <w:snapToGrid w:val="0"/>
        <w:spacing w:line="53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附件1：《物业安全管理协议》</w:t>
      </w:r>
    </w:p>
    <w:p>
      <w:pPr>
        <w:adjustRightInd w:val="0"/>
        <w:snapToGrid w:val="0"/>
        <w:spacing w:line="530" w:lineRule="exact"/>
        <w:rPr>
          <w:rFonts w:hint="eastAsia" w:ascii="黑体" w:hAnsi="黑体" w:eastAsia="黑体" w:cs="黑体"/>
          <w:sz w:val="32"/>
          <w:szCs w:val="32"/>
          <w:highlight w:val="none"/>
        </w:rPr>
      </w:pPr>
    </w:p>
    <w:p>
      <w:pPr>
        <w:snapToGrid w:val="0"/>
        <w:spacing w:line="530" w:lineRule="exact"/>
        <w:jc w:val="center"/>
        <w:rPr>
          <w:rFonts w:hint="eastAsia" w:ascii="宋体" w:hAnsi="宋体" w:eastAsia="宋体" w:cs="宋体"/>
          <w:sz w:val="28"/>
          <w:szCs w:val="28"/>
          <w:highlight w:val="none"/>
        </w:rPr>
      </w:pPr>
      <w:r>
        <w:rPr>
          <w:rFonts w:hint="eastAsia" w:ascii="宋体" w:hAnsi="宋体" w:eastAsia="宋体" w:cs="宋体"/>
          <w:b/>
          <w:sz w:val="44"/>
          <w:szCs w:val="44"/>
          <w:highlight w:val="none"/>
        </w:rPr>
        <w:t>物业安全管理协议</w:t>
      </w:r>
    </w:p>
    <w:p>
      <w:pPr>
        <w:snapToGrid w:val="0"/>
        <w:spacing w:line="53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（简称甲方）</w:t>
      </w:r>
    </w:p>
    <w:p>
      <w:pPr>
        <w:snapToGrid w:val="0"/>
        <w:spacing w:line="53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法定代表人或者授权代表:</w:t>
      </w:r>
    </w:p>
    <w:p>
      <w:pPr>
        <w:snapToGrid w:val="0"/>
        <w:spacing w:line="53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通讯地址：</w:t>
      </w:r>
      <w:r>
        <w:rPr>
          <w:rFonts w:hint="eastAsia" w:ascii="仿宋_GB2312" w:hAnsi="仿宋_GB2312" w:eastAsia="仿宋_GB2312" w:cs="仿宋_GB2312"/>
          <w:sz w:val="32"/>
          <w:szCs w:val="32"/>
          <w:highlight w:val="none"/>
          <w:u w:val="single"/>
        </w:rPr>
        <w:t xml:space="preserve">      </w:t>
      </w:r>
    </w:p>
    <w:p>
      <w:pPr>
        <w:snapToGrid w:val="0"/>
        <w:spacing w:line="53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（简称乙方） </w:t>
      </w:r>
    </w:p>
    <w:p>
      <w:pPr>
        <w:snapToGrid w:val="0"/>
        <w:spacing w:line="53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法定代表人或者授权代表:</w:t>
      </w:r>
    </w:p>
    <w:p>
      <w:pPr>
        <w:snapToGrid w:val="0"/>
        <w:spacing w:line="53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通讯地址：</w:t>
      </w:r>
    </w:p>
    <w:p>
      <w:pPr>
        <w:snapToGrid w:val="0"/>
        <w:spacing w:line="530" w:lineRule="exact"/>
        <w:ind w:firstLine="640" w:firstLineChars="200"/>
        <w:rPr>
          <w:rFonts w:hint="eastAsia" w:ascii="仿宋_GB2312" w:hAnsi="仿宋_GB2312" w:eastAsia="仿宋_GB2312" w:cs="仿宋_GB2312"/>
          <w:sz w:val="32"/>
          <w:szCs w:val="32"/>
          <w:highlight w:val="none"/>
        </w:rPr>
      </w:pPr>
    </w:p>
    <w:p>
      <w:p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服务区域范围：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（以下简称“示范区”）。 现示范区已移交至乙方，根据国家相关的法律、法规，示范区的安全责任为乙方负责。为了认真遵守国家的法律、法规，确保甲、乙双方各自的经济利益避免遭受损失，现经双方自愿、平等协商，就此签订此安全协议，以明确安全生产管理责任。为此制定安全协议如下：</w:t>
      </w:r>
    </w:p>
    <w:p>
      <w:pPr>
        <w:snapToGrid w:val="0"/>
        <w:spacing w:line="53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一、甲方的权利和义务</w:t>
      </w:r>
    </w:p>
    <w:p>
      <w:pPr>
        <w:numPr>
          <w:ilvl w:val="0"/>
          <w:numId w:val="11"/>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甲方有权对乙方的安全管理工作进行监督，若发现问题有权要求乙方整改，直至达到双方标准，由乙方按时反馈至甲方。 </w:t>
      </w:r>
    </w:p>
    <w:p>
      <w:pPr>
        <w:numPr>
          <w:ilvl w:val="0"/>
          <w:numId w:val="11"/>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员工进入示范区，甲方有义务教育甲方员工遵守乙方安全管理要求，服从有关管理，共同维护安全环境，未按照乙方的现场安全管理要求或者未正确佩戴安全防护用品所造成的伤害，由甲方自行承担责任，乙方不承担相应的责任。</w:t>
      </w:r>
    </w:p>
    <w:p>
      <w:pPr>
        <w:numPr>
          <w:ilvl w:val="0"/>
          <w:numId w:val="11"/>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甲方有权参与示范区相关的事故事件调查处理，并依照合约对乙方进行违约处理； </w:t>
      </w:r>
    </w:p>
    <w:p>
      <w:pPr>
        <w:numPr>
          <w:ilvl w:val="0"/>
          <w:numId w:val="11"/>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甲方负责组织将示范区消防、电梯、电气、给排水、空调等设备设施以及园林景观、办公用房、仓库等区域建设完成并调试相应功能，移交乙方负责管理。 </w:t>
      </w:r>
    </w:p>
    <w:p>
      <w:pPr>
        <w:numPr>
          <w:ilvl w:val="0"/>
          <w:numId w:val="11"/>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施工现场在进行可能导致展示区存在安全隐患的工序施工时，甲方需提前与乙方报备，乙方有义务做好配合工作。 </w:t>
      </w:r>
    </w:p>
    <w:p>
      <w:pPr>
        <w:numPr>
          <w:ilvl w:val="0"/>
          <w:numId w:val="11"/>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项目工程部有义务教育施工现场工人不得随意私自进入示范区。</w:t>
      </w:r>
    </w:p>
    <w:p>
      <w:pPr>
        <w:numPr>
          <w:ilvl w:val="0"/>
          <w:numId w:val="11"/>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甲方应遵守法律、法规规定的其他权利与义务。 </w:t>
      </w:r>
    </w:p>
    <w:p>
      <w:pPr>
        <w:snapToGrid w:val="0"/>
        <w:spacing w:line="53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二、乙方的权利和义务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乙方必须组织员工进行身体检查，凡患作业禁忌症、生理缺陷或者不宜从事实际作业人员，一律不得进入示范区作业，否则由此引起的后果由乙方负责。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乙方应建立和健全安全管理和环保制度，乙方有专人负责本单位的有关安全、环保等工作。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在物业管理过程中的个人防护用品由乙方自行解决。乙方应督促从业人员戴好防护用品。劳保防护用品质量必须符合国家或行业标准。</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乙方应有健全的安全管理组织体制，各工种的安全操作规程，特种作业人员的审证、执证上岗制度，制定各级安全生产岗位责任制及定期安全检查制度、安全教育制度等。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乙方必须对本单位员工进行安全生产制度、安全教育培训并留存培训记录。增强</w:t>
      </w:r>
      <w:r>
        <w:rPr>
          <w:rFonts w:hint="eastAsia" w:ascii="仿宋_GB2312" w:hAnsi="仿宋_GB2312" w:eastAsia="仿宋_GB2312" w:cs="仿宋_GB2312"/>
          <w:sz w:val="32"/>
          <w:szCs w:val="32"/>
          <w:highlight w:val="none"/>
          <w:lang w:eastAsia="zh-CN"/>
        </w:rPr>
        <w:t>法治</w:t>
      </w:r>
      <w:r>
        <w:rPr>
          <w:rFonts w:hint="eastAsia" w:ascii="仿宋_GB2312" w:hAnsi="仿宋_GB2312" w:eastAsia="仿宋_GB2312" w:cs="仿宋_GB2312"/>
          <w:sz w:val="32"/>
          <w:szCs w:val="32"/>
          <w:highlight w:val="none"/>
        </w:rPr>
        <w:t xml:space="preserve">观念，提高职工的安全意识和自我保护能力，督促职工自觉遵守安全生产法规、制度及规定。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与其派遣到示范区工作的员工签署劳动合同，并负责办理社会保险（包含工伤保险）及人身意外伤害保险。乙方员工在工作期间发生工伤事故或造成甲方/第三方/施工现场人身及财产损害的，由乙方承担安全事故相应的法律责任，按照事故调查组的调查结果赔偿损失。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乙方应依法做好对大型公众活动、节假日活动等营销推广活动的安全管理，确保不发生踩踏、高坠、火灾等事故。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乙方应《中华人民共和国职业病防治法》要求，降低和消除职业健康危害及风险，开展危害识别、评估和控制，持续改善作业场所的环境，保护从业人员的健康。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乙方应做好食品安全管理，确保不发生食品卫生事故事件。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乙方应组织制定示范区的安全事故应急救援预案并定期开展演练。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乙方不得私自进入甲方施工区域，将物资材料、废弃物等放置在甲方施工区域。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乙方应引导进入示范区域的人员在防护通道下方行走，并设置警示标识，做好警示提醒工作。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乙方有义务配合甲方在施工过程中需要乙方配合的安全管理要求。 </w:t>
      </w:r>
    </w:p>
    <w:p>
      <w:pPr>
        <w:numPr>
          <w:ilvl w:val="0"/>
          <w:numId w:val="12"/>
        </w:num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乙方必须将通往施工现场通道常闭上锁，严禁私自打开通道门并进入施工现场，紧急情况下除外。 </w:t>
      </w:r>
    </w:p>
    <w:p>
      <w:pPr>
        <w:snapToGrid w:val="0"/>
        <w:spacing w:line="53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15. 本协议一式两份，盖章并签字后生效，由甲、乙双方各自存档备查。 </w:t>
      </w:r>
    </w:p>
    <w:p>
      <w:pPr>
        <w:snapToGrid w:val="0"/>
        <w:spacing w:line="530" w:lineRule="exact"/>
        <w:ind w:firstLine="640" w:firstLineChars="200"/>
        <w:rPr>
          <w:rFonts w:hint="eastAsia" w:ascii="仿宋_GB2312" w:hAnsi="仿宋_GB2312" w:eastAsia="仿宋_GB2312" w:cs="仿宋_GB2312"/>
          <w:sz w:val="32"/>
          <w:szCs w:val="32"/>
          <w:highlight w:val="none"/>
        </w:rPr>
      </w:pPr>
    </w:p>
    <w:p>
      <w:pPr>
        <w:snapToGrid w:val="0"/>
        <w:spacing w:line="53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甲方（盖章） ：                乙方（盖章） ： </w:t>
      </w:r>
    </w:p>
    <w:p>
      <w:pPr>
        <w:snapToGrid w:val="0"/>
        <w:spacing w:line="53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法定代表人或者授权代表：       法定代表人或者授权代表： </w:t>
      </w:r>
    </w:p>
    <w:p>
      <w:pPr>
        <w:widowControl/>
        <w:snapToGrid w:val="0"/>
        <w:spacing w:line="53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                      年    月   日</w:t>
      </w:r>
    </w:p>
    <w:p>
      <w:pPr>
        <w:widowControl/>
        <w:snapToGrid w:val="0"/>
        <w:spacing w:line="530" w:lineRule="exact"/>
        <w:jc w:val="left"/>
        <w:rPr>
          <w:rFonts w:hint="eastAsia" w:ascii="仿宋_GB2312" w:hAnsi="仿宋_GB2312" w:eastAsia="仿宋_GB2312" w:cs="仿宋_GB2312"/>
          <w:sz w:val="32"/>
          <w:szCs w:val="32"/>
          <w:highlight w:val="none"/>
        </w:rPr>
        <w:sectPr>
          <w:footerReference r:id="rId7" w:type="default"/>
          <w:pgSz w:w="11906" w:h="16838"/>
          <w:pgMar w:top="1701" w:right="1417" w:bottom="1701" w:left="1417" w:header="851" w:footer="992" w:gutter="0"/>
          <w:pgNumType w:fmt="decimal" w:start="1"/>
          <w:cols w:space="425" w:num="1"/>
          <w:docGrid w:type="lines" w:linePitch="312" w:charSpace="0"/>
        </w:sectPr>
      </w:pPr>
    </w:p>
    <w:p>
      <w:pPr>
        <w:widowControl/>
        <w:snapToGrid w:val="0"/>
        <w:spacing w:line="530" w:lineRule="exact"/>
        <w:jc w:val="left"/>
        <w:rPr>
          <w:rFonts w:hint="eastAsia" w:ascii="仿宋_GB2312" w:hAnsi="仿宋_GB2312" w:eastAsia="仿宋_GB2312" w:cs="仿宋_GB2312"/>
          <w:sz w:val="32"/>
          <w:szCs w:val="32"/>
          <w:highlight w:val="none"/>
        </w:rPr>
      </w:pPr>
    </w:p>
    <w:p>
      <w:pPr>
        <w:adjustRightInd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附件2：《物业服务费用测算表》（乙方提供）</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rPr>
          <w:rFonts w:hint="eastAsia" w:ascii="宋体" w:hAnsi="宋体" w:eastAsia="宋体" w:cs="宋体"/>
          <w:sz w:val="28"/>
          <w:szCs w:val="28"/>
          <w:highlight w:val="none"/>
        </w:rPr>
        <w:sectPr>
          <w:footerReference r:id="rId8" w:type="default"/>
          <w:pgSz w:w="11906" w:h="16838"/>
          <w:pgMar w:top="1701" w:right="1417" w:bottom="1701" w:left="1417" w:header="851" w:footer="992" w:gutter="0"/>
          <w:pgNumType w:fmt="decimal" w:start="1"/>
          <w:cols w:space="425" w:num="1"/>
          <w:docGrid w:type="lines" w:linePitch="312" w:charSpace="0"/>
        </w:sectPr>
      </w:pPr>
    </w:p>
    <w:p>
      <w:pPr>
        <w:adjustRightInd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附件3：《罗山产业集聚中心项目营销中心</w:t>
      </w:r>
      <w:r>
        <w:rPr>
          <w:rFonts w:hint="eastAsia" w:ascii="黑体" w:hAnsi="黑体" w:eastAsia="黑体" w:cs="黑体"/>
          <w:sz w:val="32"/>
          <w:szCs w:val="32"/>
          <w:highlight w:val="none"/>
          <w:lang w:val="en-US" w:eastAsia="zh-CN"/>
        </w:rPr>
        <w:t>案场</w:t>
      </w:r>
      <w:r>
        <w:rPr>
          <w:rFonts w:hint="eastAsia" w:ascii="黑体" w:hAnsi="黑体" w:eastAsia="黑体" w:cs="黑体"/>
          <w:sz w:val="32"/>
          <w:szCs w:val="32"/>
          <w:highlight w:val="none"/>
        </w:rPr>
        <w:t>物业服务验收清单》</w:t>
      </w:r>
    </w:p>
    <w:p>
      <w:pPr>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《罗山产业集聚中心项目营销中心</w:t>
      </w:r>
      <w:r>
        <w:rPr>
          <w:rFonts w:hint="eastAsia" w:ascii="宋体" w:hAnsi="宋体" w:cs="宋体"/>
          <w:sz w:val="28"/>
          <w:szCs w:val="28"/>
          <w:highlight w:val="none"/>
          <w:lang w:val="en-US" w:eastAsia="zh-CN"/>
        </w:rPr>
        <w:t>案场</w:t>
      </w:r>
      <w:r>
        <w:rPr>
          <w:rFonts w:hint="eastAsia" w:ascii="宋体" w:hAnsi="宋体" w:cs="宋体"/>
          <w:sz w:val="28"/>
          <w:szCs w:val="28"/>
          <w:highlight w:val="none"/>
        </w:rPr>
        <w:t>物业服务验收清单》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2321"/>
        <w:gridCol w:w="2847"/>
        <w:gridCol w:w="2562"/>
        <w:gridCol w:w="3843"/>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48" w:type="dxa"/>
            <w:noWrap/>
          </w:tcPr>
          <w:p>
            <w:pPr>
              <w:snapToGrid w:val="0"/>
              <w:spacing w:line="360" w:lineRule="auto"/>
              <w:jc w:val="left"/>
              <w:rPr>
                <w:rFonts w:hint="eastAsia" w:ascii="宋体" w:hAnsi="宋体" w:cs="宋体"/>
                <w:b/>
                <w:kern w:val="0"/>
                <w:sz w:val="28"/>
                <w:szCs w:val="28"/>
                <w:highlight w:val="none"/>
                <w:u w:val="single"/>
              </w:rPr>
            </w:pPr>
            <w:r>
              <w:rPr>
                <w:rFonts w:hint="eastAsia" w:ascii="宋体" w:hAnsi="宋体" w:cs="宋体"/>
                <w:b/>
                <w:kern w:val="0"/>
                <w:sz w:val="28"/>
                <w:szCs w:val="28"/>
                <w:highlight w:val="none"/>
                <w:u w:val="single"/>
              </w:rPr>
              <w:t>序号</w:t>
            </w:r>
          </w:p>
        </w:tc>
        <w:tc>
          <w:tcPr>
            <w:tcW w:w="2321" w:type="dxa"/>
            <w:noWrap/>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服务名称</w:t>
            </w:r>
          </w:p>
        </w:tc>
        <w:tc>
          <w:tcPr>
            <w:tcW w:w="2847" w:type="dxa"/>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服务明细</w:t>
            </w:r>
          </w:p>
        </w:tc>
        <w:tc>
          <w:tcPr>
            <w:tcW w:w="2562" w:type="dxa"/>
            <w:noWrap/>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服务是否按要求提供</w:t>
            </w:r>
          </w:p>
        </w:tc>
        <w:tc>
          <w:tcPr>
            <w:tcW w:w="3843" w:type="dxa"/>
            <w:noWrap/>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证明材料</w:t>
            </w:r>
          </w:p>
        </w:tc>
        <w:tc>
          <w:tcPr>
            <w:tcW w:w="1425" w:type="dxa"/>
            <w:noWrap/>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48" w:type="dxa"/>
            <w:noWrap/>
          </w:tcPr>
          <w:p>
            <w:pPr>
              <w:snapToGrid w:val="0"/>
              <w:spacing w:line="360" w:lineRule="auto"/>
              <w:jc w:val="left"/>
              <w:rPr>
                <w:rFonts w:hint="eastAsia" w:ascii="宋体" w:hAnsi="宋体" w:cs="宋体"/>
                <w:b/>
                <w:kern w:val="0"/>
                <w:sz w:val="28"/>
                <w:szCs w:val="28"/>
                <w:highlight w:val="none"/>
                <w:u w:val="single"/>
              </w:rPr>
            </w:pPr>
            <w:r>
              <w:rPr>
                <w:rFonts w:hint="eastAsia" w:ascii="宋体" w:hAnsi="宋体" w:cs="宋体"/>
                <w:b/>
                <w:kern w:val="0"/>
                <w:sz w:val="28"/>
                <w:szCs w:val="28"/>
                <w:highlight w:val="none"/>
                <w:u w:val="single"/>
              </w:rPr>
              <w:t>1</w:t>
            </w:r>
          </w:p>
        </w:tc>
        <w:tc>
          <w:tcPr>
            <w:tcW w:w="2321" w:type="dxa"/>
            <w:noWrap/>
          </w:tcPr>
          <w:p>
            <w:pPr>
              <w:snapToGrid w:val="0"/>
              <w:spacing w:line="360" w:lineRule="auto"/>
              <w:jc w:val="left"/>
              <w:rPr>
                <w:rFonts w:hint="eastAsia" w:ascii="宋体" w:hAnsi="宋体" w:cs="宋体"/>
                <w:kern w:val="0"/>
                <w:sz w:val="28"/>
                <w:szCs w:val="28"/>
                <w:highlight w:val="none"/>
              </w:rPr>
            </w:pPr>
          </w:p>
        </w:tc>
        <w:tc>
          <w:tcPr>
            <w:tcW w:w="2847" w:type="dxa"/>
          </w:tcPr>
          <w:p>
            <w:pPr>
              <w:snapToGrid w:val="0"/>
              <w:spacing w:line="360" w:lineRule="auto"/>
              <w:jc w:val="left"/>
              <w:rPr>
                <w:rFonts w:hint="eastAsia" w:ascii="宋体" w:hAnsi="宋体" w:cs="宋体"/>
                <w:kern w:val="0"/>
                <w:sz w:val="28"/>
                <w:szCs w:val="28"/>
                <w:highlight w:val="none"/>
              </w:rPr>
            </w:pPr>
          </w:p>
        </w:tc>
        <w:tc>
          <w:tcPr>
            <w:tcW w:w="2562" w:type="dxa"/>
            <w:noWrap/>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□是    □否</w:t>
            </w:r>
          </w:p>
        </w:tc>
        <w:tc>
          <w:tcPr>
            <w:tcW w:w="3843" w:type="dxa"/>
          </w:tcPr>
          <w:p>
            <w:pPr>
              <w:snapToGrid w:val="0"/>
              <w:spacing w:line="360" w:lineRule="auto"/>
              <w:jc w:val="left"/>
              <w:rPr>
                <w:rFonts w:hint="eastAsia" w:ascii="宋体" w:hAnsi="宋体" w:cs="宋体"/>
                <w:kern w:val="0"/>
                <w:sz w:val="28"/>
                <w:szCs w:val="28"/>
                <w:highlight w:val="none"/>
              </w:rPr>
            </w:pPr>
          </w:p>
        </w:tc>
        <w:tc>
          <w:tcPr>
            <w:tcW w:w="1425" w:type="dxa"/>
            <w:noWrap/>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48" w:type="dxa"/>
            <w:noWrap/>
          </w:tcPr>
          <w:p>
            <w:pPr>
              <w:snapToGrid w:val="0"/>
              <w:spacing w:line="360" w:lineRule="auto"/>
              <w:jc w:val="left"/>
              <w:rPr>
                <w:rFonts w:hint="eastAsia" w:ascii="宋体" w:hAnsi="宋体" w:cs="宋体"/>
                <w:b/>
                <w:kern w:val="0"/>
                <w:sz w:val="28"/>
                <w:szCs w:val="28"/>
                <w:highlight w:val="none"/>
                <w:u w:val="single"/>
              </w:rPr>
            </w:pPr>
            <w:r>
              <w:rPr>
                <w:rFonts w:hint="eastAsia" w:ascii="宋体" w:hAnsi="宋体" w:cs="宋体"/>
                <w:b/>
                <w:kern w:val="0"/>
                <w:sz w:val="28"/>
                <w:szCs w:val="28"/>
                <w:highlight w:val="none"/>
                <w:u w:val="single"/>
              </w:rPr>
              <w:t>2</w:t>
            </w:r>
          </w:p>
        </w:tc>
        <w:tc>
          <w:tcPr>
            <w:tcW w:w="2321" w:type="dxa"/>
            <w:noWrap/>
          </w:tcPr>
          <w:p>
            <w:pPr>
              <w:snapToGrid w:val="0"/>
              <w:spacing w:line="360" w:lineRule="auto"/>
              <w:jc w:val="left"/>
              <w:rPr>
                <w:rFonts w:hint="eastAsia" w:ascii="宋体" w:hAnsi="宋体" w:cs="宋体"/>
                <w:kern w:val="0"/>
                <w:sz w:val="28"/>
                <w:szCs w:val="28"/>
                <w:highlight w:val="none"/>
              </w:rPr>
            </w:pPr>
          </w:p>
        </w:tc>
        <w:tc>
          <w:tcPr>
            <w:tcW w:w="2847" w:type="dxa"/>
          </w:tcPr>
          <w:p>
            <w:pPr>
              <w:snapToGrid w:val="0"/>
              <w:spacing w:line="360" w:lineRule="auto"/>
              <w:jc w:val="left"/>
              <w:rPr>
                <w:rFonts w:hint="eastAsia" w:ascii="宋体" w:hAnsi="宋体" w:cs="宋体"/>
                <w:kern w:val="0"/>
                <w:sz w:val="28"/>
                <w:szCs w:val="28"/>
                <w:highlight w:val="none"/>
              </w:rPr>
            </w:pPr>
          </w:p>
        </w:tc>
        <w:tc>
          <w:tcPr>
            <w:tcW w:w="2562" w:type="dxa"/>
            <w:noWrap/>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□是    □否</w:t>
            </w:r>
          </w:p>
        </w:tc>
        <w:tc>
          <w:tcPr>
            <w:tcW w:w="3843" w:type="dxa"/>
          </w:tcPr>
          <w:p>
            <w:pPr>
              <w:snapToGrid w:val="0"/>
              <w:spacing w:line="360" w:lineRule="auto"/>
              <w:jc w:val="left"/>
              <w:rPr>
                <w:rFonts w:hint="eastAsia" w:ascii="宋体" w:hAnsi="宋体" w:cs="宋体"/>
                <w:kern w:val="0"/>
                <w:sz w:val="28"/>
                <w:szCs w:val="28"/>
                <w:highlight w:val="none"/>
              </w:rPr>
            </w:pPr>
          </w:p>
        </w:tc>
        <w:tc>
          <w:tcPr>
            <w:tcW w:w="1425" w:type="dxa"/>
            <w:noWrap/>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48" w:type="dxa"/>
            <w:noWrap/>
          </w:tcPr>
          <w:p>
            <w:pPr>
              <w:snapToGrid w:val="0"/>
              <w:spacing w:line="360" w:lineRule="auto"/>
              <w:jc w:val="left"/>
              <w:rPr>
                <w:rFonts w:hint="eastAsia" w:ascii="宋体" w:hAnsi="宋体" w:cs="宋体"/>
                <w:b/>
                <w:kern w:val="0"/>
                <w:sz w:val="28"/>
                <w:szCs w:val="28"/>
                <w:highlight w:val="none"/>
                <w:u w:val="single"/>
              </w:rPr>
            </w:pPr>
            <w:r>
              <w:rPr>
                <w:rFonts w:hint="eastAsia" w:ascii="宋体" w:hAnsi="宋体" w:cs="宋体"/>
                <w:b/>
                <w:kern w:val="0"/>
                <w:sz w:val="28"/>
                <w:szCs w:val="28"/>
                <w:highlight w:val="none"/>
                <w:u w:val="single"/>
              </w:rPr>
              <w:t>3</w:t>
            </w:r>
          </w:p>
        </w:tc>
        <w:tc>
          <w:tcPr>
            <w:tcW w:w="2321" w:type="dxa"/>
            <w:noWrap/>
          </w:tcPr>
          <w:p>
            <w:pPr>
              <w:snapToGrid w:val="0"/>
              <w:spacing w:line="360" w:lineRule="auto"/>
              <w:jc w:val="left"/>
              <w:rPr>
                <w:rFonts w:hint="eastAsia" w:ascii="宋体" w:hAnsi="宋体" w:cs="宋体"/>
                <w:kern w:val="0"/>
                <w:sz w:val="28"/>
                <w:szCs w:val="28"/>
                <w:highlight w:val="none"/>
              </w:rPr>
            </w:pPr>
          </w:p>
        </w:tc>
        <w:tc>
          <w:tcPr>
            <w:tcW w:w="2847" w:type="dxa"/>
          </w:tcPr>
          <w:p>
            <w:pPr>
              <w:snapToGrid w:val="0"/>
              <w:spacing w:line="360" w:lineRule="auto"/>
              <w:jc w:val="left"/>
              <w:rPr>
                <w:rFonts w:hint="eastAsia" w:ascii="宋体" w:hAnsi="宋体" w:cs="宋体"/>
                <w:kern w:val="0"/>
                <w:sz w:val="28"/>
                <w:szCs w:val="28"/>
                <w:highlight w:val="none"/>
              </w:rPr>
            </w:pPr>
          </w:p>
        </w:tc>
        <w:tc>
          <w:tcPr>
            <w:tcW w:w="2562" w:type="dxa"/>
            <w:noWrap/>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□是    □否</w:t>
            </w:r>
          </w:p>
        </w:tc>
        <w:tc>
          <w:tcPr>
            <w:tcW w:w="3843" w:type="dxa"/>
            <w:noWrap/>
          </w:tcPr>
          <w:p>
            <w:pPr>
              <w:snapToGrid w:val="0"/>
              <w:spacing w:line="360" w:lineRule="auto"/>
              <w:jc w:val="left"/>
              <w:rPr>
                <w:rFonts w:hint="eastAsia" w:ascii="宋体" w:hAnsi="宋体" w:cs="宋体"/>
                <w:kern w:val="0"/>
                <w:sz w:val="28"/>
                <w:szCs w:val="28"/>
                <w:highlight w:val="none"/>
              </w:rPr>
            </w:pPr>
          </w:p>
        </w:tc>
        <w:tc>
          <w:tcPr>
            <w:tcW w:w="1425" w:type="dxa"/>
            <w:noWrap/>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48" w:type="dxa"/>
            <w:noWrap/>
          </w:tcPr>
          <w:p>
            <w:pPr>
              <w:snapToGrid w:val="0"/>
              <w:spacing w:line="360" w:lineRule="auto"/>
              <w:jc w:val="left"/>
              <w:rPr>
                <w:rFonts w:hint="eastAsia" w:ascii="宋体" w:hAnsi="宋体" w:cs="宋体"/>
                <w:b/>
                <w:kern w:val="0"/>
                <w:sz w:val="28"/>
                <w:szCs w:val="28"/>
                <w:highlight w:val="none"/>
                <w:u w:val="single"/>
              </w:rPr>
            </w:pPr>
            <w:r>
              <w:rPr>
                <w:rFonts w:hint="eastAsia" w:ascii="宋体" w:hAnsi="宋体" w:cs="宋体"/>
                <w:b/>
                <w:kern w:val="0"/>
                <w:sz w:val="28"/>
                <w:szCs w:val="28"/>
                <w:highlight w:val="none"/>
                <w:u w:val="single"/>
              </w:rPr>
              <w:t>4</w:t>
            </w:r>
          </w:p>
        </w:tc>
        <w:tc>
          <w:tcPr>
            <w:tcW w:w="2321" w:type="dxa"/>
            <w:noWrap/>
          </w:tcPr>
          <w:p>
            <w:pPr>
              <w:snapToGrid w:val="0"/>
              <w:spacing w:line="360" w:lineRule="auto"/>
              <w:jc w:val="left"/>
              <w:rPr>
                <w:rFonts w:hint="eastAsia" w:ascii="宋体" w:hAnsi="宋体" w:cs="宋体"/>
                <w:kern w:val="0"/>
                <w:sz w:val="28"/>
                <w:szCs w:val="28"/>
                <w:highlight w:val="none"/>
              </w:rPr>
            </w:pPr>
          </w:p>
        </w:tc>
        <w:tc>
          <w:tcPr>
            <w:tcW w:w="2847" w:type="dxa"/>
          </w:tcPr>
          <w:p>
            <w:pPr>
              <w:snapToGrid w:val="0"/>
              <w:spacing w:line="360" w:lineRule="auto"/>
              <w:jc w:val="left"/>
              <w:rPr>
                <w:rFonts w:hint="eastAsia" w:ascii="宋体" w:hAnsi="宋体" w:cs="宋体"/>
                <w:kern w:val="0"/>
                <w:sz w:val="28"/>
                <w:szCs w:val="28"/>
                <w:highlight w:val="none"/>
              </w:rPr>
            </w:pPr>
          </w:p>
        </w:tc>
        <w:tc>
          <w:tcPr>
            <w:tcW w:w="2562" w:type="dxa"/>
            <w:noWrap/>
          </w:tcPr>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□是    □否</w:t>
            </w:r>
          </w:p>
        </w:tc>
        <w:tc>
          <w:tcPr>
            <w:tcW w:w="3843" w:type="dxa"/>
          </w:tcPr>
          <w:p>
            <w:pPr>
              <w:snapToGrid w:val="0"/>
              <w:spacing w:line="360" w:lineRule="auto"/>
              <w:jc w:val="left"/>
              <w:rPr>
                <w:rFonts w:hint="eastAsia" w:ascii="宋体" w:hAnsi="宋体" w:cs="宋体"/>
                <w:kern w:val="0"/>
                <w:sz w:val="28"/>
                <w:szCs w:val="28"/>
                <w:highlight w:val="none"/>
              </w:rPr>
            </w:pPr>
          </w:p>
        </w:tc>
        <w:tc>
          <w:tcPr>
            <w:tcW w:w="1425" w:type="dxa"/>
            <w:noWrap/>
          </w:tcPr>
          <w:p>
            <w:pPr>
              <w:snapToGrid w:val="0"/>
              <w:spacing w:line="360" w:lineRule="auto"/>
              <w:jc w:val="left"/>
              <w:rPr>
                <w:rFonts w:hint="eastAsia" w:ascii="宋体" w:hAnsi="宋体" w:cs="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3946" w:type="dxa"/>
            <w:gridSpan w:val="6"/>
            <w:noWrap/>
          </w:tcPr>
          <w:p>
            <w:pPr>
              <w:tabs>
                <w:tab w:val="left" w:pos="210"/>
              </w:tabs>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物业方验收人签字：               日期：</w:t>
            </w:r>
            <w:r>
              <w:rPr>
                <w:rFonts w:hint="eastAsia" w:ascii="宋体" w:hAnsi="宋体" w:eastAsia="宋体" w:cs="宋体"/>
                <w:kern w:val="0"/>
                <w:sz w:val="28"/>
                <w:szCs w:val="28"/>
                <w:highlight w:val="none"/>
              </w:rPr>
              <w:t xml:space="preserve"> </w:t>
            </w:r>
            <w:r>
              <w:rPr>
                <w:rFonts w:hint="eastAsia" w:ascii="宋体" w:hAnsi="宋体" w:cs="宋体"/>
                <w:kern w:val="0"/>
                <w:sz w:val="28"/>
                <w:szCs w:val="28"/>
                <w:highlight w:val="none"/>
              </w:rPr>
              <w:t xml:space="preserve">  年  月  日        案场方验收人签字：      日期：  年  月  日</w:t>
            </w:r>
          </w:p>
          <w:p>
            <w:pPr>
              <w:snapToGrid w:val="0"/>
              <w:spacing w:line="360" w:lineRule="auto"/>
              <w:jc w:val="left"/>
              <w:rPr>
                <w:rFonts w:hint="eastAsia" w:ascii="宋体" w:hAnsi="宋体" w:cs="宋体"/>
                <w:kern w:val="0"/>
                <w:sz w:val="28"/>
                <w:szCs w:val="28"/>
                <w:highlight w:val="none"/>
              </w:rPr>
            </w:pPr>
            <w:r>
              <w:rPr>
                <w:rFonts w:hint="eastAsia" w:ascii="宋体" w:hAnsi="宋体" w:cs="宋体"/>
                <w:kern w:val="0"/>
                <w:sz w:val="28"/>
                <w:szCs w:val="28"/>
                <w:highlight w:val="none"/>
              </w:rPr>
              <w:t>验收监管人签字：                日期：  年  月  日</w:t>
            </w:r>
          </w:p>
        </w:tc>
      </w:tr>
    </w:tbl>
    <w:p>
      <w:pPr>
        <w:snapToGrid w:val="0"/>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验收职责：</w:t>
      </w:r>
    </w:p>
    <w:p>
      <w:pPr>
        <w:snapToGrid w:val="0"/>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物业方验收人：需根据实际情况提供相关材料并签字确认；</w:t>
      </w:r>
    </w:p>
    <w:p>
      <w:pPr>
        <w:snapToGrid w:val="0"/>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案场验收人：针对物业方提供的材料真实性进行复核并签字确认；</w:t>
      </w:r>
    </w:p>
    <w:p>
      <w:pPr>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验收监管人：验收监管人需对验收流程及相关材料真实性、完整性、准确性进行监管。验收监管人不得与物业方人员/案场验收人为同一人。</w:t>
      </w:r>
    </w:p>
    <w:p>
      <w:pPr>
        <w:adjustRightInd w:val="0"/>
        <w:snapToGrid w:val="0"/>
        <w:spacing w:line="360" w:lineRule="auto"/>
        <w:ind w:firstLine="560" w:firstLineChars="200"/>
        <w:rPr>
          <w:rFonts w:hint="eastAsia" w:ascii="宋体" w:hAnsi="宋体" w:eastAsia="宋体" w:cs="宋体"/>
          <w:sz w:val="28"/>
          <w:szCs w:val="28"/>
          <w:highlight w:val="none"/>
        </w:rPr>
        <w:sectPr>
          <w:footerReference r:id="rId9" w:type="default"/>
          <w:pgSz w:w="16838" w:h="11906" w:orient="landscape"/>
          <w:pgMar w:top="1417" w:right="1440" w:bottom="1417" w:left="1440" w:header="851" w:footer="992" w:gutter="0"/>
          <w:pgNumType w:fmt="decimal" w:start="1"/>
          <w:cols w:space="425" w:num="1"/>
          <w:docGrid w:type="lines" w:linePitch="312" w:charSpace="0"/>
        </w:sectPr>
      </w:pPr>
    </w:p>
    <w:p>
      <w:pPr>
        <w:adjustRightInd w:val="0"/>
        <w:snapToGrid w:val="0"/>
        <w:spacing w:line="36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t>附件4：《开荒保洁服务内容要求及验收标准》</w:t>
      </w:r>
    </w:p>
    <w:p>
      <w:pPr>
        <w:widowControl/>
        <w:snapToGrid w:val="0"/>
        <w:spacing w:line="360" w:lineRule="auto"/>
        <w:jc w:val="center"/>
        <w:rPr>
          <w:rFonts w:hint="eastAsia" w:ascii="宋体" w:hAnsi="宋体" w:cs="宋体"/>
          <w:sz w:val="36"/>
          <w:szCs w:val="36"/>
          <w:highlight w:val="none"/>
        </w:rPr>
      </w:pPr>
      <w:r>
        <w:rPr>
          <w:rFonts w:hint="eastAsia" w:ascii="宋体" w:hAnsi="宋体" w:cs="宋体"/>
          <w:sz w:val="36"/>
          <w:szCs w:val="36"/>
          <w:highlight w:val="none"/>
        </w:rPr>
        <w:t>开荒保洁服务内容要求及验收标准</w:t>
      </w:r>
    </w:p>
    <w:tbl>
      <w:tblPr>
        <w:tblStyle w:val="27"/>
        <w:tblW w:w="100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158"/>
        <w:gridCol w:w="4363"/>
        <w:gridCol w:w="2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blHeader/>
          <w:jc w:val="center"/>
        </w:trPr>
        <w:tc>
          <w:tcPr>
            <w:tcW w:w="1271" w:type="dxa"/>
            <w:tcBorders>
              <w:top w:val="single" w:color="auto" w:sz="4" w:space="0"/>
              <w:left w:val="single" w:color="auto" w:sz="4" w:space="0"/>
            </w:tcBorders>
            <w:vAlign w:val="center"/>
          </w:tcPr>
          <w:p>
            <w:pPr>
              <w:tabs>
                <w:tab w:val="left" w:pos="210"/>
              </w:tabs>
              <w:snapToGrid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区域</w:t>
            </w:r>
          </w:p>
        </w:tc>
        <w:tc>
          <w:tcPr>
            <w:tcW w:w="2158" w:type="dxa"/>
            <w:tcBorders>
              <w:top w:val="single" w:color="auto" w:sz="4" w:space="0"/>
            </w:tcBorders>
            <w:vAlign w:val="center"/>
          </w:tcPr>
          <w:p>
            <w:pPr>
              <w:tabs>
                <w:tab w:val="left" w:pos="210"/>
              </w:tabs>
              <w:snapToGrid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项   目</w:t>
            </w:r>
          </w:p>
        </w:tc>
        <w:tc>
          <w:tcPr>
            <w:tcW w:w="4363" w:type="dxa"/>
            <w:tcBorders>
              <w:top w:val="single" w:color="auto" w:sz="4" w:space="0"/>
            </w:tcBorders>
            <w:vAlign w:val="center"/>
          </w:tcPr>
          <w:p>
            <w:pPr>
              <w:tabs>
                <w:tab w:val="left" w:pos="210"/>
              </w:tabs>
              <w:snapToGrid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标     准</w:t>
            </w:r>
          </w:p>
        </w:tc>
        <w:tc>
          <w:tcPr>
            <w:tcW w:w="2273" w:type="dxa"/>
            <w:tcBorders>
              <w:top w:val="single" w:color="auto" w:sz="4" w:space="0"/>
            </w:tcBorders>
          </w:tcPr>
          <w:p>
            <w:pPr>
              <w:tabs>
                <w:tab w:val="left" w:pos="210"/>
              </w:tabs>
              <w:snapToGrid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是否达标</w:t>
            </w:r>
          </w:p>
          <w:p>
            <w:pPr>
              <w:tabs>
                <w:tab w:val="left" w:pos="210"/>
              </w:tabs>
              <w:snapToGrid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（达标打“√”不达标打“Ⅹ”）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271" w:type="dxa"/>
            <w:vMerge w:val="restart"/>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售</w:t>
            </w:r>
          </w:p>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楼</w:t>
            </w:r>
          </w:p>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处</w:t>
            </w: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石材\地砖铺装地面</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清洁,无污迹,无水痕,无杂物、无损伤、光亮</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其他地面</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清洁,无污迹,无水痕,无杂物、无损伤、</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墙面</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无灰尘,污迹,无损伤</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玻璃</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无污迹,无水珠,无手印</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踢脚线/板</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无灰尘,污迹</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指示牌</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无灰尘,污迹</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服务台、工作台、工作柜</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整洁,无灰尘</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设备用房</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干净、无垃圾、无灰尘、无蛛网</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消防栓箱</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表面清洁,无灰尘,箱内无杂物</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天花、风口、灯饰</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光亮,无灰尘,罩内无杂物</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防火门</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清洁,无污迹,无灰尘,玻璃明亮</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门、窗</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清洁,无污迹,无灰尘</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不锈钢</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清洁,光亮,无污迹,无灰尘</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弱电箱</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门框光亮清洁,箱内无灰尘,无杂物</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指示牌</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清洁,无灰尘,无污迹</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报警铃</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无积尘,无污迹</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管道</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表面干净,无污染</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围栏玻璃</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无污迹,无水珠,无手印</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271" w:type="dxa"/>
            <w:vMerge w:val="restart"/>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电</w:t>
            </w:r>
          </w:p>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梯</w:t>
            </w:r>
          </w:p>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轿</w:t>
            </w:r>
          </w:p>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厢</w:t>
            </w: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天花及照明</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光亮、无灰尘</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内壁</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无污渍、无印痕、表面光亮</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门、框</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无污渍、无印痕</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按钮板</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无污渍、无印痕</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门槽</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无杂物、污垢</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地面</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无污渍、无杂物</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restart"/>
            <w:tcBorders>
              <w:top w:val="single" w:color="auto" w:sz="4" w:space="0"/>
              <w:left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地</w:t>
            </w:r>
          </w:p>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下</w:t>
            </w:r>
          </w:p>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停</w:t>
            </w:r>
          </w:p>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车</w:t>
            </w:r>
          </w:p>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场</w:t>
            </w:r>
          </w:p>
        </w:tc>
        <w:tc>
          <w:tcPr>
            <w:tcW w:w="2158"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地面</w:t>
            </w:r>
          </w:p>
        </w:tc>
        <w:tc>
          <w:tcPr>
            <w:tcW w:w="4363"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洁净,无污染,无积水,无车胎印迹</w:t>
            </w:r>
          </w:p>
        </w:tc>
        <w:tc>
          <w:tcPr>
            <w:tcW w:w="2273" w:type="dxa"/>
            <w:tcBorders>
              <w:top w:val="single" w:color="auto" w:sz="4" w:space="0"/>
              <w:left w:val="single" w:color="auto" w:sz="4" w:space="0"/>
              <w:bottom w:val="single" w:color="auto" w:sz="4" w:space="0"/>
              <w:right w:val="single" w:color="auto" w:sz="4" w:space="0"/>
            </w:tcBorders>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墙面</w:t>
            </w:r>
          </w:p>
        </w:tc>
        <w:tc>
          <w:tcPr>
            <w:tcW w:w="4363"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无尘土,无蛛网</w:t>
            </w:r>
          </w:p>
        </w:tc>
        <w:tc>
          <w:tcPr>
            <w:tcW w:w="2273" w:type="dxa"/>
            <w:tcBorders>
              <w:top w:val="single" w:color="auto" w:sz="4" w:space="0"/>
              <w:left w:val="single" w:color="auto" w:sz="4" w:space="0"/>
              <w:bottom w:val="single" w:color="auto" w:sz="4" w:space="0"/>
              <w:right w:val="single" w:color="auto" w:sz="4" w:space="0"/>
            </w:tcBorders>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消火栓箱</w:t>
            </w:r>
          </w:p>
        </w:tc>
        <w:tc>
          <w:tcPr>
            <w:tcW w:w="4363"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表面干净无污染,箱内无杂物</w:t>
            </w:r>
          </w:p>
        </w:tc>
        <w:tc>
          <w:tcPr>
            <w:tcW w:w="2273" w:type="dxa"/>
            <w:tcBorders>
              <w:top w:val="single" w:color="auto" w:sz="4" w:space="0"/>
              <w:left w:val="single" w:color="auto" w:sz="4" w:space="0"/>
              <w:bottom w:val="single" w:color="auto" w:sz="4" w:space="0"/>
              <w:right w:val="single" w:color="auto" w:sz="4" w:space="0"/>
            </w:tcBorders>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指示牌/标识</w:t>
            </w:r>
          </w:p>
        </w:tc>
        <w:tc>
          <w:tcPr>
            <w:tcW w:w="4363"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表面干净,无污染</w:t>
            </w:r>
          </w:p>
        </w:tc>
        <w:tc>
          <w:tcPr>
            <w:tcW w:w="2273" w:type="dxa"/>
            <w:tcBorders>
              <w:top w:val="single" w:color="auto" w:sz="4" w:space="0"/>
              <w:left w:val="single" w:color="auto" w:sz="4" w:space="0"/>
              <w:bottom w:val="single" w:color="auto" w:sz="4" w:space="0"/>
              <w:right w:val="single" w:color="auto" w:sz="4" w:space="0"/>
            </w:tcBorders>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防火/人防门</w:t>
            </w:r>
          </w:p>
        </w:tc>
        <w:tc>
          <w:tcPr>
            <w:tcW w:w="4363"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表面干净,无污染</w:t>
            </w:r>
          </w:p>
        </w:tc>
        <w:tc>
          <w:tcPr>
            <w:tcW w:w="2273" w:type="dxa"/>
            <w:tcBorders>
              <w:top w:val="single" w:color="auto" w:sz="4" w:space="0"/>
              <w:left w:val="single" w:color="auto" w:sz="4" w:space="0"/>
              <w:bottom w:val="single" w:color="auto" w:sz="4" w:space="0"/>
              <w:right w:val="single" w:color="auto" w:sz="4" w:space="0"/>
            </w:tcBorders>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管道</w:t>
            </w:r>
          </w:p>
        </w:tc>
        <w:tc>
          <w:tcPr>
            <w:tcW w:w="4363"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表面干净,无污染</w:t>
            </w:r>
          </w:p>
        </w:tc>
        <w:tc>
          <w:tcPr>
            <w:tcW w:w="2273" w:type="dxa"/>
            <w:tcBorders>
              <w:top w:val="single" w:color="auto" w:sz="4" w:space="0"/>
              <w:left w:val="single" w:color="auto" w:sz="4" w:space="0"/>
              <w:bottom w:val="single" w:color="auto" w:sz="4" w:space="0"/>
              <w:right w:val="single" w:color="auto" w:sz="4" w:space="0"/>
            </w:tcBorders>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日光灯</w:t>
            </w:r>
          </w:p>
        </w:tc>
        <w:tc>
          <w:tcPr>
            <w:tcW w:w="4363"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光亮,无灰尘,罩内无杂物</w:t>
            </w:r>
          </w:p>
        </w:tc>
        <w:tc>
          <w:tcPr>
            <w:tcW w:w="2273" w:type="dxa"/>
            <w:tcBorders>
              <w:top w:val="single" w:color="auto" w:sz="4" w:space="0"/>
              <w:left w:val="single" w:color="auto" w:sz="4" w:space="0"/>
              <w:bottom w:val="single" w:color="auto" w:sz="4" w:space="0"/>
              <w:right w:val="single" w:color="auto" w:sz="4" w:space="0"/>
            </w:tcBorders>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开关盒</w:t>
            </w:r>
          </w:p>
        </w:tc>
        <w:tc>
          <w:tcPr>
            <w:tcW w:w="4363"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表面干净,无污染</w:t>
            </w:r>
          </w:p>
        </w:tc>
        <w:tc>
          <w:tcPr>
            <w:tcW w:w="2273" w:type="dxa"/>
            <w:tcBorders>
              <w:top w:val="single" w:color="auto" w:sz="4" w:space="0"/>
              <w:left w:val="single" w:color="auto" w:sz="4" w:space="0"/>
              <w:bottom w:val="single" w:color="auto" w:sz="4" w:space="0"/>
              <w:right w:val="single" w:color="auto" w:sz="4" w:space="0"/>
            </w:tcBorders>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设备房</w:t>
            </w:r>
          </w:p>
        </w:tc>
        <w:tc>
          <w:tcPr>
            <w:tcW w:w="4363"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干净、无灰尘、无蛛网</w:t>
            </w:r>
          </w:p>
        </w:tc>
        <w:tc>
          <w:tcPr>
            <w:tcW w:w="2273" w:type="dxa"/>
            <w:tcBorders>
              <w:top w:val="single" w:color="auto" w:sz="4" w:space="0"/>
              <w:left w:val="single" w:color="auto" w:sz="4" w:space="0"/>
              <w:bottom w:val="single" w:color="auto" w:sz="4" w:space="0"/>
              <w:right w:val="single" w:color="auto" w:sz="4" w:space="0"/>
            </w:tcBorders>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1271" w:type="dxa"/>
            <w:vMerge w:val="continue"/>
            <w:tcBorders>
              <w:left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排水沟、积水坑、隔油池</w:t>
            </w:r>
          </w:p>
        </w:tc>
        <w:tc>
          <w:tcPr>
            <w:tcW w:w="4363"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池壁/底干净,无污染,池内无垃圾,无杂物</w:t>
            </w:r>
          </w:p>
        </w:tc>
        <w:tc>
          <w:tcPr>
            <w:tcW w:w="2273" w:type="dxa"/>
            <w:tcBorders>
              <w:top w:val="single" w:color="auto" w:sz="4" w:space="0"/>
              <w:left w:val="single" w:color="auto" w:sz="4" w:space="0"/>
              <w:bottom w:val="single" w:color="auto" w:sz="4" w:space="0"/>
              <w:right w:val="single" w:color="auto" w:sz="4" w:space="0"/>
            </w:tcBorders>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道闸机、岗亭</w:t>
            </w:r>
          </w:p>
        </w:tc>
        <w:tc>
          <w:tcPr>
            <w:tcW w:w="4363"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表面干净,无污染</w:t>
            </w:r>
          </w:p>
        </w:tc>
        <w:tc>
          <w:tcPr>
            <w:tcW w:w="2273" w:type="dxa"/>
            <w:tcBorders>
              <w:top w:val="single" w:color="auto" w:sz="4" w:space="0"/>
              <w:left w:val="single" w:color="auto" w:sz="4" w:space="0"/>
              <w:bottom w:val="single" w:color="auto" w:sz="4" w:space="0"/>
              <w:right w:val="single" w:color="auto" w:sz="4" w:space="0"/>
            </w:tcBorders>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271" w:type="dxa"/>
            <w:vMerge w:val="restart"/>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卫</w:t>
            </w:r>
          </w:p>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生</w:t>
            </w:r>
          </w:p>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间</w:t>
            </w: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洁具</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清洁,无水迹,无异味,齐全,无破损</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镜子</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明净,光亮,无灰尘、污迹,无手印,无水迹</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镀件</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光亮,无浮尘,无水迹,无锈斑</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洗手台</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清洁,无浮尘</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天面</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无灰尘,无污迹</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地面</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清洁,无污迹,无水痕,无杂物</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隔板</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无尘、无水迹、无污迹</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71" w:type="dxa"/>
            <w:vMerge w:val="continue"/>
            <w:tcBorders>
              <w:left w:val="single" w:color="auto" w:sz="4" w:space="0"/>
            </w:tcBorders>
            <w:vAlign w:val="center"/>
          </w:tcPr>
          <w:p>
            <w:pPr>
              <w:tabs>
                <w:tab w:val="left" w:pos="210"/>
              </w:tabs>
              <w:snapToGrid w:val="0"/>
              <w:spacing w:line="360" w:lineRule="auto"/>
              <w:jc w:val="center"/>
              <w:rPr>
                <w:rFonts w:hint="eastAsia" w:ascii="宋体" w:hAnsi="宋体" w:cs="宋体"/>
                <w:sz w:val="28"/>
                <w:szCs w:val="28"/>
                <w:highlight w:val="none"/>
              </w:rPr>
            </w:pPr>
          </w:p>
        </w:tc>
        <w:tc>
          <w:tcPr>
            <w:tcW w:w="2158"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墙壁</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无明显灰尘及水印,污渍</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3429" w:type="dxa"/>
            <w:gridSpan w:val="2"/>
            <w:tcBorders>
              <w:left w:val="single" w:color="auto" w:sz="4" w:space="0"/>
            </w:tcBorders>
            <w:vAlign w:val="center"/>
          </w:tcPr>
          <w:p>
            <w:pPr>
              <w:tabs>
                <w:tab w:val="left" w:pos="210"/>
              </w:tabs>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各区域装修残留垃圾清运</w:t>
            </w:r>
          </w:p>
        </w:tc>
        <w:tc>
          <w:tcPr>
            <w:tcW w:w="4363" w:type="dxa"/>
            <w:vAlign w:val="center"/>
          </w:tcPr>
          <w:p>
            <w:pPr>
              <w:tabs>
                <w:tab w:val="left" w:pos="210"/>
              </w:tabs>
              <w:snapToGrid w:val="0"/>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清离现场,无任何杂物残留</w:t>
            </w:r>
          </w:p>
        </w:tc>
        <w:tc>
          <w:tcPr>
            <w:tcW w:w="2273" w:type="dxa"/>
          </w:tcPr>
          <w:p>
            <w:pPr>
              <w:tabs>
                <w:tab w:val="left" w:pos="210"/>
              </w:tabs>
              <w:snapToGrid w:val="0"/>
              <w:spacing w:line="360" w:lineRule="auto"/>
              <w:jc w:val="center"/>
              <w:rPr>
                <w:rFonts w:hint="eastAsia" w:ascii="宋体" w:hAnsi="宋体" w:cs="宋体"/>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0" w:hRule="exact"/>
          <w:jc w:val="center"/>
        </w:trPr>
        <w:tc>
          <w:tcPr>
            <w:tcW w:w="10065" w:type="dxa"/>
            <w:gridSpan w:val="4"/>
            <w:tcBorders>
              <w:left w:val="single" w:color="auto" w:sz="4" w:space="0"/>
              <w:bottom w:val="single" w:color="auto" w:sz="4" w:space="0"/>
            </w:tcBorders>
            <w:vAlign w:val="center"/>
          </w:tcPr>
          <w:p>
            <w:pPr>
              <w:tabs>
                <w:tab w:val="left" w:pos="210"/>
              </w:tabs>
              <w:snapToGrid w:val="0"/>
              <w:spacing w:line="360" w:lineRule="auto"/>
              <w:jc w:val="left"/>
              <w:rPr>
                <w:rFonts w:hint="eastAsia" w:ascii="宋体" w:hAnsi="宋体" w:cs="宋体"/>
                <w:sz w:val="28"/>
                <w:szCs w:val="28"/>
                <w:highlight w:val="none"/>
              </w:rPr>
            </w:pPr>
            <w:r>
              <w:rPr>
                <w:rFonts w:hint="eastAsia" w:ascii="宋体" w:hAnsi="宋体" w:cs="宋体"/>
                <w:sz w:val="28"/>
                <w:szCs w:val="28"/>
                <w:highlight w:val="none"/>
              </w:rPr>
              <w:t>物业方验收人签字：                     案场方验收人签字：</w:t>
            </w:r>
          </w:p>
        </w:tc>
      </w:tr>
    </w:tbl>
    <w:p>
      <w:pPr>
        <w:widowControl/>
        <w:snapToGrid w:val="0"/>
        <w:spacing w:line="360" w:lineRule="auto"/>
        <w:jc w:val="left"/>
        <w:rPr>
          <w:rFonts w:hint="eastAsia" w:ascii="宋体" w:hAnsi="宋体" w:eastAsia="宋体" w:cs="宋体"/>
          <w:sz w:val="28"/>
          <w:szCs w:val="28"/>
          <w:highlight w:val="none"/>
        </w:rPr>
      </w:pPr>
    </w:p>
    <w:p>
      <w:pPr>
        <w:adjustRightInd w:val="0"/>
        <w:snapToGrid w:val="0"/>
        <w:spacing w:line="360" w:lineRule="auto"/>
        <w:ind w:firstLine="560" w:firstLineChars="200"/>
        <w:rPr>
          <w:rFonts w:hint="eastAsia" w:ascii="宋体" w:hAnsi="宋体" w:eastAsia="宋体" w:cs="宋体"/>
          <w:sz w:val="28"/>
          <w:szCs w:val="28"/>
          <w:highlight w:val="none"/>
        </w:rPr>
        <w:sectPr>
          <w:footerReference r:id="rId10" w:type="default"/>
          <w:pgSz w:w="11906" w:h="16838"/>
          <w:pgMar w:top="1440" w:right="1800" w:bottom="1440" w:left="1800" w:header="851" w:footer="992" w:gutter="0"/>
          <w:pgNumType w:fmt="decimal" w:start="1"/>
          <w:cols w:space="425" w:num="1"/>
          <w:docGrid w:type="lines" w:linePitch="312" w:charSpace="0"/>
        </w:sectPr>
      </w:pPr>
    </w:p>
    <w:p>
      <w:pPr>
        <w:adjustRightInd w:val="0"/>
        <w:snapToGrid w:val="0"/>
        <w:spacing w:line="56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附件5：《罗山产业集聚中心项目营销中心案场物业服务履约评价表》</w:t>
      </w:r>
    </w:p>
    <w:p>
      <w:pPr>
        <w:pStyle w:val="2"/>
        <w:snapToGrid w:val="0"/>
        <w:spacing w:line="560" w:lineRule="exact"/>
        <w:jc w:val="center"/>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罗山产业集聚中心项目营销中心案场物业服务履约评价表</w:t>
      </w:r>
    </w:p>
    <w:tbl>
      <w:tblPr>
        <w:tblStyle w:val="27"/>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881"/>
        <w:gridCol w:w="975"/>
        <w:gridCol w:w="5435"/>
        <w:gridCol w:w="716"/>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4" w:type="pct"/>
            <w:tcBorders>
              <w:tl2br w:val="nil"/>
            </w:tcBorders>
            <w:shd w:val="clear" w:color="auto" w:fill="FFFFFF"/>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484"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分类</w:t>
            </w:r>
          </w:p>
        </w:tc>
        <w:tc>
          <w:tcPr>
            <w:tcW w:w="537"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动线</w:t>
            </w:r>
          </w:p>
        </w:tc>
        <w:tc>
          <w:tcPr>
            <w:tcW w:w="2992"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重点检查事项</w:t>
            </w:r>
          </w:p>
        </w:tc>
        <w:tc>
          <w:tcPr>
            <w:tcW w:w="393"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分值</w:t>
            </w:r>
          </w:p>
        </w:tc>
        <w:tc>
          <w:tcPr>
            <w:tcW w:w="366"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2" w:hRule="atLeast"/>
        </w:trPr>
        <w:tc>
          <w:tcPr>
            <w:tcW w:w="224" w:type="pct"/>
            <w:shd w:val="clear" w:color="auto" w:fill="FFFFFF"/>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84" w:type="pct"/>
            <w:vMerge w:val="restar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w:t>
            </w:r>
          </w:p>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（扣分项）</w:t>
            </w:r>
          </w:p>
        </w:tc>
        <w:tc>
          <w:tcPr>
            <w:tcW w:w="537"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安全岗</w:t>
            </w:r>
          </w:p>
        </w:tc>
        <w:tc>
          <w:tcPr>
            <w:tcW w:w="2992" w:type="pct"/>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1.按着装规定着工服、佩戴工牌，服装干净平整，短发、净面，身上与口腔无异味，不佩戴除婚戒、手表、黑色皮带外其他饰品。</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2.站姿、走姿得体，行为举止得体。</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3.手持物品稳妥、到位、卫生，递接物品用双手，不方便双手时，尽量采用右手。</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4.服务过程保持微笑，不对客户表现不耐烦及不满情绪，见到客户主动问好。</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5.看到来访客户及车辆，按规定动作敬礼、主动问好、引导客户或车辆，如项目已购置车罩，遇烈日使用车罩为客户车辆遮荫。炎热天气或雨天主动撑伞接送客户（若无固定岗除外）。</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6.客户即将离开或上车时，应向客户鞠躬15度并道别：“谢谢参观，请慢走！”，用标准的交通手势知应客户车辆驶出停车场。</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7.对于可疑人员应礼貌询问，禁止推销，派发广告等闲杂人员进入销售区域。</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8.不得迟到、早退，工作期间不擅自离岗、不玩手机、不聊天、不倚靠、不在工作区饮水、不在工作期间嚼口香糖、不把私人物品放置在示范区/样板房区。</w:t>
            </w:r>
          </w:p>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9.负责每天整理岗亭物料，检查岗亭附近卫生，保持岗亭及其附近整洁，有品质问题及时反馈至案场物业经理。</w:t>
            </w:r>
          </w:p>
        </w:tc>
        <w:tc>
          <w:tcPr>
            <w:tcW w:w="393"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en-US" w:eastAsia="zh-CN"/>
              </w:rPr>
              <w:t>分</w:t>
            </w:r>
          </w:p>
        </w:tc>
        <w:tc>
          <w:tcPr>
            <w:tcW w:w="366"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4" w:type="pct"/>
            <w:shd w:val="clear" w:color="auto" w:fill="FFFFFF"/>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484" w:type="pct"/>
            <w:vMerge w:val="continue"/>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c>
          <w:tcPr>
            <w:tcW w:w="537"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客服</w:t>
            </w:r>
          </w:p>
        </w:tc>
        <w:tc>
          <w:tcPr>
            <w:tcW w:w="2992" w:type="pct"/>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1.按着装规定着工服、佩戴工牌，服装干净平整，发型、妆容得体，身上与口腔无异味，不佩戴除婚戒、手表外其他饰品。</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2.站姿、走姿、蹲姿得体，体态优雅，举止大方。</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3.手持物品稳妥、到位、卫生，递接物品用双手，不方便双手时，尽量采用右手。</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4.服务过程保持微笑，不对客户表现不耐烦及不满情绪，见到客户主动问好。</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5.客户进入案场门岗主动问岗，疫情期间按防疫要求测温登记，客户离开时礼貌欢送。</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6.客户就坐后3分钟内，需询问饮品需求并提供饮品，客户杯中饮品小于1/3主动询问续杯，客户离开后及时收走空杯，客户多于20人时，10分钟内完成问询并提供饮品。</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7.不得迟到、早退，工作期间不擅自离岗、不玩手机、不聊天、不倚靠、不在工作区饮水、不在工作期间嚼口香糖、不把私人物品放置在示范区/样板房区。</w:t>
            </w:r>
          </w:p>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8.根据营销活动需要，协助营销做好现场礼品派发管理，派发礼品给客户需要拍照留底，并发案场工作群报备。</w:t>
            </w:r>
          </w:p>
        </w:tc>
        <w:tc>
          <w:tcPr>
            <w:tcW w:w="393"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eastAsia="zh-CN"/>
              </w:rPr>
              <w:t>分</w:t>
            </w:r>
          </w:p>
        </w:tc>
        <w:tc>
          <w:tcPr>
            <w:tcW w:w="366"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224" w:type="pct"/>
            <w:shd w:val="clear" w:color="auto" w:fill="FFFFFF"/>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484" w:type="pct"/>
            <w:vMerge w:val="continue"/>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c>
          <w:tcPr>
            <w:tcW w:w="537"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保洁</w:t>
            </w:r>
          </w:p>
        </w:tc>
        <w:tc>
          <w:tcPr>
            <w:tcW w:w="2992" w:type="pct"/>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1.按着装规定着工服、佩戴工牌，服装干净平整，身上与口腔无异味，个人形象得体。</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2.工作过程中遇到客户要暂停，并微笑问好。</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3.清洁过程不得妨碍客户，如有清洁需要的，向客户礼貌说明征得同意。</w:t>
            </w:r>
          </w:p>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4.清洁过程中不能大声交流，影响营销中心接待，男女卫生间保洁禁止工作时间在卫生间门口聊天。</w:t>
            </w:r>
          </w:p>
        </w:tc>
        <w:tc>
          <w:tcPr>
            <w:tcW w:w="393"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en-US" w:eastAsia="zh-CN"/>
              </w:rPr>
              <w:t>分</w:t>
            </w:r>
          </w:p>
        </w:tc>
        <w:tc>
          <w:tcPr>
            <w:tcW w:w="366"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224" w:type="pct"/>
            <w:shd w:val="clear" w:color="auto" w:fill="FFFFFF"/>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484" w:type="pct"/>
            <w:vMerge w:val="continue"/>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c>
          <w:tcPr>
            <w:tcW w:w="537" w:type="pct"/>
            <w:shd w:val="clear" w:color="auto" w:fill="FFFFFF"/>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营销展厅及其他功能区</w:t>
            </w:r>
          </w:p>
        </w:tc>
        <w:tc>
          <w:tcPr>
            <w:tcW w:w="2992" w:type="pct"/>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1.污物及时处理，无堵塞，排水顺畅；</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2.墙面、地面、台面、镜面无污渍及水渍，保持干燥干净（若无固定岗除外）；</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3.垃圾桶不超过2/3；</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4.物品摆放整齐，及时更新易耗品；</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5.背景音乐、LED机、电视等多媒体设备每天在客户到来前提前打开，并正常播放（若无工程岗，此项不考核）；</w:t>
            </w:r>
          </w:p>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6.照明设备正常开启，无故障光源；夏季销售大厅室内温度控制在22度—26度（若无工程岗，此项不考核）；</w:t>
            </w:r>
          </w:p>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7.雨天门口配备雨伞架或雨伞套袋机，设施摆放整齐，入口处铺设地毯；</w:t>
            </w:r>
          </w:p>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 消防器材完好无损且有效期内，配置位置合理，标识清晰，有定期巡查记录。</w:t>
            </w:r>
          </w:p>
        </w:tc>
        <w:tc>
          <w:tcPr>
            <w:tcW w:w="393" w:type="pct"/>
            <w:shd w:val="clear" w:color="auto" w:fill="FFFFFF"/>
            <w:noWrap/>
            <w:vAlign w:val="center"/>
          </w:tcPr>
          <w:p>
            <w:pPr>
              <w:widowControl/>
              <w:snapToGrid w:val="0"/>
              <w:spacing w:line="240" w:lineRule="auto"/>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5分</w:t>
            </w:r>
          </w:p>
        </w:tc>
        <w:tc>
          <w:tcPr>
            <w:tcW w:w="366"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24" w:type="pct"/>
            <w:shd w:val="clear" w:color="auto" w:fill="FFFFFF"/>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484" w:type="pct"/>
            <w:vMerge w:val="continue"/>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c>
          <w:tcPr>
            <w:tcW w:w="537"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洗手间</w:t>
            </w:r>
          </w:p>
        </w:tc>
        <w:tc>
          <w:tcPr>
            <w:tcW w:w="2992" w:type="pct"/>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1.污物及时处理，无堵塞，排水顺畅</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2.墙面、地面、台面、镜面无污渍及水渍，保持干燥干净</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3.垃圾桶不超过1/3</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4.物品摆放整齐，及时更新易耗品</w:t>
            </w:r>
          </w:p>
        </w:tc>
        <w:tc>
          <w:tcPr>
            <w:tcW w:w="393" w:type="pct"/>
            <w:shd w:val="clear" w:color="auto" w:fill="FFFFFF"/>
            <w:noWrap/>
            <w:vAlign w:val="center"/>
          </w:tcPr>
          <w:p>
            <w:pPr>
              <w:widowControl/>
              <w:snapToGrid w:val="0"/>
              <w:spacing w:line="240" w:lineRule="auto"/>
              <w:jc w:val="lef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10分</w:t>
            </w:r>
          </w:p>
        </w:tc>
        <w:tc>
          <w:tcPr>
            <w:tcW w:w="366"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24" w:type="pct"/>
            <w:shd w:val="clear" w:color="auto" w:fill="FFFFFF"/>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484"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工作配合（扣分项）</w:t>
            </w:r>
          </w:p>
        </w:tc>
        <w:tc>
          <w:tcPr>
            <w:tcW w:w="537"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横向沟通</w:t>
            </w:r>
          </w:p>
        </w:tc>
        <w:tc>
          <w:tcPr>
            <w:tcW w:w="2992" w:type="pct"/>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1.物业服务人员按营销管理部门统一说辞解答客户关于物业服务的问题，并做记录，对不能及时回复的咨询问题，需上报营销管理部门，由营销部门回复客户。</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2.对营销管理部门提出的合理化工作配合需求，在30分钟内由案场物业管理人员回复响应。</w:t>
            </w:r>
          </w:p>
        </w:tc>
        <w:tc>
          <w:tcPr>
            <w:tcW w:w="393"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分</w:t>
            </w:r>
          </w:p>
        </w:tc>
        <w:tc>
          <w:tcPr>
            <w:tcW w:w="366"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4" w:type="pct"/>
            <w:shd w:val="clear" w:color="auto" w:fill="FFFFFF"/>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484" w:type="pct"/>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出勤（扣分项）</w:t>
            </w:r>
          </w:p>
        </w:tc>
        <w:tc>
          <w:tcPr>
            <w:tcW w:w="537" w:type="pct"/>
            <w:shd w:val="clear" w:color="auto" w:fill="FFFFFF"/>
            <w:noWrap/>
            <w:vAlign w:val="center"/>
          </w:tcPr>
          <w:p>
            <w:pPr>
              <w:widowControl/>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人员稳定及在岗时间</w:t>
            </w:r>
          </w:p>
        </w:tc>
        <w:tc>
          <w:tcPr>
            <w:tcW w:w="2992"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是否按要求、按时在岗（以考勤</w:t>
            </w:r>
            <w:r>
              <w:rPr>
                <w:rFonts w:hint="eastAsia" w:asciiTheme="minorEastAsia" w:hAnsiTheme="minorEastAsia" w:cstheme="minorEastAsia"/>
                <w:color w:val="auto"/>
                <w:sz w:val="24"/>
                <w:szCs w:val="24"/>
                <w:highlight w:val="none"/>
                <w:lang w:val="en-US" w:eastAsia="zh-CN"/>
              </w:rPr>
              <w:t>打卡记录</w:t>
            </w:r>
            <w:r>
              <w:rPr>
                <w:rFonts w:hint="eastAsia" w:asciiTheme="minorEastAsia" w:hAnsiTheme="minorEastAsia" w:eastAsiaTheme="minorEastAsia" w:cstheme="minorEastAsia"/>
                <w:color w:val="auto"/>
                <w:sz w:val="24"/>
                <w:szCs w:val="24"/>
                <w:highlight w:val="none"/>
              </w:rPr>
              <w:t>等为准）</w:t>
            </w:r>
          </w:p>
        </w:tc>
        <w:tc>
          <w:tcPr>
            <w:tcW w:w="393"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en-US" w:eastAsia="zh-CN"/>
              </w:rPr>
              <w:t>分</w:t>
            </w:r>
          </w:p>
        </w:tc>
        <w:tc>
          <w:tcPr>
            <w:tcW w:w="366"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24" w:type="pct"/>
            <w:shd w:val="clear" w:color="auto" w:fill="FFFFFF"/>
          </w:tcPr>
          <w:p>
            <w:pPr>
              <w:widowControl/>
              <w:snapToGrid w:val="0"/>
              <w:spacing w:line="24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4014" w:type="pct"/>
            <w:gridSpan w:val="3"/>
            <w:shd w:val="clear" w:color="auto" w:fill="FFFFFF"/>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总计</w:t>
            </w:r>
          </w:p>
        </w:tc>
        <w:tc>
          <w:tcPr>
            <w:tcW w:w="393"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c>
          <w:tcPr>
            <w:tcW w:w="366" w:type="pct"/>
            <w:shd w:val="clear" w:color="auto" w:fill="FFFFFF"/>
            <w:noWrap/>
            <w:vAlign w:val="center"/>
          </w:tcPr>
          <w:p>
            <w:pPr>
              <w:widowControl/>
              <w:snapToGrid w:val="0"/>
              <w:spacing w:line="240" w:lineRule="auto"/>
              <w:jc w:val="left"/>
              <w:rPr>
                <w:rFonts w:hint="eastAsia" w:asciiTheme="minorEastAsia" w:hAnsiTheme="minorEastAsia" w:eastAsiaTheme="minorEastAsia" w:cstheme="minorEastAsia"/>
                <w:color w:val="auto"/>
                <w:sz w:val="24"/>
                <w:szCs w:val="24"/>
                <w:highlight w:val="none"/>
              </w:rPr>
            </w:pPr>
          </w:p>
        </w:tc>
      </w:tr>
    </w:tbl>
    <w:p>
      <w:pPr>
        <w:widowControl/>
        <w:spacing w:line="560" w:lineRule="exact"/>
        <w:jc w:val="left"/>
        <w:rPr>
          <w:rFonts w:hint="eastAsia" w:ascii="仿宋_GB2312" w:hAnsi="仿宋_GB2312" w:eastAsia="仿宋_GB2312" w:cs="仿宋_GB2312"/>
          <w:color w:val="404040"/>
          <w:kern w:val="0"/>
          <w:sz w:val="32"/>
          <w:szCs w:val="32"/>
          <w:highlight w:val="none"/>
        </w:rPr>
      </w:pPr>
    </w:p>
    <w:sectPr>
      <w:footerReference r:id="rId11"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jc w:val="center"/>
      <w:rPr>
        <w:rFonts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tabs>
        <w:tab w:val="left" w:pos="4440"/>
        <w:tab w:val="left" w:pos="7434"/>
        <w:tab w:val="clear" w:pos="4153"/>
        <w:tab w:val="clear" w:pos="8306"/>
      </w:tabs>
      <w:spacing w:line="280" w:lineRule="exact"/>
      <w:rPr>
        <w:rFonts w:hint="eastAsia" w:ascii="宋体" w:hAnsi="宋体"/>
        <w:spacing w:val="30"/>
        <w:sz w:val="22"/>
      </w:rPr>
    </w:pPr>
    <w:r>
      <w:rPr>
        <w:sz w:val="2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宋体" w:hAnsi="宋体"/>
        <w:spacing w:val="30"/>
        <w:sz w:val="22"/>
      </w:rPr>
      <w:tab/>
    </w:r>
    <w:r>
      <w:rPr>
        <w:rFonts w:ascii="宋体" w:hAnsi="宋体"/>
        <w:spacing w:val="30"/>
        <w:sz w:val="22"/>
      </w:rPr>
      <w:tab/>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tabs>
        <w:tab w:val="left" w:pos="4440"/>
        <w:tab w:val="left" w:pos="7434"/>
        <w:tab w:val="clear" w:pos="4153"/>
        <w:tab w:val="clear" w:pos="8306"/>
      </w:tabs>
      <w:spacing w:line="280" w:lineRule="exact"/>
      <w:rPr>
        <w:rFonts w:hint="eastAsia" w:ascii="宋体" w:hAnsi="宋体"/>
        <w:spacing w:val="30"/>
        <w:sz w:val="22"/>
      </w:rPr>
    </w:pPr>
    <w:r>
      <w:rPr>
        <w:sz w:val="2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YZVh&#10;XhACAAAHBAAADgAAAAAAAAABACAAAAA1AQAAZHJzL2Uyb0RvYy54bWxQSwUGAAAAAAYABgBZAQAA&#10;twU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宋体" w:hAnsi="宋体"/>
        <w:spacing w:val="30"/>
        <w:sz w:val="22"/>
      </w:rPr>
      <w:tab/>
    </w:r>
    <w:r>
      <w:rPr>
        <w:rFonts w:ascii="宋体" w:hAnsi="宋体"/>
        <w:spacing w:val="30"/>
        <w:sz w:val="22"/>
      </w:rPr>
      <w:tab/>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tabs>
        <w:tab w:val="left" w:pos="4440"/>
        <w:tab w:val="left" w:pos="7434"/>
        <w:tab w:val="clear" w:pos="4153"/>
        <w:tab w:val="clear" w:pos="8306"/>
      </w:tabs>
      <w:spacing w:line="280" w:lineRule="exact"/>
      <w:rPr>
        <w:rFonts w:hint="eastAsia" w:ascii="宋体" w:hAnsi="宋体"/>
        <w:spacing w:val="30"/>
        <w:sz w:val="22"/>
      </w:rPr>
    </w:pPr>
    <w:r>
      <w:rPr>
        <w:sz w:val="2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jDWDwIAAAcEAAAOAAAAZHJz&#10;L2Uyb0RvYy54bWytU82O0zAQviPxDpbvNGlRV1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rye5u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Z+jDW&#10;DwIAAAcEAAAOAAAAAAAAAAEAIAAAADUBAABkcnMvZTJvRG9jLnhtbFBLBQYAAAAABgAGAFkBAAC2&#10;BQ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宋体" w:hAnsi="宋体"/>
        <w:spacing w:val="30"/>
        <w:sz w:val="22"/>
      </w:rPr>
      <w:tab/>
    </w:r>
    <w:r>
      <w:rPr>
        <w:rFonts w:ascii="宋体" w:hAnsi="宋体"/>
        <w:spacing w:val="30"/>
        <w:sz w:val="22"/>
      </w:rPr>
      <w:tab/>
    </w:r>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tabs>
        <w:tab w:val="left" w:pos="4440"/>
        <w:tab w:val="left" w:pos="7434"/>
        <w:tab w:val="clear" w:pos="4153"/>
        <w:tab w:val="clear" w:pos="8306"/>
      </w:tabs>
      <w:spacing w:line="280" w:lineRule="exact"/>
      <w:rPr>
        <w:rFonts w:hint="eastAsia" w:ascii="宋体" w:hAnsi="宋体"/>
        <w:spacing w:val="30"/>
        <w:sz w:val="22"/>
      </w:rPr>
    </w:pPr>
    <w:r>
      <w:rPr>
        <w:sz w:val="2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FBMspUO&#10;AgAABwQAAA4AAAAAAAAAAQAgAAAANQEAAGRycy9lMm9Eb2MueG1sUEsFBgAAAAAGAAYAWQEAALUF&#10;A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宋体" w:hAnsi="宋体"/>
        <w:spacing w:val="30"/>
        <w:sz w:val="22"/>
      </w:rPr>
      <w:tab/>
    </w:r>
    <w:r>
      <w:rPr>
        <w:rFonts w:ascii="宋体" w:hAnsi="宋体"/>
        <w:spacing w:val="30"/>
        <w:sz w:val="22"/>
      </w:rPr>
      <w:tab/>
    </w:r>
  </w:p>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tabs>
        <w:tab w:val="left" w:pos="4440"/>
        <w:tab w:val="left" w:pos="7434"/>
        <w:tab w:val="clear" w:pos="4153"/>
        <w:tab w:val="clear" w:pos="8306"/>
      </w:tabs>
      <w:spacing w:line="280" w:lineRule="exact"/>
      <w:rPr>
        <w:rFonts w:hint="eastAsia" w:ascii="宋体" w:hAnsi="宋体"/>
        <w:spacing w:val="30"/>
        <w:sz w:val="22"/>
      </w:rPr>
    </w:pPr>
    <w:r>
      <w:rPr>
        <w:sz w:val="2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6CPj&#10;HRACAAAHBAAADgAAAAAAAAABACAAAAA1AQAAZHJzL2Uyb0RvYy54bWxQSwUGAAAAAAYABgBZAQAA&#10;twU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宋体" w:hAnsi="宋体"/>
        <w:spacing w:val="30"/>
        <w:sz w:val="22"/>
      </w:rPr>
      <w:tab/>
    </w:r>
    <w:r>
      <w:rPr>
        <w:rFonts w:ascii="宋体" w:hAnsi="宋体"/>
        <w:spacing w:val="30"/>
        <w:sz w:val="22"/>
      </w:rPr>
      <w:tab/>
    </w:r>
  </w:p>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rPr>
        <w:rFonts w:eastAsia="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647F7"/>
    <w:multiLevelType w:val="singleLevel"/>
    <w:tmpl w:val="965647F7"/>
    <w:lvl w:ilvl="0" w:tentative="0">
      <w:start w:val="1"/>
      <w:numFmt w:val="chineseCounting"/>
      <w:suff w:val="nothing"/>
      <w:lvlText w:val="（%1）"/>
      <w:lvlJc w:val="left"/>
      <w:pPr>
        <w:ind w:left="0" w:firstLine="420"/>
      </w:pPr>
      <w:rPr>
        <w:rFonts w:hint="eastAsia"/>
        <w:b w:val="0"/>
        <w:bCs w:val="0"/>
      </w:rPr>
    </w:lvl>
  </w:abstractNum>
  <w:abstractNum w:abstractNumId="1">
    <w:nsid w:val="B6A002E1"/>
    <w:multiLevelType w:val="singleLevel"/>
    <w:tmpl w:val="B6A002E1"/>
    <w:lvl w:ilvl="0" w:tentative="0">
      <w:start w:val="1"/>
      <w:numFmt w:val="chineseCounting"/>
      <w:suff w:val="nothing"/>
      <w:lvlText w:val="（%1）"/>
      <w:lvlJc w:val="left"/>
      <w:pPr>
        <w:ind w:left="0" w:firstLine="420"/>
      </w:pPr>
      <w:rPr>
        <w:rFonts w:hint="eastAsia"/>
      </w:rPr>
    </w:lvl>
  </w:abstractNum>
  <w:abstractNum w:abstractNumId="2">
    <w:nsid w:val="BB4669BF"/>
    <w:multiLevelType w:val="singleLevel"/>
    <w:tmpl w:val="BB4669BF"/>
    <w:lvl w:ilvl="0" w:tentative="0">
      <w:start w:val="1"/>
      <w:numFmt w:val="chineseCounting"/>
      <w:suff w:val="nothing"/>
      <w:lvlText w:val="（%1）"/>
      <w:lvlJc w:val="left"/>
      <w:pPr>
        <w:ind w:left="0" w:firstLine="420"/>
      </w:pPr>
      <w:rPr>
        <w:rFonts w:hint="eastAsia"/>
      </w:rPr>
    </w:lvl>
  </w:abstractNum>
  <w:abstractNum w:abstractNumId="3">
    <w:nsid w:val="F62F0FBA"/>
    <w:multiLevelType w:val="singleLevel"/>
    <w:tmpl w:val="F62F0FBA"/>
    <w:lvl w:ilvl="0" w:tentative="0">
      <w:start w:val="1"/>
      <w:numFmt w:val="decimal"/>
      <w:suff w:val="nothing"/>
      <w:lvlText w:val="%1．"/>
      <w:lvlJc w:val="left"/>
      <w:pPr>
        <w:ind w:left="0" w:firstLine="400"/>
      </w:pPr>
      <w:rPr>
        <w:rFonts w:hint="default"/>
      </w:rPr>
    </w:lvl>
  </w:abstractNum>
  <w:abstractNum w:abstractNumId="4">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5">
    <w:nsid w:val="13F703DD"/>
    <w:multiLevelType w:val="singleLevel"/>
    <w:tmpl w:val="13F703DD"/>
    <w:lvl w:ilvl="0" w:tentative="0">
      <w:start w:val="1"/>
      <w:numFmt w:val="decimal"/>
      <w:suff w:val="nothing"/>
      <w:lvlText w:val="%1．"/>
      <w:lvlJc w:val="left"/>
      <w:pPr>
        <w:ind w:left="0" w:firstLine="400"/>
      </w:pPr>
      <w:rPr>
        <w:rFonts w:hint="default"/>
      </w:rPr>
    </w:lvl>
  </w:abstractNum>
  <w:abstractNum w:abstractNumId="6">
    <w:nsid w:val="277CB753"/>
    <w:multiLevelType w:val="singleLevel"/>
    <w:tmpl w:val="277CB753"/>
    <w:lvl w:ilvl="0" w:tentative="0">
      <w:start w:val="1"/>
      <w:numFmt w:val="decimal"/>
      <w:suff w:val="nothing"/>
      <w:lvlText w:val="%1．"/>
      <w:lvlJc w:val="left"/>
      <w:pPr>
        <w:ind w:left="0" w:firstLine="400"/>
      </w:pPr>
      <w:rPr>
        <w:rFonts w:hint="default"/>
      </w:rPr>
    </w:lvl>
  </w:abstractNum>
  <w:abstractNum w:abstractNumId="7">
    <w:nsid w:val="34103FA1"/>
    <w:multiLevelType w:val="singleLevel"/>
    <w:tmpl w:val="34103FA1"/>
    <w:lvl w:ilvl="0" w:tentative="0">
      <w:start w:val="1"/>
      <w:numFmt w:val="chineseCounting"/>
      <w:suff w:val="nothing"/>
      <w:lvlText w:val="%1、"/>
      <w:lvlJc w:val="left"/>
      <w:pPr>
        <w:ind w:left="210" w:firstLine="420"/>
      </w:pPr>
      <w:rPr>
        <w:rFonts w:hint="eastAsia"/>
      </w:rPr>
    </w:lvl>
  </w:abstractNum>
  <w:abstractNum w:abstractNumId="8">
    <w:nsid w:val="46AD4302"/>
    <w:multiLevelType w:val="singleLevel"/>
    <w:tmpl w:val="46AD4302"/>
    <w:lvl w:ilvl="0" w:tentative="0">
      <w:start w:val="1"/>
      <w:numFmt w:val="decimal"/>
      <w:suff w:val="nothing"/>
      <w:lvlText w:val="%1．"/>
      <w:lvlJc w:val="left"/>
      <w:pPr>
        <w:ind w:left="0" w:firstLine="400"/>
      </w:pPr>
      <w:rPr>
        <w:rFonts w:hint="default"/>
      </w:rPr>
    </w:lvl>
  </w:abstractNum>
  <w:abstractNum w:abstractNumId="9">
    <w:nsid w:val="5D7D8BFA"/>
    <w:multiLevelType w:val="singleLevel"/>
    <w:tmpl w:val="5D7D8BFA"/>
    <w:lvl w:ilvl="0" w:tentative="0">
      <w:start w:val="1"/>
      <w:numFmt w:val="chineseCounting"/>
      <w:suff w:val="nothing"/>
      <w:lvlText w:val="（%1）"/>
      <w:lvlJc w:val="left"/>
      <w:rPr>
        <w:rFonts w:hint="eastAsia"/>
      </w:rPr>
    </w:lvl>
  </w:abstractNum>
  <w:abstractNum w:abstractNumId="10">
    <w:nsid w:val="641AD1B3"/>
    <w:multiLevelType w:val="singleLevel"/>
    <w:tmpl w:val="641AD1B3"/>
    <w:lvl w:ilvl="0" w:tentative="0">
      <w:start w:val="1"/>
      <w:numFmt w:val="chineseCounting"/>
      <w:suff w:val="nothing"/>
      <w:lvlText w:val="（%1）"/>
      <w:lvlJc w:val="left"/>
      <w:pPr>
        <w:ind w:left="0" w:firstLine="420"/>
      </w:pPr>
      <w:rPr>
        <w:rFonts w:hint="eastAsia"/>
      </w:rPr>
    </w:lvl>
  </w:abstractNum>
  <w:abstractNum w:abstractNumId="11">
    <w:nsid w:val="74668F6B"/>
    <w:multiLevelType w:val="singleLevel"/>
    <w:tmpl w:val="74668F6B"/>
    <w:lvl w:ilvl="0" w:tentative="0">
      <w:start w:val="1"/>
      <w:numFmt w:val="decimal"/>
      <w:suff w:val="nothing"/>
      <w:lvlText w:val="%1．"/>
      <w:lvlJc w:val="left"/>
      <w:pPr>
        <w:ind w:left="0" w:firstLine="400"/>
      </w:pPr>
      <w:rPr>
        <w:rFonts w:hint="default"/>
      </w:rPr>
    </w:lvl>
  </w:abstractNum>
  <w:num w:numId="1">
    <w:abstractNumId w:val="4"/>
  </w:num>
  <w:num w:numId="2">
    <w:abstractNumId w:val="8"/>
  </w:num>
  <w:num w:numId="3">
    <w:abstractNumId w:val="7"/>
  </w:num>
  <w:num w:numId="4">
    <w:abstractNumId w:val="5"/>
  </w:num>
  <w:num w:numId="5">
    <w:abstractNumId w:val="2"/>
  </w:num>
  <w:num w:numId="6">
    <w:abstractNumId w:val="1"/>
  </w:num>
  <w:num w:numId="7">
    <w:abstractNumId w:val="11"/>
  </w:num>
  <w:num w:numId="8">
    <w:abstractNumId w:val="0"/>
  </w:num>
  <w:num w:numId="9">
    <w:abstractNumId w:val="1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hMDc4YTdjYWI3ZWU2NjMzMDNiNDBhMTM5M2VhYTMifQ=="/>
  </w:docVars>
  <w:rsids>
    <w:rsidRoot w:val="0008209F"/>
    <w:rsid w:val="000118A6"/>
    <w:rsid w:val="0008209F"/>
    <w:rsid w:val="000C0E00"/>
    <w:rsid w:val="000D5627"/>
    <w:rsid w:val="00142FB6"/>
    <w:rsid w:val="002E6EC1"/>
    <w:rsid w:val="003C4FCF"/>
    <w:rsid w:val="004929C4"/>
    <w:rsid w:val="00732E4C"/>
    <w:rsid w:val="008D2888"/>
    <w:rsid w:val="00923B36"/>
    <w:rsid w:val="009B15B3"/>
    <w:rsid w:val="00C87320"/>
    <w:rsid w:val="00D05481"/>
    <w:rsid w:val="00D27F79"/>
    <w:rsid w:val="00DF3B89"/>
    <w:rsid w:val="00EC0DDB"/>
    <w:rsid w:val="00ED094B"/>
    <w:rsid w:val="00F320BD"/>
    <w:rsid w:val="046947DC"/>
    <w:rsid w:val="04D70E27"/>
    <w:rsid w:val="099B78C3"/>
    <w:rsid w:val="09E00371"/>
    <w:rsid w:val="0A811314"/>
    <w:rsid w:val="0B854960"/>
    <w:rsid w:val="0BA108CA"/>
    <w:rsid w:val="0DE56194"/>
    <w:rsid w:val="0FBC76C1"/>
    <w:rsid w:val="10772338"/>
    <w:rsid w:val="11213B0D"/>
    <w:rsid w:val="11E04406"/>
    <w:rsid w:val="12C42CF1"/>
    <w:rsid w:val="1E6C2080"/>
    <w:rsid w:val="214C3BAE"/>
    <w:rsid w:val="26330C54"/>
    <w:rsid w:val="26437DD2"/>
    <w:rsid w:val="26EF3957"/>
    <w:rsid w:val="28C218E5"/>
    <w:rsid w:val="29D532D8"/>
    <w:rsid w:val="2A590E5B"/>
    <w:rsid w:val="2C4116C8"/>
    <w:rsid w:val="2D3C366E"/>
    <w:rsid w:val="2E4B3B26"/>
    <w:rsid w:val="2ED47B5B"/>
    <w:rsid w:val="309560A5"/>
    <w:rsid w:val="31770EA6"/>
    <w:rsid w:val="358A36F9"/>
    <w:rsid w:val="37CC5A57"/>
    <w:rsid w:val="382E309D"/>
    <w:rsid w:val="3BA65BED"/>
    <w:rsid w:val="3F413E34"/>
    <w:rsid w:val="40077F02"/>
    <w:rsid w:val="427A19F1"/>
    <w:rsid w:val="43337200"/>
    <w:rsid w:val="447552B1"/>
    <w:rsid w:val="46E13A45"/>
    <w:rsid w:val="47C307BC"/>
    <w:rsid w:val="47E78479"/>
    <w:rsid w:val="48D12782"/>
    <w:rsid w:val="4950414B"/>
    <w:rsid w:val="4A7F233D"/>
    <w:rsid w:val="4D97205E"/>
    <w:rsid w:val="4E485577"/>
    <w:rsid w:val="52624161"/>
    <w:rsid w:val="540A42E9"/>
    <w:rsid w:val="57306074"/>
    <w:rsid w:val="5E1F7056"/>
    <w:rsid w:val="5F78E8C3"/>
    <w:rsid w:val="5F9AC100"/>
    <w:rsid w:val="61A36B4E"/>
    <w:rsid w:val="61D373F6"/>
    <w:rsid w:val="62390CB6"/>
    <w:rsid w:val="62991233"/>
    <w:rsid w:val="6ACE0AEB"/>
    <w:rsid w:val="6B0B0157"/>
    <w:rsid w:val="6CFF6857"/>
    <w:rsid w:val="6DAB6F06"/>
    <w:rsid w:val="6E0A0303"/>
    <w:rsid w:val="6EA25C4F"/>
    <w:rsid w:val="6F347726"/>
    <w:rsid w:val="701E35FB"/>
    <w:rsid w:val="707A560C"/>
    <w:rsid w:val="70AE3E38"/>
    <w:rsid w:val="71C34D91"/>
    <w:rsid w:val="73526E9E"/>
    <w:rsid w:val="73F93C24"/>
    <w:rsid w:val="762A7AD4"/>
    <w:rsid w:val="7DBA173E"/>
    <w:rsid w:val="7DFF6B39"/>
    <w:rsid w:val="7E2D11A9"/>
    <w:rsid w:val="BDFD33AC"/>
    <w:rsid w:val="EBFBD657"/>
    <w:rsid w:val="F3BF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38"/>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47"/>
    <w:semiHidden/>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8"/>
    <w:semiHidden/>
    <w:unhideWhenUsed/>
    <w:qFormat/>
    <w:uiPriority w:val="0"/>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9"/>
    <w:semiHidden/>
    <w:unhideWhenUsed/>
    <w:qFormat/>
    <w:uiPriority w:val="0"/>
    <w:pPr>
      <w:keepNext/>
      <w:keepLines/>
      <w:spacing w:before="80" w:after="40"/>
      <w:outlineLvl w:val="4"/>
    </w:pPr>
    <w:rPr>
      <w:rFonts w:cstheme="majorBidi"/>
      <w:color w:val="2F5597" w:themeColor="accent1" w:themeShade="BF"/>
      <w:sz w:val="24"/>
    </w:rPr>
  </w:style>
  <w:style w:type="paragraph" w:styleId="8">
    <w:name w:val="heading 6"/>
    <w:basedOn w:val="1"/>
    <w:next w:val="1"/>
    <w:link w:val="50"/>
    <w:semiHidden/>
    <w:unhideWhenUsed/>
    <w:qFormat/>
    <w:uiPriority w:val="0"/>
    <w:pPr>
      <w:keepNext/>
      <w:keepLines/>
      <w:spacing w:before="40"/>
      <w:outlineLvl w:val="5"/>
    </w:pPr>
    <w:rPr>
      <w:rFonts w:cstheme="majorBidi"/>
      <w:b/>
      <w:bCs/>
      <w:color w:val="2F5597" w:themeColor="accent1" w:themeShade="BF"/>
    </w:rPr>
  </w:style>
  <w:style w:type="paragraph" w:styleId="9">
    <w:name w:val="heading 7"/>
    <w:basedOn w:val="1"/>
    <w:next w:val="1"/>
    <w:link w:val="51"/>
    <w:semiHidden/>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52"/>
    <w:semiHidden/>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53"/>
    <w:semiHidden/>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index 8"/>
    <w:basedOn w:val="1"/>
    <w:next w:val="1"/>
    <w:qFormat/>
    <w:uiPriority w:val="0"/>
    <w:pPr>
      <w:ind w:left="1400" w:leftChars="1400"/>
    </w:pPr>
  </w:style>
  <w:style w:type="paragraph" w:styleId="13">
    <w:name w:val="List Bullet"/>
    <w:basedOn w:val="1"/>
    <w:qFormat/>
    <w:uiPriority w:val="0"/>
    <w:pPr>
      <w:numPr>
        <w:ilvl w:val="0"/>
        <w:numId w:val="1"/>
      </w:numPr>
      <w:contextualSpacing/>
    </w:pPr>
  </w:style>
  <w:style w:type="paragraph" w:styleId="14">
    <w:name w:val="annotation text"/>
    <w:basedOn w:val="1"/>
    <w:semiHidden/>
    <w:unhideWhenUsed/>
    <w:qFormat/>
    <w:uiPriority w:val="99"/>
    <w:pPr>
      <w:jc w:val="left"/>
    </w:pPr>
  </w:style>
  <w:style w:type="paragraph" w:styleId="15">
    <w:name w:val="Salutation"/>
    <w:basedOn w:val="1"/>
    <w:next w:val="1"/>
    <w:link w:val="43"/>
    <w:qFormat/>
    <w:uiPriority w:val="0"/>
    <w:rPr>
      <w:rFonts w:ascii="仿宋" w:hAnsi="仿宋" w:eastAsia="仿宋" w:cs="Times New Roman"/>
      <w:sz w:val="32"/>
    </w:rPr>
  </w:style>
  <w:style w:type="paragraph" w:styleId="16">
    <w:name w:val="Body Text"/>
    <w:basedOn w:val="1"/>
    <w:link w:val="42"/>
    <w:qFormat/>
    <w:uiPriority w:val="0"/>
    <w:pPr>
      <w:widowControl/>
      <w:jc w:val="left"/>
    </w:pPr>
    <w:rPr>
      <w:w w:val="90"/>
    </w:rPr>
  </w:style>
  <w:style w:type="paragraph" w:styleId="17">
    <w:name w:val="Plain Text"/>
    <w:basedOn w:val="1"/>
    <w:next w:val="12"/>
    <w:unhideWhenUsed/>
    <w:qFormat/>
    <w:uiPriority w:val="99"/>
    <w:rPr>
      <w:rFonts w:ascii="宋体" w:cs="Courier New"/>
      <w:szCs w:val="21"/>
    </w:rPr>
  </w:style>
  <w:style w:type="paragraph" w:styleId="18">
    <w:name w:val="Balloon Text"/>
    <w:basedOn w:val="1"/>
    <w:link w:val="45"/>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55"/>
    <w:qFormat/>
    <w:uiPriority w:val="0"/>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footnote text"/>
    <w:basedOn w:val="1"/>
    <w:link w:val="39"/>
    <w:qFormat/>
    <w:uiPriority w:val="0"/>
    <w:pPr>
      <w:snapToGrid w:val="0"/>
      <w:jc w:val="left"/>
    </w:pPr>
    <w:rPr>
      <w:sz w:val="18"/>
      <w:szCs w:val="18"/>
    </w:rPr>
  </w:style>
  <w:style w:type="paragraph" w:styleId="23">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24">
    <w:name w:val="Normal (Web)"/>
    <w:basedOn w:val="1"/>
    <w:unhideWhenUsed/>
    <w:qFormat/>
    <w:uiPriority w:val="99"/>
    <w:pPr>
      <w:widowControl/>
      <w:spacing w:before="100" w:beforeAutospacing="1" w:after="100" w:afterAutospacing="1"/>
      <w:jc w:val="left"/>
    </w:pPr>
    <w:rPr>
      <w:rFonts w:ascii="Times New Roman" w:hAnsi="Times New Roman" w:eastAsia="宋体" w:cs="Times New Roman"/>
      <w:kern w:val="0"/>
      <w:sz w:val="24"/>
    </w:rPr>
  </w:style>
  <w:style w:type="paragraph" w:styleId="25">
    <w:name w:val="Title"/>
    <w:basedOn w:val="1"/>
    <w:next w:val="1"/>
    <w:link w:val="54"/>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26">
    <w:name w:val="Body Text First Indent"/>
    <w:basedOn w:val="16"/>
    <w:link w:val="44"/>
    <w:qFormat/>
    <w:uiPriority w:val="0"/>
    <w:pPr>
      <w:ind w:firstLine="420" w:firstLineChars="1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Emphasis"/>
    <w:basedOn w:val="29"/>
    <w:qFormat/>
    <w:uiPriority w:val="0"/>
    <w:rPr>
      <w:i/>
    </w:rPr>
  </w:style>
  <w:style w:type="character" w:styleId="32">
    <w:name w:val="Hyperlink"/>
    <w:basedOn w:val="29"/>
    <w:qFormat/>
    <w:uiPriority w:val="0"/>
    <w:rPr>
      <w:color w:val="0000FF"/>
      <w:u w:val="single"/>
    </w:rPr>
  </w:style>
  <w:style w:type="character" w:styleId="33">
    <w:name w:val="footnote reference"/>
    <w:qFormat/>
    <w:uiPriority w:val="0"/>
    <w:rPr>
      <w:vertAlign w:val="superscript"/>
    </w:rPr>
  </w:style>
  <w:style w:type="character" w:customStyle="1" w:styleId="34">
    <w:name w:val="称呼 Char1"/>
    <w:basedOn w:val="29"/>
    <w:qFormat/>
    <w:uiPriority w:val="0"/>
    <w:rPr>
      <w:rFonts w:asciiTheme="minorHAnsi" w:hAnsiTheme="minorHAnsi" w:eastAsiaTheme="minorEastAsia" w:cstheme="minorBidi"/>
      <w:kern w:val="2"/>
      <w:sz w:val="21"/>
      <w:szCs w:val="24"/>
    </w:rPr>
  </w:style>
  <w:style w:type="paragraph" w:customStyle="1" w:styleId="35">
    <w:name w:val="常用正文"/>
    <w:basedOn w:val="1"/>
    <w:qFormat/>
    <w:uiPriority w:val="0"/>
    <w:pPr>
      <w:spacing w:line="360" w:lineRule="auto"/>
    </w:pPr>
    <w:rPr>
      <w:rFonts w:ascii="Times New Roman" w:hAnsi="Times New Roman" w:eastAsia="宋体"/>
      <w:sz w:val="24"/>
    </w:rPr>
  </w:style>
  <w:style w:type="paragraph" w:customStyle="1" w:styleId="36">
    <w:name w:val="页脚1"/>
    <w:basedOn w:val="1"/>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37">
    <w:name w:val="标题 1 字符"/>
    <w:basedOn w:val="29"/>
    <w:link w:val="2"/>
    <w:qFormat/>
    <w:uiPriority w:val="0"/>
    <w:rPr>
      <w:rFonts w:asciiTheme="minorHAnsi" w:hAnsiTheme="minorHAnsi" w:eastAsiaTheme="minorEastAsia" w:cstheme="minorBidi"/>
      <w:b/>
      <w:bCs/>
      <w:kern w:val="44"/>
      <w:sz w:val="44"/>
      <w:szCs w:val="44"/>
    </w:rPr>
  </w:style>
  <w:style w:type="character" w:customStyle="1" w:styleId="38">
    <w:name w:val="标题 2 字符"/>
    <w:basedOn w:val="29"/>
    <w:link w:val="3"/>
    <w:qFormat/>
    <w:uiPriority w:val="0"/>
    <w:rPr>
      <w:rFonts w:ascii="Arial" w:hAnsi="Arial" w:eastAsia="黑体"/>
      <w:b/>
      <w:bCs/>
      <w:kern w:val="2"/>
      <w:sz w:val="32"/>
      <w:szCs w:val="32"/>
    </w:rPr>
  </w:style>
  <w:style w:type="character" w:customStyle="1" w:styleId="39">
    <w:name w:val="脚注文本 字符"/>
    <w:basedOn w:val="29"/>
    <w:link w:val="22"/>
    <w:qFormat/>
    <w:uiPriority w:val="0"/>
    <w:rPr>
      <w:rFonts w:asciiTheme="minorHAnsi" w:hAnsiTheme="minorHAnsi" w:eastAsiaTheme="minorEastAsia" w:cstheme="minorBidi"/>
      <w:kern w:val="2"/>
      <w:sz w:val="18"/>
      <w:szCs w:val="18"/>
    </w:rPr>
  </w:style>
  <w:style w:type="character" w:customStyle="1" w:styleId="40">
    <w:name w:val="页眉 字符"/>
    <w:basedOn w:val="29"/>
    <w:link w:val="20"/>
    <w:qFormat/>
    <w:uiPriority w:val="0"/>
    <w:rPr>
      <w:rFonts w:asciiTheme="minorHAnsi" w:hAnsiTheme="minorHAnsi" w:eastAsiaTheme="minorEastAsia" w:cstheme="minorBidi"/>
      <w:kern w:val="2"/>
      <w:sz w:val="18"/>
      <w:szCs w:val="18"/>
    </w:rPr>
  </w:style>
  <w:style w:type="character" w:customStyle="1" w:styleId="41">
    <w:name w:val="页脚 字符"/>
    <w:basedOn w:val="29"/>
    <w:link w:val="19"/>
    <w:qFormat/>
    <w:uiPriority w:val="99"/>
    <w:rPr>
      <w:rFonts w:asciiTheme="minorHAnsi" w:hAnsiTheme="minorHAnsi" w:eastAsiaTheme="minorEastAsia" w:cstheme="minorBidi"/>
      <w:kern w:val="2"/>
      <w:sz w:val="18"/>
      <w:szCs w:val="18"/>
    </w:rPr>
  </w:style>
  <w:style w:type="character" w:customStyle="1" w:styleId="42">
    <w:name w:val="正文文本 字符"/>
    <w:basedOn w:val="29"/>
    <w:link w:val="16"/>
    <w:qFormat/>
    <w:uiPriority w:val="0"/>
    <w:rPr>
      <w:rFonts w:asciiTheme="minorHAnsi" w:hAnsiTheme="minorHAnsi" w:eastAsiaTheme="minorEastAsia" w:cstheme="minorBidi"/>
      <w:w w:val="90"/>
      <w:kern w:val="2"/>
      <w:sz w:val="21"/>
      <w:szCs w:val="24"/>
    </w:rPr>
  </w:style>
  <w:style w:type="character" w:customStyle="1" w:styleId="43">
    <w:name w:val="称呼 字符"/>
    <w:link w:val="15"/>
    <w:qFormat/>
    <w:uiPriority w:val="0"/>
    <w:rPr>
      <w:rFonts w:ascii="仿宋" w:hAnsi="仿宋" w:eastAsia="仿宋"/>
      <w:kern w:val="2"/>
      <w:sz w:val="32"/>
      <w:szCs w:val="24"/>
    </w:rPr>
  </w:style>
  <w:style w:type="character" w:customStyle="1" w:styleId="44">
    <w:name w:val="正文文本首行缩进 字符"/>
    <w:basedOn w:val="42"/>
    <w:link w:val="26"/>
    <w:qFormat/>
    <w:uiPriority w:val="0"/>
    <w:rPr>
      <w:rFonts w:asciiTheme="minorHAnsi" w:hAnsiTheme="minorHAnsi" w:eastAsiaTheme="minorEastAsia" w:cstheme="minorBidi"/>
      <w:w w:val="90"/>
      <w:kern w:val="2"/>
      <w:sz w:val="21"/>
      <w:szCs w:val="24"/>
    </w:rPr>
  </w:style>
  <w:style w:type="character" w:customStyle="1" w:styleId="45">
    <w:name w:val="批注框文本 字符"/>
    <w:basedOn w:val="29"/>
    <w:link w:val="18"/>
    <w:qFormat/>
    <w:uiPriority w:val="0"/>
    <w:rPr>
      <w:rFonts w:asciiTheme="minorHAnsi" w:hAnsiTheme="minorHAnsi" w:eastAsiaTheme="minorEastAsia" w:cstheme="minorBidi"/>
      <w:kern w:val="2"/>
      <w:sz w:val="18"/>
      <w:szCs w:val="18"/>
    </w:rPr>
  </w:style>
  <w:style w:type="paragraph" w:styleId="46">
    <w:name w:val="List Paragraph"/>
    <w:basedOn w:val="1"/>
    <w:qFormat/>
    <w:uiPriority w:val="99"/>
    <w:pPr>
      <w:ind w:firstLine="420" w:firstLineChars="200"/>
    </w:pPr>
  </w:style>
  <w:style w:type="character" w:customStyle="1" w:styleId="47">
    <w:name w:val="标题 3 字符"/>
    <w:basedOn w:val="29"/>
    <w:link w:val="5"/>
    <w:semiHidden/>
    <w:qFormat/>
    <w:uiPriority w:val="0"/>
    <w:rPr>
      <w:rFonts w:asciiTheme="majorHAnsi" w:hAnsiTheme="majorHAnsi" w:eastAsiaTheme="majorEastAsia" w:cstheme="majorBidi"/>
      <w:color w:val="2F5597" w:themeColor="accent1" w:themeShade="BF"/>
      <w:kern w:val="2"/>
      <w:sz w:val="32"/>
      <w:szCs w:val="32"/>
    </w:rPr>
  </w:style>
  <w:style w:type="character" w:customStyle="1" w:styleId="48">
    <w:name w:val="标题 4 字符"/>
    <w:basedOn w:val="29"/>
    <w:link w:val="6"/>
    <w:semiHidden/>
    <w:qFormat/>
    <w:uiPriority w:val="0"/>
    <w:rPr>
      <w:rFonts w:asciiTheme="minorHAnsi" w:hAnsiTheme="minorHAnsi" w:eastAsiaTheme="minorEastAsia" w:cstheme="majorBidi"/>
      <w:color w:val="2F5597" w:themeColor="accent1" w:themeShade="BF"/>
      <w:kern w:val="2"/>
      <w:sz w:val="28"/>
      <w:szCs w:val="28"/>
    </w:rPr>
  </w:style>
  <w:style w:type="character" w:customStyle="1" w:styleId="49">
    <w:name w:val="标题 5 字符"/>
    <w:basedOn w:val="29"/>
    <w:link w:val="7"/>
    <w:semiHidden/>
    <w:qFormat/>
    <w:uiPriority w:val="0"/>
    <w:rPr>
      <w:rFonts w:asciiTheme="minorHAnsi" w:hAnsiTheme="minorHAnsi" w:eastAsiaTheme="minorEastAsia" w:cstheme="majorBidi"/>
      <w:color w:val="2F5597" w:themeColor="accent1" w:themeShade="BF"/>
      <w:kern w:val="2"/>
      <w:sz w:val="24"/>
      <w:szCs w:val="24"/>
    </w:rPr>
  </w:style>
  <w:style w:type="character" w:customStyle="1" w:styleId="50">
    <w:name w:val="标题 6 字符"/>
    <w:basedOn w:val="29"/>
    <w:link w:val="8"/>
    <w:semiHidden/>
    <w:qFormat/>
    <w:uiPriority w:val="0"/>
    <w:rPr>
      <w:rFonts w:asciiTheme="minorHAnsi" w:hAnsiTheme="minorHAnsi" w:eastAsiaTheme="minorEastAsia" w:cstheme="majorBidi"/>
      <w:b/>
      <w:bCs/>
      <w:color w:val="2F5597" w:themeColor="accent1" w:themeShade="BF"/>
      <w:kern w:val="2"/>
      <w:sz w:val="21"/>
      <w:szCs w:val="24"/>
    </w:rPr>
  </w:style>
  <w:style w:type="character" w:customStyle="1" w:styleId="51">
    <w:name w:val="标题 7 字符"/>
    <w:basedOn w:val="29"/>
    <w:link w:val="9"/>
    <w:semiHidden/>
    <w:qFormat/>
    <w:uiPriority w:val="0"/>
    <w:rPr>
      <w:rFonts w:asciiTheme="minorHAnsi" w:hAnsiTheme="minorHAnsi" w:eastAsiaTheme="minorEastAsia" w:cstheme="majorBidi"/>
      <w:b/>
      <w:bCs/>
      <w:color w:val="595959" w:themeColor="text1" w:themeTint="A6"/>
      <w:kern w:val="2"/>
      <w:sz w:val="21"/>
      <w:szCs w:val="24"/>
      <w14:textFill>
        <w14:solidFill>
          <w14:schemeClr w14:val="tx1">
            <w14:lumMod w14:val="65000"/>
            <w14:lumOff w14:val="35000"/>
          </w14:schemeClr>
        </w14:solidFill>
      </w14:textFill>
    </w:rPr>
  </w:style>
  <w:style w:type="character" w:customStyle="1" w:styleId="52">
    <w:name w:val="标题 8 字符"/>
    <w:basedOn w:val="29"/>
    <w:link w:val="10"/>
    <w:semiHidden/>
    <w:qFormat/>
    <w:uiPriority w:val="0"/>
    <w:rPr>
      <w:rFonts w:asciiTheme="minorHAnsi" w:hAnsiTheme="minorHAnsi" w:eastAsiaTheme="min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53">
    <w:name w:val="标题 9 字符"/>
    <w:basedOn w:val="29"/>
    <w:link w:val="11"/>
    <w:semiHidden/>
    <w:qFormat/>
    <w:uiPriority w:val="0"/>
    <w:rPr>
      <w:rFonts w:asciiTheme="minorHAnsi" w:hAnsiTheme="minorHAnsi" w:eastAsiaTheme="majorEastAsia" w:cstheme="majorBidi"/>
      <w:color w:val="595959" w:themeColor="text1" w:themeTint="A6"/>
      <w:kern w:val="2"/>
      <w:sz w:val="21"/>
      <w:szCs w:val="24"/>
      <w14:textFill>
        <w14:solidFill>
          <w14:schemeClr w14:val="tx1">
            <w14:lumMod w14:val="65000"/>
            <w14:lumOff w14:val="35000"/>
          </w14:schemeClr>
        </w14:solidFill>
      </w14:textFill>
    </w:rPr>
  </w:style>
  <w:style w:type="character" w:customStyle="1" w:styleId="54">
    <w:name w:val="标题 字符"/>
    <w:basedOn w:val="29"/>
    <w:link w:val="25"/>
    <w:qFormat/>
    <w:uiPriority w:val="0"/>
    <w:rPr>
      <w:rFonts w:asciiTheme="majorHAnsi" w:hAnsiTheme="majorHAnsi" w:eastAsiaTheme="majorEastAsia" w:cstheme="majorBidi"/>
      <w:spacing w:val="-10"/>
      <w:kern w:val="28"/>
      <w:sz w:val="56"/>
      <w:szCs w:val="56"/>
    </w:rPr>
  </w:style>
  <w:style w:type="character" w:customStyle="1" w:styleId="55">
    <w:name w:val="副标题 字符"/>
    <w:basedOn w:val="29"/>
    <w:link w:val="21"/>
    <w:qFormat/>
    <w:uiPriority w:val="0"/>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56">
    <w:name w:val="Quote"/>
    <w:basedOn w:val="1"/>
    <w:next w:val="1"/>
    <w:link w:val="5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7">
    <w:name w:val="引用 字符"/>
    <w:basedOn w:val="29"/>
    <w:link w:val="56"/>
    <w:qFormat/>
    <w:uiPriority w:val="29"/>
    <w:rPr>
      <w:rFonts w:asciiTheme="minorHAnsi" w:hAnsiTheme="minorHAnsi" w:eastAsiaTheme="minorEastAsia" w:cstheme="minorBidi"/>
      <w:i/>
      <w:iCs/>
      <w:color w:val="404040" w:themeColor="text1" w:themeTint="BF"/>
      <w:kern w:val="2"/>
      <w:sz w:val="21"/>
      <w:szCs w:val="24"/>
      <w14:textFill>
        <w14:solidFill>
          <w14:schemeClr w14:val="tx1">
            <w14:lumMod w14:val="75000"/>
            <w14:lumOff w14:val="25000"/>
          </w14:schemeClr>
        </w14:solidFill>
      </w14:textFill>
    </w:rPr>
  </w:style>
  <w:style w:type="character" w:customStyle="1" w:styleId="58">
    <w:name w:val="明显强调1"/>
    <w:basedOn w:val="29"/>
    <w:qFormat/>
    <w:uiPriority w:val="21"/>
    <w:rPr>
      <w:i/>
      <w:iCs/>
      <w:color w:val="2F5597" w:themeColor="accent1" w:themeShade="BF"/>
    </w:rPr>
  </w:style>
  <w:style w:type="paragraph" w:styleId="59">
    <w:name w:val="Intense Quote"/>
    <w:basedOn w:val="1"/>
    <w:next w:val="1"/>
    <w:link w:val="6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0">
    <w:name w:val="明显引用 字符"/>
    <w:basedOn w:val="29"/>
    <w:link w:val="59"/>
    <w:qFormat/>
    <w:uiPriority w:val="30"/>
    <w:rPr>
      <w:rFonts w:asciiTheme="minorHAnsi" w:hAnsiTheme="minorHAnsi" w:eastAsiaTheme="minorEastAsia" w:cstheme="minorBidi"/>
      <w:i/>
      <w:iCs/>
      <w:color w:val="2F5597" w:themeColor="accent1" w:themeShade="BF"/>
      <w:kern w:val="2"/>
      <w:sz w:val="21"/>
      <w:szCs w:val="24"/>
    </w:rPr>
  </w:style>
  <w:style w:type="character" w:customStyle="1" w:styleId="61">
    <w:name w:val="明显参考1"/>
    <w:basedOn w:val="29"/>
    <w:qFormat/>
    <w:uiPriority w:val="32"/>
    <w:rPr>
      <w:b/>
      <w:bCs/>
      <w:smallCaps/>
      <w:color w:val="2F5597" w:themeColor="accent1" w:themeShade="BF"/>
      <w:spacing w:val="5"/>
    </w:rPr>
  </w:style>
  <w:style w:type="paragraph" w:customStyle="1" w:styleId="62">
    <w:name w:val="A1一级标题"/>
    <w:basedOn w:val="1"/>
    <w:qFormat/>
    <w:uiPriority w:val="0"/>
    <w:pPr>
      <w:tabs>
        <w:tab w:val="left" w:pos="851"/>
      </w:tabs>
      <w:spacing w:beforeLines="50" w:afterLines="50" w:line="360" w:lineRule="auto"/>
      <w:jc w:val="left"/>
      <w:outlineLvl w:val="0"/>
    </w:pPr>
    <w:rPr>
      <w:rFonts w:eastAsia="华文中宋"/>
      <w:b/>
      <w:sz w:val="24"/>
    </w:rPr>
  </w:style>
  <w:style w:type="paragraph" w:customStyle="1" w:styleId="63">
    <w:name w:val="05自定义正文"/>
    <w:basedOn w:val="1"/>
    <w:qFormat/>
    <w:uiPriority w:val="0"/>
    <w:pPr>
      <w:spacing w:beforeLines="50" w:afterLines="50" w:line="360" w:lineRule="auto"/>
    </w:pPr>
    <w:rPr>
      <w:sz w:val="24"/>
    </w:rPr>
  </w:style>
  <w:style w:type="paragraph" w:customStyle="1" w:styleId="6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44546A"/>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10989</Words>
  <Characters>11133</Characters>
  <Lines>86</Lines>
  <Paragraphs>24</Paragraphs>
  <TotalTime>1</TotalTime>
  <ScaleCrop>false</ScaleCrop>
  <LinksUpToDate>false</LinksUpToDate>
  <CharactersWithSpaces>11526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2025-03-07T00:28:00Z</dcterms:created>
  <dc:creator>haojie yan</dc:creator>
  <cp:lastModifiedBy>huawei</cp:lastModifiedBy>
  <cp:lastPrinted>2025-07-18T23:50:00Z</cp:lastPrinted>
  <dcterms:modified xsi:type="dcterms:W3CDTF">2025-07-18T18:08:37Z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C92F27FD2211476BB65FAC725906E802_13</vt:lpwstr>
  </property>
  <property fmtid="{D5CDD505-2E9C-101B-9397-08002B2CF9AE}" pid="4" name="KSOTemplateDocerSaveRecord">
    <vt:lpwstr>eyJoZGlkIjoiNTdiNTZjNTNjYjFlMjczZjI0NzdlMjY0MTA2NzI0NzIiLCJ1c2VySWQiOiI2NTI2OTg5NDYifQ==</vt:lpwstr>
  </property>
</Properties>
</file>