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71F1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4：分项报价单</w:t>
      </w:r>
    </w:p>
    <w:tbl>
      <w:tblPr>
        <w:tblStyle w:val="7"/>
        <w:tblW w:w="15057" w:type="dxa"/>
        <w:tblInd w:w="-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50"/>
        <w:gridCol w:w="1018"/>
        <w:gridCol w:w="1305"/>
        <w:gridCol w:w="1320"/>
        <w:gridCol w:w="1305"/>
        <w:gridCol w:w="8219"/>
      </w:tblGrid>
      <w:tr w14:paraId="1481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57" w:type="dxa"/>
            <w:gridSpan w:val="7"/>
            <w:noWrap w:val="0"/>
            <w:vAlign w:val="center"/>
          </w:tcPr>
          <w:p w14:paraId="68EA278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vertAlign w:val="baseline"/>
                <w:lang w:val="en-US" w:eastAsia="zh-CN"/>
              </w:rPr>
              <w:t>罗山产业集聚中心营销中心案场物业服务报价单</w:t>
            </w:r>
          </w:p>
        </w:tc>
      </w:tr>
      <w:tr w14:paraId="5154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4315D9D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62B9F8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 w14:paraId="2A54AE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工作制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06AE1F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人数/次数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DB128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报价（含税）</w:t>
            </w:r>
          </w:p>
        </w:tc>
        <w:tc>
          <w:tcPr>
            <w:tcW w:w="8219" w:type="dxa"/>
            <w:vMerge w:val="restart"/>
            <w:noWrap w:val="0"/>
            <w:vAlign w:val="center"/>
          </w:tcPr>
          <w:p w14:paraId="772FB4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E0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D3F47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E3AB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 w14:paraId="05EBD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2338EF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DF91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highlight w:val="none"/>
                <w:vertAlign w:val="baseline"/>
                <w:lang w:val="en-US" w:eastAsia="zh-CN"/>
              </w:rPr>
              <w:t>服务月费/单价</w:t>
            </w:r>
          </w:p>
        </w:tc>
        <w:tc>
          <w:tcPr>
            <w:tcW w:w="1305" w:type="dxa"/>
            <w:noWrap w:val="0"/>
            <w:vAlign w:val="center"/>
          </w:tcPr>
          <w:p w14:paraId="6B5510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highlight w:val="none"/>
                <w:vertAlign w:val="baseline"/>
                <w:lang w:val="en-US" w:eastAsia="zh-CN"/>
              </w:rPr>
              <w:t>服务年费</w:t>
            </w:r>
          </w:p>
        </w:tc>
        <w:tc>
          <w:tcPr>
            <w:tcW w:w="8219" w:type="dxa"/>
            <w:vMerge w:val="continue"/>
            <w:noWrap w:val="0"/>
            <w:vAlign w:val="center"/>
          </w:tcPr>
          <w:p w14:paraId="53340B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9F5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 w14:paraId="297E49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0750D9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统筹管理（兼讲解）</w:t>
            </w:r>
          </w:p>
        </w:tc>
        <w:tc>
          <w:tcPr>
            <w:tcW w:w="1018" w:type="dxa"/>
            <w:noWrap w:val="0"/>
            <w:vAlign w:val="center"/>
          </w:tcPr>
          <w:p w14:paraId="4846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工作日8小时</w:t>
            </w:r>
          </w:p>
        </w:tc>
        <w:tc>
          <w:tcPr>
            <w:tcW w:w="1305" w:type="dxa"/>
            <w:noWrap w:val="0"/>
            <w:vAlign w:val="center"/>
          </w:tcPr>
          <w:p w14:paraId="6F02B4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320" w:type="dxa"/>
            <w:noWrap w:val="0"/>
            <w:vAlign w:val="center"/>
          </w:tcPr>
          <w:p w14:paraId="30975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ADAC1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40BF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保证案场整体服务质量，统筹管理案场物业团队。相关管理人员应具备大专以上学历，形象气质佳，有2-5年相关工作经验及1年以上团队管理经验。熟悉业务流程与行业知识，沟通协调能力强，应变能力突出，能妥善处理突发状况，同时需要兼任项目讲解职能。</w:t>
            </w:r>
          </w:p>
        </w:tc>
      </w:tr>
      <w:tr w14:paraId="6045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0" w:type="dxa"/>
            <w:noWrap w:val="0"/>
            <w:vAlign w:val="center"/>
          </w:tcPr>
          <w:p w14:paraId="2AE5C3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6C91F0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案场讲解</w:t>
            </w:r>
          </w:p>
        </w:tc>
        <w:tc>
          <w:tcPr>
            <w:tcW w:w="1018" w:type="dxa"/>
            <w:noWrap w:val="0"/>
            <w:vAlign w:val="center"/>
          </w:tcPr>
          <w:p w14:paraId="04F9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工作日8小时</w:t>
            </w:r>
          </w:p>
        </w:tc>
        <w:tc>
          <w:tcPr>
            <w:tcW w:w="1305" w:type="dxa"/>
            <w:noWrap w:val="0"/>
            <w:vAlign w:val="center"/>
          </w:tcPr>
          <w:p w14:paraId="605639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320" w:type="dxa"/>
            <w:noWrap w:val="0"/>
            <w:vAlign w:val="center"/>
          </w:tcPr>
          <w:p w14:paraId="21AC38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07E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43A1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接待引导访客、登记信息、维护大厅秩序，并协助操作电梯、提供迎送服务，确保客户体验流畅专业；负责生动准确地介绍展示内容，为访客提供专业讲解服务，确保信息传递清晰且富有吸引力。服务人员应具备大专及以上学历，形象气质佳，具备较强的服务意识和沟通能力。</w:t>
            </w:r>
          </w:p>
        </w:tc>
      </w:tr>
      <w:tr w14:paraId="3434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40" w:type="dxa"/>
            <w:noWrap w:val="0"/>
            <w:vAlign w:val="center"/>
          </w:tcPr>
          <w:p w14:paraId="3E1C21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295F20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水吧接待</w:t>
            </w:r>
          </w:p>
        </w:tc>
        <w:tc>
          <w:tcPr>
            <w:tcW w:w="1018" w:type="dxa"/>
            <w:noWrap w:val="0"/>
            <w:vAlign w:val="center"/>
          </w:tcPr>
          <w:p w14:paraId="214A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工作日8小时</w:t>
            </w:r>
          </w:p>
        </w:tc>
        <w:tc>
          <w:tcPr>
            <w:tcW w:w="1305" w:type="dxa"/>
            <w:noWrap w:val="0"/>
            <w:vAlign w:val="center"/>
          </w:tcPr>
          <w:p w14:paraId="6C202B5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1320" w:type="dxa"/>
            <w:noWrap w:val="0"/>
            <w:vAlign w:val="center"/>
          </w:tcPr>
          <w:p w14:paraId="7BD6F6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24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3A8A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负责饮品制作、客户接待及环境维护，为来访客户提供舒适的服务体验，同时辅助营销活动的开展。服务人员应具备形象气质佳，岗位技能好，执行力强，做事细心负责，情绪稳定、有良好的职业道德及素质。</w:t>
            </w:r>
          </w:p>
        </w:tc>
      </w:tr>
      <w:tr w14:paraId="0568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40" w:type="dxa"/>
            <w:noWrap w:val="0"/>
            <w:vAlign w:val="center"/>
          </w:tcPr>
          <w:p w14:paraId="1D8E83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1AB8E8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安保及车辆管理</w:t>
            </w:r>
          </w:p>
        </w:tc>
        <w:tc>
          <w:tcPr>
            <w:tcW w:w="1018" w:type="dxa"/>
            <w:noWrap w:val="0"/>
            <w:vAlign w:val="center"/>
          </w:tcPr>
          <w:p w14:paraId="0D62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全天候24小时</w:t>
            </w:r>
          </w:p>
        </w:tc>
        <w:tc>
          <w:tcPr>
            <w:tcW w:w="1305" w:type="dxa"/>
            <w:noWrap w:val="0"/>
            <w:vAlign w:val="center"/>
          </w:tcPr>
          <w:p w14:paraId="2A7531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320" w:type="dxa"/>
            <w:noWrap w:val="0"/>
            <w:vAlign w:val="center"/>
          </w:tcPr>
          <w:p w14:paraId="1A1B6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F083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65D8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核查进出车辆权限、指挥交通秩序、确保安全通行，并做好登记及应急事件处理，保障地库高效有序运转；定时巡查责任区域，维护秩序、排查安全隐患、处理突发事件，确保管辖范围内的安全与正常运行。服务人员应为男性，具备五官端正，身体健康，无明显缺陷，无犯罪前科；从事安保工作六月以上，工作表现良好，普通话流利.具有较强的服务意识，负有责任心，有案场服务经验及退伍军人优先考虑;情绪稳定、有良好的职业道德和素质。</w:t>
            </w:r>
          </w:p>
        </w:tc>
      </w:tr>
      <w:tr w14:paraId="6EA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40" w:type="dxa"/>
            <w:noWrap w:val="0"/>
            <w:vAlign w:val="center"/>
          </w:tcPr>
          <w:p w14:paraId="0486DA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93E6C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清洁管理</w:t>
            </w:r>
          </w:p>
        </w:tc>
        <w:tc>
          <w:tcPr>
            <w:tcW w:w="1018" w:type="dxa"/>
            <w:noWrap w:val="0"/>
            <w:vAlign w:val="center"/>
          </w:tcPr>
          <w:p w14:paraId="146D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工作日8小时</w:t>
            </w:r>
          </w:p>
        </w:tc>
        <w:tc>
          <w:tcPr>
            <w:tcW w:w="1305" w:type="dxa"/>
            <w:noWrap w:val="0"/>
            <w:vAlign w:val="center"/>
          </w:tcPr>
          <w:p w14:paraId="4EB8A2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320" w:type="dxa"/>
            <w:noWrap w:val="0"/>
            <w:vAlign w:val="center"/>
          </w:tcPr>
          <w:p w14:paraId="1A9EA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E9C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1FED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负责责任区域的清洁维护、垃圾清运及消毒工作，确保环境整洁卫生，符合健康安全标准。服务人员应具备2年以上专业公司专项清洁业务；熟悉各专项清洁业务，了解行业标准。</w:t>
            </w:r>
          </w:p>
        </w:tc>
      </w:tr>
      <w:tr w14:paraId="33A1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0" w:type="dxa"/>
            <w:noWrap w:val="0"/>
            <w:vAlign w:val="center"/>
          </w:tcPr>
          <w:p w14:paraId="21448A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993" w:type="dxa"/>
            <w:gridSpan w:val="4"/>
            <w:noWrap w:val="0"/>
            <w:vAlign w:val="center"/>
          </w:tcPr>
          <w:p w14:paraId="61C31A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案场服务费小计</w:t>
            </w:r>
          </w:p>
        </w:tc>
        <w:tc>
          <w:tcPr>
            <w:tcW w:w="1305" w:type="dxa"/>
            <w:noWrap w:val="0"/>
            <w:vAlign w:val="center"/>
          </w:tcPr>
          <w:p w14:paraId="3BB4C8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0794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276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0" w:type="dxa"/>
            <w:noWrap w:val="0"/>
            <w:vAlign w:val="center"/>
          </w:tcPr>
          <w:p w14:paraId="6E0874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102884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专项费用</w:t>
            </w:r>
          </w:p>
        </w:tc>
        <w:tc>
          <w:tcPr>
            <w:tcW w:w="1018" w:type="dxa"/>
            <w:noWrap w:val="0"/>
            <w:vAlign w:val="center"/>
          </w:tcPr>
          <w:p w14:paraId="3C3872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消  杀</w:t>
            </w:r>
          </w:p>
        </w:tc>
        <w:tc>
          <w:tcPr>
            <w:tcW w:w="1305" w:type="dxa"/>
            <w:noWrap w:val="0"/>
            <w:vAlign w:val="center"/>
          </w:tcPr>
          <w:p w14:paraId="23E731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一月四次</w:t>
            </w:r>
          </w:p>
        </w:tc>
        <w:tc>
          <w:tcPr>
            <w:tcW w:w="1320" w:type="dxa"/>
            <w:noWrap w:val="0"/>
            <w:vAlign w:val="center"/>
          </w:tcPr>
          <w:p w14:paraId="0165B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203A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541565D9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（需备注单价)</w:t>
            </w:r>
          </w:p>
        </w:tc>
      </w:tr>
      <w:tr w14:paraId="583A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0" w:type="dxa"/>
            <w:noWrap w:val="0"/>
            <w:vAlign w:val="center"/>
          </w:tcPr>
          <w:p w14:paraId="327F01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 w14:paraId="44F3EF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2AC8D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除甲醛</w:t>
            </w:r>
          </w:p>
        </w:tc>
        <w:tc>
          <w:tcPr>
            <w:tcW w:w="1305" w:type="dxa"/>
            <w:noWrap w:val="0"/>
            <w:vAlign w:val="center"/>
          </w:tcPr>
          <w:p w14:paraId="7F6546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共计一次</w:t>
            </w:r>
          </w:p>
        </w:tc>
        <w:tc>
          <w:tcPr>
            <w:tcW w:w="1320" w:type="dxa"/>
            <w:noWrap w:val="0"/>
            <w:vAlign w:val="center"/>
          </w:tcPr>
          <w:p w14:paraId="5C9A9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A4421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1F16E263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（需备注单价）</w:t>
            </w:r>
          </w:p>
        </w:tc>
      </w:tr>
      <w:tr w14:paraId="6EBB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40" w:type="dxa"/>
            <w:noWrap w:val="0"/>
            <w:vAlign w:val="center"/>
          </w:tcPr>
          <w:p w14:paraId="00835A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 w14:paraId="753A04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EA099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开  荒</w:t>
            </w:r>
          </w:p>
        </w:tc>
        <w:tc>
          <w:tcPr>
            <w:tcW w:w="1305" w:type="dxa"/>
            <w:noWrap w:val="0"/>
            <w:vAlign w:val="center"/>
          </w:tcPr>
          <w:p w14:paraId="741B8B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共计一次</w:t>
            </w:r>
          </w:p>
        </w:tc>
        <w:tc>
          <w:tcPr>
            <w:tcW w:w="1320" w:type="dxa"/>
            <w:noWrap w:val="0"/>
            <w:vAlign w:val="center"/>
          </w:tcPr>
          <w:p w14:paraId="7BD558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62DD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5BC8972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（需备注单价）</w:t>
            </w:r>
          </w:p>
        </w:tc>
      </w:tr>
      <w:tr w14:paraId="7692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0" w:type="dxa"/>
            <w:noWrap w:val="0"/>
            <w:vAlign w:val="center"/>
          </w:tcPr>
          <w:p w14:paraId="126F3E7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993" w:type="dxa"/>
            <w:gridSpan w:val="4"/>
            <w:noWrap w:val="0"/>
            <w:vAlign w:val="center"/>
          </w:tcPr>
          <w:p w14:paraId="1261553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专项费用小计</w:t>
            </w:r>
          </w:p>
        </w:tc>
        <w:tc>
          <w:tcPr>
            <w:tcW w:w="1305" w:type="dxa"/>
            <w:noWrap w:val="0"/>
            <w:vAlign w:val="center"/>
          </w:tcPr>
          <w:p w14:paraId="7CA9EB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3B1F5C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05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0" w:type="dxa"/>
            <w:noWrap w:val="0"/>
            <w:vAlign w:val="center"/>
          </w:tcPr>
          <w:p w14:paraId="384A32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993" w:type="dxa"/>
            <w:gridSpan w:val="4"/>
            <w:noWrap w:val="0"/>
            <w:vAlign w:val="center"/>
          </w:tcPr>
          <w:p w14:paraId="2BB677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年费用总计(含税)</w:t>
            </w:r>
          </w:p>
        </w:tc>
        <w:tc>
          <w:tcPr>
            <w:tcW w:w="1305" w:type="dxa"/>
            <w:noWrap w:val="0"/>
            <w:vAlign w:val="center"/>
          </w:tcPr>
          <w:p w14:paraId="6437CB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19" w:type="dxa"/>
            <w:noWrap w:val="0"/>
            <w:vAlign w:val="center"/>
          </w:tcPr>
          <w:p w14:paraId="3E9045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A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57" w:type="dxa"/>
            <w:gridSpan w:val="7"/>
            <w:noWrap w:val="0"/>
            <w:vAlign w:val="center"/>
          </w:tcPr>
          <w:p w14:paraId="387A767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备注：1、服务范围为车库与营销中心（包含电梯、楼梯等区域），总面积约2901平方米（含营销中心约881㎡、车库约2020㎡）；</w:t>
            </w:r>
          </w:p>
          <w:p w14:paraId="2FED84F2">
            <w:pPr>
              <w:numPr>
                <w:ilvl w:val="0"/>
                <w:numId w:val="1"/>
              </w:num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保洁应自行配备相应工具，营销中心水吧及日常物资耗材结合实际需要按月/按需采购。</w:t>
            </w:r>
          </w:p>
          <w:p w14:paraId="413A9B05">
            <w:pPr>
              <w:numPr>
                <w:ilvl w:val="0"/>
                <w:numId w:val="1"/>
              </w:numPr>
              <w:ind w:firstLine="720" w:firstLineChars="3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报价应包含人员加班费等不可预见费，甲方不另行支付。</w:t>
            </w:r>
          </w:p>
        </w:tc>
      </w:tr>
    </w:tbl>
    <w:p w14:paraId="6887707C">
      <w:pPr>
        <w:rPr>
          <w:highlight w:val="none"/>
        </w:rPr>
      </w:pPr>
    </w:p>
    <w:bookmarkEnd w:id="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3CAB5"/>
    <w:multiLevelType w:val="singleLevel"/>
    <w:tmpl w:val="D063CAB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63AC"/>
    <w:rsid w:val="05252623"/>
    <w:rsid w:val="0B0C2CD0"/>
    <w:rsid w:val="10C4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952</Characters>
  <Lines>0</Lines>
  <Paragraphs>0</Paragraphs>
  <TotalTime>4</TotalTime>
  <ScaleCrop>false</ScaleCrop>
  <LinksUpToDate>false</LinksUpToDate>
  <CharactersWithSpaces>956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2025-07-18T03:00:00Z</dcterms:created>
  <dc:creator>Vicky ღ</dc:creator>
  <cp:lastModifiedBy>Vicky ღ</cp:lastModifiedBy>
  <cp:lastPrinted>2025-07-18T08:04:38Z</cp:lastPrinted>
  <dcterms:modified xsi:type="dcterms:W3CDTF">2025-07-18T09:07:54Z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1B9C05C96CBC4DD084736AAC6F579BA6_11</vt:lpwstr>
  </property>
  <property fmtid="{D5CDD505-2E9C-101B-9397-08002B2CF9AE}" pid="4" name="KSOTemplateDocerSaveRecord">
    <vt:lpwstr>eyJoZGlkIjoiNTdiNTZjNTNjYjFlMjczZjI0NzdlMjY0MTA2NzI0NzIiLCJ1c2VySWQiOiI2NTI2OTg5NDYifQ==</vt:lpwstr>
  </property>
</Properties>
</file>