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spacing w:before="454" w:beforeAutospacing="0" w:after="454" w:afterAutospacing="0"/>
        <w:ind w:right="454"/>
        <w:jc w:val="both"/>
        <w:outlineLvl w:val="0"/>
        <w:rPr>
          <w:rFonts w:hint="eastAsia"/>
          <w:b/>
          <w:bCs/>
          <w:sz w:val="40"/>
          <w:szCs w:val="40"/>
          <w:lang w:val="en-US" w:eastAsia="zh-CN"/>
        </w:rPr>
      </w:pPr>
      <w:bookmarkStart w:id="0" w:name="_Hlk71456902"/>
      <w:r>
        <w:rPr>
          <w:rFonts w:hint="eastAsia"/>
          <w:b/>
          <w:bCs/>
          <w:sz w:val="40"/>
          <w:szCs w:val="40"/>
          <w:lang w:val="en-US" w:eastAsia="zh-CN"/>
        </w:rPr>
        <w:t xml:space="preserve"> </w:t>
      </w:r>
    </w:p>
    <w:p>
      <w:pPr>
        <w:pStyle w:val="22"/>
        <w:widowControl/>
        <w:spacing w:before="454" w:beforeAutospacing="0" w:after="454" w:afterAutospacing="0"/>
        <w:ind w:right="454"/>
        <w:jc w:val="center"/>
        <w:outlineLvl w:val="0"/>
        <w:rPr>
          <w:rFonts w:hint="default"/>
          <w:b/>
          <w:bCs/>
          <w:sz w:val="40"/>
          <w:szCs w:val="40"/>
          <w:highlight w:val="none"/>
          <w:lang w:val="en-US"/>
        </w:rPr>
      </w:pPr>
      <w:r>
        <w:rPr>
          <w:rFonts w:hint="eastAsia"/>
          <w:b/>
          <w:bCs/>
          <w:sz w:val="40"/>
          <w:szCs w:val="40"/>
          <w:lang w:val="en-US" w:eastAsia="zh-CN"/>
        </w:rPr>
        <w:t>深圳市龙岗区耳鼻咽喉医院</w:t>
      </w:r>
      <w:r>
        <w:rPr>
          <w:rFonts w:hint="eastAsia"/>
          <w:b w:val="0"/>
          <w:bCs w:val="0"/>
          <w:sz w:val="40"/>
          <w:szCs w:val="40"/>
          <w:u w:val="single"/>
          <w:lang w:val="en-US" w:eastAsia="zh-CN"/>
        </w:rPr>
        <w:t xml:space="preserve"> </w:t>
      </w:r>
      <w:r>
        <w:rPr>
          <w:rFonts w:hint="eastAsia"/>
          <w:b w:val="0"/>
          <w:bCs w:val="0"/>
          <w:sz w:val="40"/>
          <w:szCs w:val="40"/>
          <w:highlight w:val="none"/>
          <w:u w:val="single"/>
          <w:lang w:val="en-US" w:eastAsia="zh-CN"/>
        </w:rPr>
        <w:t>（高级心肺复苏模拟人采购项目）</w:t>
      </w:r>
    </w:p>
    <w:p>
      <w:pPr>
        <w:pStyle w:val="22"/>
        <w:widowControl/>
        <w:jc w:val="center"/>
        <w:outlineLvl w:val="1"/>
        <w:rPr>
          <w:rFonts w:ascii="黑体" w:hAnsi="宋体" w:eastAsia="黑体" w:cs="黑体"/>
          <w:sz w:val="40"/>
          <w:szCs w:val="40"/>
          <w:highlight w:val="none"/>
        </w:rPr>
      </w:pPr>
      <w:r>
        <w:rPr>
          <w:rFonts w:hint="eastAsia" w:ascii="黑体" w:hAnsi="宋体" w:eastAsia="黑体" w:cs="黑体"/>
          <w:sz w:val="40"/>
          <w:szCs w:val="40"/>
          <w:highlight w:val="none"/>
        </w:rPr>
        <w:t>招标文件信息</w:t>
      </w:r>
    </w:p>
    <w:tbl>
      <w:tblPr>
        <w:tblStyle w:val="25"/>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pPr>
              <w:widowControl/>
              <w:jc w:val="left"/>
              <w:rPr>
                <w:rFonts w:hint="default" w:eastAsiaTheme="minorEastAsia"/>
                <w:sz w:val="30"/>
                <w:szCs w:val="30"/>
                <w:highlight w:val="none"/>
                <w:lang w:val="en-US" w:eastAsia="zh-CN"/>
              </w:rPr>
            </w:pPr>
            <w:r>
              <w:rPr>
                <w:rFonts w:hint="default" w:eastAsiaTheme="minorEastAsia"/>
                <w:color w:val="auto"/>
                <w:sz w:val="30"/>
                <w:szCs w:val="30"/>
                <w:highlight w:val="none"/>
                <w:lang w:val="en-US" w:eastAsia="zh-CN"/>
              </w:rPr>
              <w:t>ENT2025060</w:t>
            </w:r>
            <w:r>
              <w:rPr>
                <w:rFonts w:hint="eastAsia"/>
                <w:color w:val="auto"/>
                <w:sz w:val="30"/>
                <w:szCs w:val="30"/>
                <w:highlight w:val="none"/>
                <w:lang w:val="en-US" w:eastAsia="zh-CN"/>
              </w:rPr>
              <w:t>8</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pPr>
              <w:widowControl/>
              <w:jc w:val="left"/>
              <w:rPr>
                <w:rFonts w:hint="default" w:eastAsia="宋体"/>
                <w:sz w:val="30"/>
                <w:szCs w:val="30"/>
                <w:highlight w:val="yellow"/>
                <w:u w:val="single"/>
                <w:lang w:val="en-US" w:eastAsia="zh-CN"/>
              </w:rPr>
            </w:pPr>
            <w:r>
              <w:rPr>
                <w:rFonts w:hint="eastAsia"/>
                <w:b w:val="0"/>
                <w:bCs w:val="0"/>
                <w:sz w:val="32"/>
                <w:szCs w:val="32"/>
                <w:highlight w:val="yellow"/>
                <w:u w:val="none"/>
                <w:lang w:val="en-US" w:eastAsia="zh-CN"/>
              </w:rPr>
              <w:t>高级心肺复苏模拟人采购项目</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spacing w:line="580" w:lineRule="exact"/>
        <w:rPr>
          <w:rFonts w:ascii="宋体" w:hAnsi="宋体" w:eastAsia="宋体" w:cs="宋体"/>
          <w:b/>
          <w:bCs/>
          <w:sz w:val="21"/>
          <w:szCs w:val="21"/>
        </w:rPr>
      </w:pPr>
    </w:p>
    <w:p>
      <w:pPr>
        <w:spacing w:line="360" w:lineRule="auto"/>
        <w:ind w:firstLine="1687" w:firstLineChars="800"/>
        <w:rPr>
          <w:rFonts w:ascii="宋体" w:hAnsi="宋体" w:eastAsia="宋体" w:cs="宋体"/>
          <w:b/>
          <w:sz w:val="21"/>
          <w:szCs w:val="21"/>
        </w:rPr>
      </w:pPr>
    </w:p>
    <w:p>
      <w:pPr>
        <w:pStyle w:val="6"/>
        <w:ind w:firstLine="422"/>
        <w:rPr>
          <w:rFonts w:ascii="宋体" w:hAnsi="宋体" w:eastAsia="宋体" w:cs="宋体"/>
          <w:b/>
          <w:sz w:val="21"/>
          <w:szCs w:val="21"/>
        </w:rPr>
      </w:pPr>
    </w:p>
    <w:p>
      <w:pPr>
        <w:pStyle w:val="7"/>
        <w:rPr>
          <w:rFonts w:ascii="宋体" w:hAnsi="宋体" w:eastAsia="宋体" w:cs="宋体"/>
          <w:b/>
          <w:sz w:val="21"/>
          <w:szCs w:val="21"/>
        </w:rPr>
      </w:pPr>
    </w:p>
    <w:p>
      <w:pPr>
        <w:pStyle w:val="8"/>
        <w:rPr>
          <w:rFonts w:ascii="宋体" w:hAnsi="宋体" w:eastAsia="宋体" w:cs="宋体"/>
          <w:sz w:val="21"/>
          <w:szCs w:val="21"/>
        </w:rPr>
      </w:pPr>
    </w:p>
    <w:p>
      <w:pPr>
        <w:rPr>
          <w:rFonts w:ascii="宋体" w:hAnsi="宋体" w:eastAsia="宋体" w:cs="宋体"/>
          <w:b/>
          <w:sz w:val="21"/>
          <w:szCs w:val="21"/>
        </w:rPr>
      </w:pPr>
    </w:p>
    <w:p>
      <w:pPr>
        <w:pStyle w:val="6"/>
        <w:ind w:firstLine="422"/>
        <w:rPr>
          <w:rFonts w:ascii="宋体" w:hAnsi="宋体" w:eastAsia="宋体" w:cs="宋体"/>
          <w:b/>
          <w:sz w:val="21"/>
          <w:szCs w:val="21"/>
        </w:rPr>
      </w:pPr>
    </w:p>
    <w:p>
      <w:pPr>
        <w:pStyle w:val="7"/>
        <w:rPr>
          <w:rFonts w:ascii="宋体" w:hAnsi="宋体" w:eastAsia="宋体" w:cs="宋体"/>
          <w:b/>
          <w:sz w:val="21"/>
          <w:szCs w:val="21"/>
        </w:rPr>
      </w:pPr>
    </w:p>
    <w:p>
      <w:pPr>
        <w:pStyle w:val="8"/>
        <w:rPr>
          <w:rFonts w:ascii="宋体" w:hAnsi="宋体" w:eastAsia="宋体" w:cs="宋体"/>
          <w:sz w:val="21"/>
          <w:szCs w:val="21"/>
        </w:rPr>
      </w:pPr>
    </w:p>
    <w:p>
      <w:pPr>
        <w:rPr>
          <w:rFonts w:ascii="宋体" w:hAnsi="宋体" w:eastAsia="宋体" w:cs="宋体"/>
          <w:b/>
          <w:sz w:val="21"/>
          <w:szCs w:val="21"/>
        </w:rPr>
      </w:pPr>
    </w:p>
    <w:p>
      <w:pPr>
        <w:rPr>
          <w:rFonts w:hint="eastAsia" w:ascii="黑体" w:hAnsi="宋体" w:eastAsia="黑体" w:cs="黑体"/>
          <w:sz w:val="40"/>
          <w:szCs w:val="40"/>
        </w:rPr>
      </w:pPr>
      <w:r>
        <w:rPr>
          <w:rFonts w:hint="eastAsia" w:ascii="黑体" w:hAnsi="宋体" w:eastAsia="黑体" w:cs="黑体"/>
          <w:sz w:val="40"/>
          <w:szCs w:val="40"/>
        </w:rPr>
        <w:br w:type="page"/>
      </w:r>
    </w:p>
    <w:p>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pPr>
        <w:pStyle w:val="31"/>
        <w:rPr>
          <w:rFonts w:hint="eastAsia" w:ascii="Calibri" w:hAnsi="Calibri" w:eastAsia="宋体"/>
          <w:b/>
          <w:bCs/>
          <w:kern w:val="2"/>
          <w:sz w:val="32"/>
          <w:szCs w:val="40"/>
        </w:rPr>
      </w:pPr>
    </w:p>
    <w:p>
      <w:pPr>
        <w:pStyle w:val="22"/>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2"/>
        <w:gridCol w:w="77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p>
          <w:p>
            <w:pPr>
              <w:widowControl/>
              <w:jc w:val="left"/>
              <w:textAlignment w:val="top"/>
              <w:rPr>
                <w:rFonts w:hint="eastAsia" w:ascii="宋体" w:hAnsi="宋体" w:cs="宋体"/>
                <w:kern w:val="0"/>
                <w:szCs w:val="21"/>
                <w:lang w:val="en-US" w:eastAsia="zh-CN"/>
              </w:rPr>
            </w:pPr>
          </w:p>
          <w:p>
            <w:pPr>
              <w:widowControl/>
              <w:jc w:val="left"/>
              <w:textAlignment w:val="top"/>
              <w:rPr>
                <w:rFonts w:hint="eastAsia" w:ascii="宋体" w:hAnsi="宋体" w:cs="宋体"/>
                <w:kern w:val="0"/>
                <w:szCs w:val="21"/>
                <w:lang w:val="en-US" w:eastAsia="zh-CN"/>
              </w:rPr>
            </w:pPr>
          </w:p>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1"/>
          <w:szCs w:val="21"/>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cs="宋体" w:asciiTheme="minorEastAsia" w:hAnsiTheme="minorEastAsia" w:eastAsiaTheme="minorEastAsia"/>
          <w:bCs/>
          <w:color w:val="333333"/>
          <w:kern w:val="0"/>
          <w:sz w:val="24"/>
          <w:szCs w:val="24"/>
          <w:shd w:val="clear" w:color="auto" w:fill="FFFFFF"/>
          <w:lang w:val="en-US" w:eastAsia="zh-CN" w:bidi="ar-SA"/>
        </w:rPr>
      </w:pPr>
    </w:p>
    <w:p>
      <w:pPr>
        <w:pStyle w:val="31"/>
        <w:tabs>
          <w:tab w:val="left" w:pos="426"/>
        </w:tabs>
        <w:rPr>
          <w:rFonts w:hint="eastAsia"/>
          <w:lang w:val="en-US" w:eastAsia="zh-CN"/>
        </w:rPr>
      </w:pPr>
    </w:p>
    <w:p>
      <w:pPr>
        <w:spacing w:line="240" w:lineRule="auto"/>
        <w:jc w:val="center"/>
        <w:rPr>
          <w:rFonts w:hint="eastAsia" w:asciiTheme="minorEastAsia" w:hAnsiTheme="minorEastAsia" w:eastAsiaTheme="minorEastAsia" w:cstheme="minorEastAsia"/>
          <w:b/>
          <w:sz w:val="24"/>
          <w:szCs w:val="24"/>
          <w:lang w:val="en-US" w:eastAsia="zh-CN"/>
        </w:rPr>
      </w:pPr>
    </w:p>
    <w:p>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40"/>
          <w:szCs w:val="40"/>
        </w:rPr>
        <w:t>评分信息</w:t>
      </w:r>
    </w:p>
    <w:p>
      <w:pPr>
        <w:spacing w:line="340" w:lineRule="exact"/>
        <w:ind w:firstLine="2409" w:firstLineChars="1000"/>
        <w:rPr>
          <w:rFonts w:hint="eastAsia" w:asciiTheme="minorEastAsia" w:hAnsiTheme="minorEastAsia" w:eastAsiaTheme="minorEastAsia" w:cstheme="minorEastAsia"/>
          <w:b/>
          <w:sz w:val="24"/>
          <w:szCs w:val="24"/>
        </w:rPr>
      </w:pPr>
    </w:p>
    <w:tbl>
      <w:tblPr>
        <w:tblStyle w:val="25"/>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评标过程中，去掉报价中的最高报价和最低报价。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此方法适用于货物类、服务类、工程类项目。 </w:t>
            </w:r>
          </w:p>
        </w:tc>
      </w:tr>
    </w:tbl>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二、评分表</w:t>
      </w:r>
    </w:p>
    <w:tbl>
      <w:tblPr>
        <w:tblStyle w:val="25"/>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445"/>
        <w:gridCol w:w="995"/>
        <w:gridCol w:w="2435"/>
        <w:gridCol w:w="1140"/>
        <w:gridCol w:w="34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bookmarkStart w:id="1" w:name="bt投标人情况介绍"/>
            <w:bookmarkEnd w:id="1"/>
            <w:bookmarkStart w:id="2" w:name="bt合同条款"/>
            <w:bookmarkEnd w:id="2"/>
            <w:bookmarkStart w:id="3" w:name="bt项目管理班子配备情况"/>
            <w:bookmarkEnd w:id="3"/>
            <w:bookmarkStart w:id="4" w:name="bt投标人须知"/>
            <w:bookmarkEnd w:id="4"/>
            <w:bookmarkStart w:id="5" w:name="bt开标一览表"/>
            <w:bookmarkEnd w:id="5"/>
            <w:bookmarkStart w:id="6" w:name="合同格式"/>
            <w:bookmarkEnd w:id="6"/>
            <w:bookmarkStart w:id="7" w:name="bt本工程承诺书"/>
            <w:bookmarkEnd w:id="7"/>
            <w:bookmarkStart w:id="8" w:name="bt合同条款及格式"/>
            <w:bookmarkEnd w:id="8"/>
            <w:bookmarkStart w:id="9" w:name="bt合同格式"/>
            <w:bookmarkEnd w:id="9"/>
            <w:bookmarkStart w:id="10" w:name="bt其他资料2"/>
            <w:bookmarkEnd w:id="10"/>
            <w:bookmarkStart w:id="11" w:name="bt投标函"/>
            <w:bookmarkEnd w:id="11"/>
            <w:bookmarkStart w:id="12" w:name="bt投标报价汇总表"/>
            <w:bookmarkEnd w:id="12"/>
            <w:bookmarkStart w:id="13" w:name="bt技术标投标文件格式"/>
            <w:bookmarkEnd w:id="13"/>
            <w:bookmarkStart w:id="14" w:name="bt商务标投标文件格式"/>
            <w:bookmarkEnd w:id="14"/>
            <w:bookmarkStart w:id="15" w:name="bt说明"/>
            <w:bookmarkEnd w:id="15"/>
            <w:bookmarkStart w:id="16" w:name="bt其他资料由投标人自定"/>
            <w:bookmarkEnd w:id="16"/>
            <w:bookmarkStart w:id="17" w:name="bt投标文件签署授权委托书"/>
            <w:bookmarkEnd w:id="17"/>
            <w:r>
              <w:rPr>
                <w:rFonts w:hint="eastAsia" w:ascii="宋体" w:hAnsi="宋体" w:eastAsia="宋体" w:cs="宋体"/>
                <w:b/>
                <w:bCs/>
                <w:sz w:val="21"/>
                <w:szCs w:val="21"/>
                <w:highlight w:val="none"/>
              </w:rPr>
              <w:t>序号</w:t>
            </w:r>
          </w:p>
        </w:tc>
        <w:tc>
          <w:tcPr>
            <w:tcW w:w="2710"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2025" w:type="pct"/>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2710" w:type="pct"/>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2025" w:type="pc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4" w:type="pct"/>
            <w:vMerge w:val="restart"/>
            <w:tcBorders>
              <w:top w:val="single" w:color="000000" w:sz="8" w:space="0"/>
              <w:left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w:t>
            </w:r>
          </w:p>
        </w:tc>
        <w:tc>
          <w:tcPr>
            <w:tcW w:w="2710" w:type="pct"/>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2025" w:type="pc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yellow"/>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shd w:val="clear" w:color="auto" w:fill="E6EFFA"/>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444"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025"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仿宋"/>
                <w:szCs w:val="21"/>
                <w:lang w:val="en-US" w:eastAsia="zh-CN"/>
              </w:rPr>
            </w:pPr>
            <w:r>
              <w:rPr>
                <w:rFonts w:hint="eastAsia" w:ascii="宋体" w:hAnsi="宋体" w:cs="仿宋"/>
                <w:szCs w:val="21"/>
                <w:lang w:val="en-US" w:eastAsia="zh-CN"/>
              </w:rPr>
              <w:t>1</w:t>
            </w:r>
          </w:p>
        </w:tc>
        <w:tc>
          <w:tcPr>
            <w:tcW w:w="1444"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仿宋"/>
                <w:szCs w:val="21"/>
                <w:lang w:val="en-US" w:eastAsia="zh-CN"/>
              </w:rPr>
            </w:pPr>
            <w:r>
              <w:rPr>
                <w:rFonts w:hint="eastAsia" w:ascii="宋体" w:hAnsi="宋体" w:cs="仿宋"/>
                <w:szCs w:val="21"/>
                <w:lang w:val="en-US" w:eastAsia="zh-CN"/>
              </w:rPr>
              <w:t>技术参数偏离表</w:t>
            </w:r>
          </w:p>
        </w:tc>
        <w:tc>
          <w:tcPr>
            <w:tcW w:w="676"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highlight w:val="yellow"/>
                <w:lang w:val="en-US" w:eastAsia="zh-CN"/>
              </w:rPr>
              <w:t>50</w:t>
            </w:r>
          </w:p>
        </w:tc>
        <w:tc>
          <w:tcPr>
            <w:tcW w:w="2025"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仿宋"/>
                <w:b/>
                <w:bCs/>
                <w:szCs w:val="21"/>
                <w:lang w:val="en-US" w:eastAsia="zh-CN"/>
              </w:rPr>
            </w:pPr>
            <w:r>
              <w:rPr>
                <w:rFonts w:hint="eastAsia" w:ascii="宋体" w:hAnsi="宋体" w:cs="仿宋"/>
                <w:b/>
                <w:bCs/>
                <w:szCs w:val="21"/>
                <w:lang w:val="en-US" w:eastAsia="zh-CN"/>
              </w:rPr>
              <w:t>（一）评审内容：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仿宋"/>
                <w:szCs w:val="21"/>
                <w:highlight w:val="none"/>
              </w:rPr>
            </w:pPr>
            <w:r>
              <w:rPr>
                <w:rFonts w:hint="eastAsia" w:ascii="宋体" w:hAnsi="宋体" w:cs="仿宋"/>
                <w:szCs w:val="21"/>
                <w:highlight w:val="none"/>
              </w:rPr>
              <w:t>投标人应如实填写《技术规格偏离表》，各项非实质性技术参数指标及要求全部满足的得</w:t>
            </w:r>
            <w:r>
              <w:rPr>
                <w:rFonts w:hint="eastAsia" w:ascii="宋体" w:hAnsi="宋体" w:cs="仿宋"/>
                <w:szCs w:val="21"/>
                <w:highlight w:val="yellow"/>
                <w:lang w:val="en-US" w:eastAsia="zh-CN"/>
              </w:rPr>
              <w:t>50</w:t>
            </w:r>
            <w:r>
              <w:rPr>
                <w:rFonts w:hint="eastAsia" w:ascii="宋体" w:hAnsi="宋体" w:cs="仿宋"/>
                <w:szCs w:val="21"/>
                <w:highlight w:val="none"/>
              </w:rPr>
              <w:t>分；其中“▲”参数为重要指标，每负偏离一项扣</w:t>
            </w:r>
            <w:r>
              <w:rPr>
                <w:rFonts w:hint="eastAsia" w:ascii="宋体" w:hAnsi="宋体" w:cs="仿宋"/>
                <w:szCs w:val="21"/>
                <w:highlight w:val="yellow"/>
                <w:lang w:val="en-US" w:eastAsia="zh-CN"/>
              </w:rPr>
              <w:t>6</w:t>
            </w:r>
            <w:r>
              <w:rPr>
                <w:rFonts w:hint="eastAsia" w:ascii="宋体" w:hAnsi="宋体" w:cs="仿宋"/>
                <w:szCs w:val="21"/>
                <w:highlight w:val="none"/>
              </w:rPr>
              <w:t>分；其余指标每负偏离一项扣</w:t>
            </w:r>
            <w:r>
              <w:rPr>
                <w:rFonts w:hint="eastAsia" w:ascii="宋体" w:hAnsi="宋体" w:cs="仿宋"/>
                <w:szCs w:val="21"/>
                <w:highlight w:val="none"/>
                <w:lang w:val="en-US" w:eastAsia="zh-CN"/>
              </w:rPr>
              <w:t>1.3</w:t>
            </w:r>
            <w:r>
              <w:rPr>
                <w:rFonts w:hint="eastAsia" w:ascii="宋体" w:hAnsi="宋体" w:cs="仿宋"/>
                <w:szCs w:val="21"/>
                <w:highlight w:val="none"/>
              </w:rPr>
              <w:t>分，</w:t>
            </w:r>
            <w:r>
              <w:rPr>
                <w:rFonts w:hint="eastAsia" w:ascii="宋体" w:hAnsi="宋体"/>
                <w:bCs/>
                <w:szCs w:val="21"/>
                <w:highlight w:val="none"/>
              </w:rPr>
              <w:t>最低0分</w:t>
            </w:r>
            <w:r>
              <w:rPr>
                <w:rFonts w:hint="eastAsia" w:ascii="宋体" w:hAnsi="宋体" w:cs="仿宋"/>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仿宋"/>
                <w:b/>
                <w:bCs/>
                <w:szCs w:val="21"/>
              </w:rPr>
            </w:pPr>
            <w:r>
              <w:rPr>
                <w:rFonts w:hint="eastAsia" w:ascii="宋体" w:hAnsi="宋体" w:cs="仿宋"/>
                <w:b/>
                <w:bCs/>
                <w:szCs w:val="21"/>
              </w:rPr>
              <w:t>（二）评</w:t>
            </w:r>
            <w:r>
              <w:rPr>
                <w:rFonts w:hint="eastAsia" w:ascii="宋体" w:hAnsi="宋体" w:cs="仿宋"/>
                <w:b/>
                <w:bCs/>
                <w:szCs w:val="21"/>
                <w:lang w:val="en-US" w:eastAsia="zh-CN"/>
              </w:rPr>
              <w:t>审</w:t>
            </w:r>
            <w:r>
              <w:rPr>
                <w:rFonts w:hint="eastAsia" w:ascii="宋体" w:hAnsi="宋体" w:cs="仿宋"/>
                <w:b/>
                <w:bCs/>
                <w:szCs w:val="21"/>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pPr>
              <w:keepNext w:val="0"/>
              <w:keepLines w:val="0"/>
              <w:pageBreakBefore w:val="0"/>
              <w:wordWrap w:val="0"/>
              <w:overflowPunct/>
              <w:topLinePunct w:val="0"/>
              <w:bidi w:val="0"/>
              <w:spacing w:line="240" w:lineRule="auto"/>
              <w:ind w:firstLine="0" w:firstLineChars="0"/>
              <w:rPr>
                <w:rFonts w:hint="eastAsia" w:ascii="宋体" w:hAnsi="宋体" w:eastAsia="宋体" w:cs="宋体"/>
                <w:sz w:val="21"/>
                <w:szCs w:val="21"/>
                <w:highlight w:val="none"/>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restart"/>
            <w:tcBorders>
              <w:top w:val="single" w:color="000000" w:sz="8" w:space="0"/>
              <w:left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3</w:t>
            </w:r>
          </w:p>
        </w:tc>
        <w:tc>
          <w:tcPr>
            <w:tcW w:w="2710" w:type="pct"/>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综合实力部分</w:t>
            </w:r>
          </w:p>
        </w:tc>
        <w:tc>
          <w:tcPr>
            <w:tcW w:w="2025"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shd w:val="clear" w:color="auto" w:fill="E6EFFA"/>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444"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025"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w:t>
            </w:r>
          </w:p>
        </w:tc>
        <w:tc>
          <w:tcPr>
            <w:tcW w:w="1444"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仿宋"/>
                <w:szCs w:val="21"/>
                <w:lang w:val="en-US" w:eastAsia="zh-CN"/>
              </w:rPr>
            </w:pPr>
            <w:r>
              <w:rPr>
                <w:rFonts w:hint="eastAsia" w:ascii="宋体" w:hAnsi="宋体" w:cs="宋体"/>
                <w:color w:val="000000"/>
                <w:szCs w:val="21"/>
              </w:rPr>
              <w:t>产品的保障措施</w:t>
            </w:r>
          </w:p>
        </w:tc>
        <w:tc>
          <w:tcPr>
            <w:tcW w:w="676"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15</w:t>
            </w:r>
          </w:p>
        </w:tc>
        <w:tc>
          <w:tcPr>
            <w:tcW w:w="2025" w:type="pct"/>
            <w:tcBorders>
              <w:top w:val="single" w:color="000000" w:sz="8" w:space="0"/>
              <w:left w:val="single" w:color="000000" w:sz="8" w:space="0"/>
              <w:bottom w:val="single" w:color="000000" w:sz="8" w:space="0"/>
              <w:right w:val="single" w:color="000000" w:sz="8" w:space="0"/>
            </w:tcBorders>
            <w:vAlign w:val="center"/>
          </w:tcPr>
          <w:p>
            <w:pPr>
              <w:wordWrap w:val="0"/>
              <w:rPr>
                <w:rFonts w:ascii="宋体" w:hAnsi="宋体" w:cs="宋体"/>
                <w:color w:val="000000"/>
                <w:szCs w:val="21"/>
              </w:rPr>
            </w:pPr>
            <w:r>
              <w:rPr>
                <w:rFonts w:hint="eastAsia" w:ascii="宋体" w:hAnsi="宋体" w:cs="宋体"/>
                <w:b/>
                <w:bCs/>
                <w:color w:val="000000"/>
                <w:szCs w:val="21"/>
              </w:rPr>
              <w:t>（一）评审内容：</w:t>
            </w:r>
          </w:p>
          <w:p>
            <w:pPr>
              <w:wordWrap w:val="0"/>
              <w:rPr>
                <w:rFonts w:ascii="宋体" w:hAnsi="宋体" w:cs="宋体"/>
                <w:color w:val="000000"/>
                <w:szCs w:val="21"/>
              </w:rPr>
            </w:pPr>
            <w:r>
              <w:rPr>
                <w:rFonts w:hint="eastAsia" w:ascii="宋体" w:hAnsi="宋体" w:cs="宋体"/>
                <w:color w:val="000000"/>
                <w:szCs w:val="21"/>
              </w:rPr>
              <w:t>根据投标人提供的产品的保障措施进行评审，保障措施内容如下：</w:t>
            </w:r>
          </w:p>
          <w:p>
            <w:pPr>
              <w:wordWrap w:val="0"/>
              <w:rPr>
                <w:rFonts w:ascii="宋体" w:hAnsi="宋体" w:cs="宋体"/>
                <w:color w:val="000000"/>
                <w:szCs w:val="21"/>
              </w:rPr>
            </w:pPr>
            <w:r>
              <w:rPr>
                <w:rFonts w:hint="eastAsia" w:ascii="宋体" w:hAnsi="宋体" w:cs="宋体"/>
                <w:color w:val="000000"/>
                <w:szCs w:val="21"/>
              </w:rPr>
              <w:t>1.调试方案；</w:t>
            </w:r>
          </w:p>
          <w:p>
            <w:pPr>
              <w:wordWrap w:val="0"/>
              <w:rPr>
                <w:rFonts w:ascii="宋体" w:hAnsi="宋体" w:cs="宋体"/>
                <w:color w:val="000000"/>
                <w:szCs w:val="21"/>
              </w:rPr>
            </w:pPr>
            <w:r>
              <w:rPr>
                <w:rFonts w:hint="eastAsia" w:ascii="宋体" w:hAnsi="宋体" w:cs="宋体"/>
                <w:color w:val="000000"/>
                <w:szCs w:val="21"/>
              </w:rPr>
              <w:t>2.售后服务方案；</w:t>
            </w:r>
          </w:p>
          <w:p>
            <w:pPr>
              <w:wordWrap w:val="0"/>
              <w:rPr>
                <w:rFonts w:ascii="宋体" w:hAnsi="宋体" w:cs="宋体"/>
                <w:color w:val="000000"/>
                <w:szCs w:val="21"/>
              </w:rPr>
            </w:pPr>
            <w:r>
              <w:rPr>
                <w:rFonts w:hint="eastAsia" w:ascii="宋体" w:hAnsi="宋体" w:cs="宋体"/>
                <w:color w:val="000000"/>
                <w:szCs w:val="21"/>
              </w:rPr>
              <w:t>3.质量控制措施。</w:t>
            </w:r>
          </w:p>
          <w:p>
            <w:pPr>
              <w:wordWrap w:val="0"/>
              <w:rPr>
                <w:rFonts w:ascii="宋体" w:hAnsi="宋体" w:cs="宋体"/>
                <w:b/>
                <w:bCs/>
                <w:color w:val="000000"/>
                <w:szCs w:val="21"/>
              </w:rPr>
            </w:pPr>
            <w:r>
              <w:rPr>
                <w:rFonts w:hint="eastAsia" w:ascii="宋体" w:hAnsi="宋体" w:cs="宋体"/>
                <w:b/>
                <w:bCs/>
                <w:color w:val="000000"/>
                <w:szCs w:val="21"/>
              </w:rPr>
              <w:t>（二）评审依据：</w:t>
            </w:r>
          </w:p>
          <w:p>
            <w:pPr>
              <w:wordWrap w:val="0"/>
              <w:rPr>
                <w:rFonts w:ascii="宋体" w:hAnsi="宋体" w:cs="宋体"/>
                <w:color w:val="000000"/>
                <w:szCs w:val="21"/>
              </w:rPr>
            </w:pPr>
            <w:r>
              <w:rPr>
                <w:rFonts w:hint="eastAsia" w:ascii="宋体" w:hAnsi="宋体" w:cs="宋体"/>
                <w:color w:val="000000"/>
                <w:szCs w:val="21"/>
              </w:rPr>
              <w:t>1.投标人提供的产品的保障措施每包含以上1点内容的，得1分，最高得3分。</w:t>
            </w:r>
          </w:p>
          <w:p>
            <w:pPr>
              <w:wordWrap w:val="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在此基础上，评审委员会根据投标人的具体响应内容进一步评审</w:t>
            </w:r>
            <w:r>
              <w:rPr>
                <w:rFonts w:hint="eastAsia" w:ascii="宋体" w:hAnsi="宋体" w:cs="宋体"/>
                <w:color w:val="000000"/>
                <w:szCs w:val="21"/>
              </w:rPr>
              <w:t>：</w:t>
            </w:r>
          </w:p>
          <w:p>
            <w:pPr>
              <w:wordWrap w:val="0"/>
              <w:rPr>
                <w:rFonts w:ascii="宋体" w:hAnsi="宋体" w:cs="宋体"/>
                <w:color w:val="000000"/>
                <w:szCs w:val="21"/>
              </w:rPr>
            </w:pPr>
            <w:r>
              <w:rPr>
                <w:rFonts w:hint="eastAsia" w:ascii="宋体" w:hAnsi="宋体" w:cs="宋体"/>
                <w:color w:val="000000"/>
                <w:szCs w:val="21"/>
              </w:rPr>
              <w:t>（1）方案内容全面具体；</w:t>
            </w:r>
          </w:p>
          <w:p>
            <w:pPr>
              <w:wordWrap w:val="0"/>
              <w:rPr>
                <w:rFonts w:ascii="宋体" w:hAnsi="宋体" w:cs="宋体"/>
                <w:color w:val="000000"/>
                <w:szCs w:val="21"/>
              </w:rPr>
            </w:pPr>
            <w:r>
              <w:rPr>
                <w:rFonts w:hint="eastAsia" w:ascii="宋体" w:hAnsi="宋体" w:cs="宋体"/>
                <w:color w:val="000000"/>
                <w:szCs w:val="21"/>
              </w:rPr>
              <w:t>（2）方案内容完整规范；</w:t>
            </w:r>
          </w:p>
          <w:p>
            <w:pPr>
              <w:wordWrap w:val="0"/>
              <w:rPr>
                <w:rFonts w:ascii="宋体" w:hAnsi="宋体" w:cs="宋体"/>
                <w:color w:val="000000"/>
                <w:szCs w:val="21"/>
              </w:rPr>
            </w:pPr>
            <w:r>
              <w:rPr>
                <w:rFonts w:hint="eastAsia" w:ascii="宋体" w:hAnsi="宋体" w:cs="宋体"/>
                <w:color w:val="000000"/>
                <w:szCs w:val="21"/>
              </w:rPr>
              <w:t>（3）方案内容详实清晰；</w:t>
            </w:r>
          </w:p>
          <w:p>
            <w:pPr>
              <w:wordWrap w:val="0"/>
              <w:rPr>
                <w:rFonts w:ascii="宋体" w:hAnsi="宋体" w:cs="宋体"/>
                <w:color w:val="000000"/>
                <w:szCs w:val="21"/>
              </w:rPr>
            </w:pPr>
            <w:r>
              <w:rPr>
                <w:rFonts w:hint="eastAsia" w:ascii="宋体" w:hAnsi="宋体" w:cs="宋体"/>
                <w:color w:val="000000"/>
                <w:szCs w:val="21"/>
              </w:rPr>
              <w:t>（4）方案内容可操作性强；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满足以上4项的得12分，满足以上任意3项的9分，满足以上任意2项的得6分，满足以上任意1项的得3分，其他情况不加分。未提供则整项不得分。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restar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p>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p>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eastAsia="zh-CN"/>
              </w:rPr>
            </w:pPr>
            <w:r>
              <w:rPr>
                <w:rFonts w:hint="eastAsia" w:ascii="宋体" w:hAnsi="宋体" w:eastAsia="宋体" w:cs="宋体"/>
                <w:b/>
                <w:bCs/>
                <w:color w:val="0000FF"/>
                <w:sz w:val="21"/>
                <w:szCs w:val="21"/>
                <w:highlight w:val="none"/>
                <w:lang w:val="en-US" w:eastAsia="zh-CN"/>
              </w:rPr>
              <w:t>4</w:t>
            </w:r>
          </w:p>
        </w:tc>
        <w:tc>
          <w:tcPr>
            <w:tcW w:w="2710" w:type="pct"/>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诚信</w:t>
            </w:r>
            <w:r>
              <w:rPr>
                <w:rFonts w:hint="eastAsia" w:ascii="宋体" w:hAnsi="宋体" w:eastAsia="宋体" w:cs="宋体"/>
                <w:b/>
                <w:color w:val="0000FF"/>
                <w:sz w:val="21"/>
                <w:szCs w:val="21"/>
                <w:highlight w:val="none"/>
              </w:rPr>
              <w:t>部分</w:t>
            </w:r>
          </w:p>
        </w:tc>
        <w:tc>
          <w:tcPr>
            <w:tcW w:w="2025"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yellow"/>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444"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025"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single" w:color="000000" w:sz="8" w:space="0"/>
              <w:left w:val="single" w:color="000000" w:sz="8" w:space="0"/>
              <w:bottom w:val="single" w:color="000000" w:sz="8" w:space="0"/>
              <w:right w:val="single" w:color="000000" w:sz="8" w:space="0"/>
            </w:tcBorders>
            <w:vAlign w:val="center"/>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1</w:t>
            </w:r>
          </w:p>
        </w:tc>
        <w:tc>
          <w:tcPr>
            <w:tcW w:w="1444" w:type="pct"/>
            <w:tcBorders>
              <w:top w:val="single" w:color="000000" w:sz="8" w:space="0"/>
              <w:left w:val="single" w:color="000000" w:sz="8" w:space="0"/>
              <w:bottom w:val="single" w:color="000000" w:sz="8" w:space="0"/>
              <w:right w:val="single" w:color="000000" w:sz="8" w:space="0"/>
            </w:tcBorders>
            <w:vAlign w:val="center"/>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诚信情况</w:t>
            </w:r>
          </w:p>
        </w:tc>
        <w:tc>
          <w:tcPr>
            <w:tcW w:w="676" w:type="pct"/>
            <w:tcBorders>
              <w:top w:val="single" w:color="000000" w:sz="8" w:space="0"/>
              <w:left w:val="single" w:color="000000" w:sz="8" w:space="0"/>
              <w:bottom w:val="single" w:color="000000" w:sz="8" w:space="0"/>
              <w:right w:val="single" w:color="000000" w:sz="8" w:space="0"/>
            </w:tcBorders>
            <w:vAlign w:val="center"/>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5</w:t>
            </w:r>
          </w:p>
        </w:tc>
        <w:tc>
          <w:tcPr>
            <w:tcW w:w="2025" w:type="pct"/>
            <w:tcBorders>
              <w:top w:val="single" w:color="000000" w:sz="8" w:space="0"/>
              <w:left w:val="single" w:color="000000" w:sz="8" w:space="0"/>
              <w:bottom w:val="single" w:color="000000" w:sz="8" w:space="0"/>
              <w:right w:val="single" w:color="000000" w:sz="8" w:space="0"/>
            </w:tcBorders>
            <w:vAlign w:val="top"/>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keepNext w:val="0"/>
              <w:keepLines w:val="0"/>
              <w:pageBreakBefore w:val="0"/>
              <w:widowControl/>
              <w:wordWrap w:val="0"/>
              <w:overflowPunct/>
              <w:topLinePunct w:val="0"/>
              <w:bidi w:val="0"/>
              <w:spacing w:line="240" w:lineRule="auto"/>
              <w:ind w:firstLine="0" w:firstLineChars="0"/>
              <w:jc w:val="left"/>
              <w:textAlignment w:val="top"/>
              <w:rPr>
                <w:rFonts w:hint="eastAsia" w:ascii="宋体" w:hAnsi="宋体" w:eastAsia="宋体" w:cs="宋体"/>
                <w:sz w:val="21"/>
                <w:szCs w:val="21"/>
                <w:highlight w:val="none"/>
              </w:rPr>
            </w:pPr>
            <w:r>
              <w:rPr>
                <w:rFonts w:hint="eastAsia" w:ascii="宋体" w:hAnsi="宋体" w:cs="仿宋" w:eastAsiaTheme="minorEastAsia"/>
                <w:kern w:val="0"/>
                <w:sz w:val="24"/>
                <w:szCs w:val="21"/>
                <w:lang w:val="en-US" w:eastAsia="zh-CN" w:bidi="ar-SA"/>
              </w:rPr>
              <w:t>（采购代理机构通过“信用中国”、“中国政府采购网”、“深圳市政府采购监管网”以及市、区财政部门认定的其他渠道查询供应商信用信息，投标人无需提供证明材料。）</w:t>
            </w:r>
          </w:p>
        </w:tc>
      </w:tr>
    </w:tbl>
    <w:p>
      <w:pPr>
        <w:pStyle w:val="20"/>
        <w:numPr>
          <w:ilvl w:val="0"/>
          <w:numId w:val="0"/>
        </w:numPr>
        <w:tabs>
          <w:tab w:val="clear" w:pos="426"/>
        </w:tabs>
        <w:ind w:leftChars="0"/>
        <w:jc w:val="center"/>
        <w:rPr>
          <w:rFonts w:hint="eastAsia"/>
          <w:lang w:val="en-US" w:eastAsia="zh-CN"/>
        </w:rPr>
      </w:pPr>
      <w:bookmarkStart w:id="18" w:name="_Toc265483798"/>
      <w:bookmarkStart w:id="19" w:name="_Toc76544499"/>
      <w:bookmarkStart w:id="20" w:name="_Toc432592813"/>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pPr>
      <w:r>
        <w:rPr>
          <w:rFonts w:hint="eastAsia"/>
          <w:lang w:val="en-US" w:eastAsia="zh-CN"/>
        </w:rPr>
        <w:t>第一章  招标</w:t>
      </w:r>
      <w:r>
        <w:rPr>
          <w:rFonts w:hint="eastAsia"/>
        </w:rPr>
        <w:t>公告</w:t>
      </w:r>
      <w:bookmarkEnd w:id="18"/>
      <w:bookmarkEnd w:id="19"/>
      <w:bookmarkEnd w:id="20"/>
    </w:p>
    <w:p>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333333"/>
          <w:sz w:val="24"/>
          <w:szCs w:val="24"/>
          <w:shd w:val="clear" w:color="auto" w:fill="FFFFFF"/>
          <w:lang w:val="en-US" w:eastAsia="zh-CN"/>
        </w:rPr>
        <w:t>院内招标采购</w:t>
      </w:r>
      <w:r>
        <w:rPr>
          <w:rFonts w:hint="eastAsia" w:ascii="宋体" w:hAnsi="宋体" w:eastAsia="宋体" w:cs="宋体"/>
          <w:bCs/>
          <w:color w:val="333333"/>
          <w:sz w:val="24"/>
          <w:szCs w:val="24"/>
          <w:shd w:val="clear" w:color="auto" w:fill="FFFFFF"/>
        </w:rPr>
        <w:t>，欢迎符合条件具有供应能力的供应商或厂家前来报名参加。</w:t>
      </w:r>
    </w:p>
    <w:p>
      <w:pPr>
        <w:pStyle w:val="43"/>
        <w:widowControl w:val="0"/>
        <w:numPr>
          <w:ilvl w:val="0"/>
          <w:numId w:val="0"/>
        </w:numPr>
        <w:shd w:val="clear" w:color="auto" w:fill="auto"/>
        <w:adjustRightInd/>
        <w:snapToGrid/>
        <w:spacing w:line="560" w:lineRule="exact"/>
        <w:ind w:leftChars="200"/>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lang w:val="en-US" w:eastAsia="zh-CN"/>
        </w:rPr>
        <w:t>一、</w:t>
      </w:r>
      <w:r>
        <w:rPr>
          <w:rFonts w:hint="eastAsia" w:ascii="宋体" w:hAnsi="宋体" w:eastAsia="宋体" w:cs="宋体"/>
          <w:bCs/>
          <w:color w:val="333333"/>
          <w:sz w:val="24"/>
          <w:szCs w:val="24"/>
          <w:shd w:val="clear" w:color="auto" w:fill="FFFFFF"/>
        </w:rPr>
        <w:t>项目基本情况</w:t>
      </w:r>
    </w:p>
    <w:p>
      <w:pPr>
        <w:numPr>
          <w:ilvl w:val="0"/>
          <w:numId w:val="0"/>
        </w:numPr>
        <w:tabs>
          <w:tab w:val="left" w:pos="426"/>
        </w:tabs>
        <w:spacing w:line="560" w:lineRule="exact"/>
        <w:ind w:leftChars="200"/>
        <w:rPr>
          <w:rFonts w:hint="default" w:ascii="宋体" w:hAnsi="宋体" w:eastAsia="宋体" w:cs="宋体"/>
          <w:bCs/>
          <w:color w:val="333333"/>
          <w:sz w:val="24"/>
          <w:szCs w:val="24"/>
          <w:highlight w:val="yellow"/>
          <w:shd w:val="clear" w:color="auto" w:fill="FFFFFF"/>
          <w:lang w:val="en-US" w:eastAsia="zh-CN"/>
        </w:rPr>
      </w:pPr>
      <w:r>
        <w:rPr>
          <w:rFonts w:hint="eastAsia" w:ascii="宋体" w:hAnsi="宋体" w:eastAsia="宋体" w:cs="宋体"/>
          <w:bCs/>
          <w:color w:val="333333"/>
          <w:sz w:val="24"/>
          <w:szCs w:val="24"/>
          <w:highlight w:val="yellow"/>
          <w:shd w:val="clear" w:color="auto" w:fill="FFFFFF"/>
          <w:lang w:val="en-US" w:eastAsia="zh-CN"/>
        </w:rPr>
        <w:t>1.</w:t>
      </w:r>
      <w:r>
        <w:rPr>
          <w:rFonts w:hint="eastAsia" w:ascii="宋体" w:hAnsi="宋体" w:eastAsia="宋体" w:cs="宋体"/>
          <w:bCs/>
          <w:color w:val="333333"/>
          <w:sz w:val="24"/>
          <w:szCs w:val="24"/>
          <w:highlight w:val="yellow"/>
          <w:shd w:val="clear" w:color="auto" w:fill="FFFFFF"/>
        </w:rPr>
        <w:t>项目</w:t>
      </w:r>
      <w:r>
        <w:rPr>
          <w:rFonts w:hint="eastAsia" w:ascii="宋体" w:hAnsi="宋体" w:eastAsia="宋体" w:cs="宋体"/>
          <w:bCs/>
          <w:color w:val="333333"/>
          <w:sz w:val="24"/>
          <w:szCs w:val="24"/>
          <w:highlight w:val="yellow"/>
          <w:shd w:val="clear" w:color="auto" w:fill="FFFFFF"/>
          <w:lang w:val="en-US" w:eastAsia="zh-CN"/>
        </w:rPr>
        <w:t>编号</w:t>
      </w:r>
      <w:r>
        <w:rPr>
          <w:rFonts w:hint="eastAsia" w:ascii="宋体" w:hAnsi="宋体" w:eastAsia="宋体" w:cs="宋体"/>
          <w:bCs/>
          <w:color w:val="333333"/>
          <w:sz w:val="24"/>
          <w:szCs w:val="24"/>
          <w:highlight w:val="yellow"/>
          <w:shd w:val="clear" w:color="auto" w:fill="FFFFFF"/>
        </w:rPr>
        <w:t>：</w:t>
      </w:r>
      <w:r>
        <w:rPr>
          <w:rFonts w:hint="eastAsia" w:ascii="宋体" w:hAnsi="宋体" w:eastAsia="宋体" w:cs="宋体"/>
          <w:bCs/>
          <w:color w:val="333333"/>
          <w:sz w:val="24"/>
          <w:szCs w:val="24"/>
          <w:highlight w:val="yellow"/>
          <w:shd w:val="clear" w:color="auto" w:fill="FFFFFF"/>
          <w:lang w:val="en-US" w:eastAsia="zh-CN"/>
        </w:rPr>
        <w:t>ENT20250608</w:t>
      </w:r>
    </w:p>
    <w:p>
      <w:pPr>
        <w:shd w:val="clear" w:color="auto" w:fill="FFFFFF"/>
        <w:tabs>
          <w:tab w:val="left" w:pos="426"/>
        </w:tabs>
        <w:spacing w:line="560" w:lineRule="exact"/>
        <w:ind w:leftChars="200"/>
        <w:rPr>
          <w:rFonts w:hint="default" w:ascii="宋体" w:hAnsi="宋体" w:eastAsia="宋体" w:cs="宋体"/>
          <w:bCs/>
          <w:color w:val="333333"/>
          <w:sz w:val="24"/>
          <w:szCs w:val="24"/>
          <w:highlight w:val="yellow"/>
          <w:shd w:val="clear" w:color="auto" w:fill="FFFFFF"/>
          <w:lang w:val="en-US" w:eastAsia="zh-CN"/>
        </w:rPr>
      </w:pPr>
      <w:r>
        <w:rPr>
          <w:rFonts w:hint="eastAsia" w:ascii="宋体" w:hAnsi="宋体" w:eastAsia="宋体" w:cs="宋体"/>
          <w:bCs/>
          <w:color w:val="333333"/>
          <w:sz w:val="24"/>
          <w:szCs w:val="24"/>
          <w:highlight w:val="yellow"/>
          <w:shd w:val="clear" w:color="auto" w:fill="FFFFFF"/>
          <w:lang w:val="en-US" w:eastAsia="zh-CN"/>
        </w:rPr>
        <w:t>2.</w:t>
      </w:r>
      <w:r>
        <w:rPr>
          <w:rFonts w:hint="eastAsia" w:ascii="宋体" w:hAnsi="宋体" w:eastAsia="宋体" w:cs="宋体"/>
          <w:bCs/>
          <w:color w:val="333333"/>
          <w:sz w:val="24"/>
          <w:szCs w:val="24"/>
          <w:highlight w:val="yellow"/>
          <w:shd w:val="clear" w:color="auto" w:fill="FFFFFF"/>
        </w:rPr>
        <w:t>项目名称：</w:t>
      </w:r>
      <w:r>
        <w:rPr>
          <w:rFonts w:hint="eastAsia" w:ascii="宋体" w:hAnsi="宋体" w:eastAsia="宋体" w:cs="宋体"/>
          <w:bCs/>
          <w:color w:val="333333"/>
          <w:sz w:val="24"/>
          <w:szCs w:val="24"/>
          <w:highlight w:val="yellow"/>
          <w:shd w:val="clear" w:color="auto" w:fill="FFFFFF"/>
          <w:lang w:val="en-US" w:eastAsia="zh-CN"/>
        </w:rPr>
        <w:t>高级心肺复苏模拟人采购项目</w:t>
      </w:r>
    </w:p>
    <w:p>
      <w:pPr>
        <w:shd w:val="clear" w:color="auto" w:fill="FFFFFF"/>
        <w:tabs>
          <w:tab w:val="left" w:pos="426"/>
        </w:tabs>
        <w:spacing w:line="560" w:lineRule="exact"/>
        <w:ind w:leftChars="200"/>
        <w:rPr>
          <w:rFonts w:hint="eastAsia" w:ascii="宋体" w:hAnsi="宋体" w:eastAsia="宋体" w:cs="宋体"/>
          <w:bCs/>
          <w:color w:val="333333"/>
          <w:sz w:val="24"/>
          <w:szCs w:val="24"/>
          <w:highlight w:val="none"/>
          <w:shd w:val="clear" w:color="auto" w:fill="FFFFFF"/>
          <w:lang w:val="en-US" w:eastAsia="zh-CN"/>
        </w:rPr>
      </w:pPr>
      <w:r>
        <w:rPr>
          <w:rFonts w:hint="eastAsia" w:ascii="宋体" w:hAnsi="宋体" w:eastAsia="宋体" w:cs="宋体"/>
          <w:bCs/>
          <w:color w:val="333333"/>
          <w:sz w:val="24"/>
          <w:szCs w:val="24"/>
          <w:highlight w:val="none"/>
          <w:shd w:val="clear" w:color="auto" w:fill="FFFFFF"/>
          <w:lang w:val="en-US" w:eastAsia="zh-CN"/>
        </w:rPr>
        <w:t>3.采购项目内容及需求：</w:t>
      </w:r>
    </w:p>
    <w:tbl>
      <w:tblPr>
        <w:tblStyle w:val="25"/>
        <w:tblpPr w:leftFromText="180" w:rightFromText="180" w:vertAnchor="text" w:horzAnchor="page" w:tblpX="1575" w:tblpY="30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720"/>
        <w:gridCol w:w="1334"/>
        <w:gridCol w:w="744"/>
        <w:gridCol w:w="1320"/>
        <w:gridCol w:w="710"/>
        <w:gridCol w:w="1387"/>
        <w:gridCol w:w="125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80" w:hRule="atLeast"/>
        </w:trPr>
        <w:tc>
          <w:tcPr>
            <w:tcW w:w="72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133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b/>
                <w:kern w:val="0"/>
                <w:sz w:val="24"/>
                <w:szCs w:val="24"/>
                <w:highlight w:val="none"/>
                <w:lang w:val="en-US"/>
              </w:rPr>
            </w:pPr>
            <w:r>
              <w:rPr>
                <w:rFonts w:hint="eastAsia" w:ascii="宋体" w:hAnsi="宋体" w:eastAsia="宋体" w:cs="宋体"/>
                <w:b/>
                <w:kern w:val="0"/>
                <w:sz w:val="24"/>
                <w:szCs w:val="24"/>
                <w:highlight w:val="none"/>
                <w:lang w:val="en-US" w:eastAsia="zh-CN"/>
              </w:rPr>
              <w:t>采购货物名称</w:t>
            </w:r>
          </w:p>
        </w:tc>
        <w:tc>
          <w:tcPr>
            <w:tcW w:w="74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rPr>
              <w:t>单位</w:t>
            </w:r>
          </w:p>
        </w:tc>
        <w:tc>
          <w:tcPr>
            <w:tcW w:w="132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单价</w:t>
            </w: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highlight w:val="none"/>
                <w:lang w:val="en-US" w:eastAsia="zh-CN" w:bidi="ar-SA"/>
              </w:rPr>
            </w:pPr>
            <w:r>
              <w:rPr>
                <w:rFonts w:hint="eastAsia" w:ascii="宋体" w:hAnsi="宋体" w:cs="宋体"/>
                <w:b/>
                <w:kern w:val="0"/>
                <w:sz w:val="24"/>
                <w:szCs w:val="24"/>
                <w:highlight w:val="none"/>
                <w:lang w:val="en-US" w:eastAsia="zh-CN"/>
              </w:rPr>
              <w:t>（万元）</w:t>
            </w:r>
          </w:p>
        </w:tc>
        <w:tc>
          <w:tcPr>
            <w:tcW w:w="71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数量</w:t>
            </w:r>
          </w:p>
        </w:tc>
        <w:tc>
          <w:tcPr>
            <w:tcW w:w="1387"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预算总价（</w:t>
            </w:r>
            <w:r>
              <w:rPr>
                <w:rFonts w:hint="eastAsia" w:ascii="宋体" w:hAnsi="宋体" w:eastAsia="宋体" w:cs="宋体"/>
                <w:b/>
                <w:kern w:val="0"/>
                <w:sz w:val="24"/>
                <w:szCs w:val="24"/>
                <w:highlight w:val="none"/>
                <w:lang w:val="en-US" w:eastAsia="zh-CN"/>
              </w:rPr>
              <w:t>万</w:t>
            </w:r>
            <w:r>
              <w:rPr>
                <w:rFonts w:hint="eastAsia" w:ascii="宋体" w:hAnsi="宋体" w:eastAsia="宋体" w:cs="宋体"/>
                <w:b/>
                <w:kern w:val="0"/>
                <w:sz w:val="24"/>
                <w:szCs w:val="24"/>
                <w:highlight w:val="none"/>
              </w:rPr>
              <w:t>元）</w:t>
            </w:r>
          </w:p>
        </w:tc>
        <w:tc>
          <w:tcPr>
            <w:tcW w:w="1252"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rPr>
              <w:t>是否进口</w:t>
            </w:r>
          </w:p>
        </w:tc>
        <w:tc>
          <w:tcPr>
            <w:tcW w:w="162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2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33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eastAsia="宋体" w:cs="宋体"/>
                <w:bCs/>
                <w:color w:val="333333"/>
                <w:sz w:val="24"/>
                <w:szCs w:val="24"/>
                <w:highlight w:val="none"/>
                <w:shd w:val="clear" w:color="auto" w:fill="FFFFFF"/>
                <w:lang w:val="en-US" w:eastAsia="zh-CN"/>
              </w:rPr>
            </w:pPr>
            <w:r>
              <w:rPr>
                <w:rFonts w:hint="eastAsia" w:ascii="宋体" w:hAnsi="宋体" w:eastAsia="宋体" w:cs="宋体"/>
                <w:bCs/>
                <w:color w:val="333333"/>
                <w:sz w:val="24"/>
                <w:szCs w:val="24"/>
                <w:highlight w:val="none"/>
                <w:shd w:val="clear" w:color="auto" w:fill="FFFFFF"/>
                <w:lang w:val="en-US" w:eastAsia="zh-CN"/>
              </w:rPr>
              <w:t>高级心肺复苏模拟人</w:t>
            </w:r>
          </w:p>
        </w:tc>
        <w:tc>
          <w:tcPr>
            <w:tcW w:w="74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套</w:t>
            </w:r>
          </w:p>
        </w:tc>
        <w:tc>
          <w:tcPr>
            <w:tcW w:w="132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4.25</w:t>
            </w:r>
          </w:p>
        </w:tc>
        <w:tc>
          <w:tcPr>
            <w:tcW w:w="71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p>
        </w:tc>
        <w:tc>
          <w:tcPr>
            <w:tcW w:w="1387"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17</w:t>
            </w:r>
          </w:p>
        </w:tc>
        <w:tc>
          <w:tcPr>
            <w:tcW w:w="1252"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拒绝进口</w:t>
            </w:r>
          </w:p>
        </w:tc>
        <w:tc>
          <w:tcPr>
            <w:tcW w:w="1623" w:type="dxa"/>
            <w:shd w:val="clear" w:color="000000" w:fill="FFFFFF"/>
            <w:vAlign w:val="center"/>
          </w:tcPr>
          <w:p>
            <w:pPr>
              <w:keepNext w:val="0"/>
              <w:keepLines w:val="0"/>
              <w:pageBreakBefore w:val="0"/>
              <w:widowControl/>
              <w:overflowPunct/>
              <w:topLinePunct w:val="0"/>
              <w:bidi w:val="0"/>
              <w:spacing w:line="240" w:lineRule="auto"/>
              <w:ind w:firstLine="0" w:firstLineChars="0"/>
              <w:jc w:val="both"/>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不作为医疗器械管理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66" w:hRule="atLeast"/>
        </w:trPr>
        <w:tc>
          <w:tcPr>
            <w:tcW w:w="2054" w:type="dxa"/>
            <w:gridSpan w:val="2"/>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eastAsia="宋体" w:cs="宋体"/>
                <w:bCs/>
                <w:color w:val="333333"/>
                <w:sz w:val="24"/>
                <w:szCs w:val="24"/>
                <w:highlight w:val="none"/>
                <w:shd w:val="clear" w:color="auto" w:fill="FFFFFF"/>
                <w:lang w:val="en-US" w:eastAsia="zh-CN"/>
              </w:rPr>
            </w:pPr>
            <w:r>
              <w:rPr>
                <w:rFonts w:hint="eastAsia" w:ascii="宋体" w:hAnsi="宋体" w:eastAsia="宋体" w:cs="宋体"/>
                <w:bCs/>
                <w:color w:val="333333"/>
                <w:sz w:val="24"/>
                <w:szCs w:val="24"/>
                <w:highlight w:val="none"/>
                <w:shd w:val="clear" w:color="auto" w:fill="FFFFFF"/>
                <w:lang w:val="en-US" w:eastAsia="zh-CN"/>
              </w:rPr>
              <w:t>合计</w:t>
            </w:r>
          </w:p>
        </w:tc>
        <w:tc>
          <w:tcPr>
            <w:tcW w:w="74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kern w:val="0"/>
                <w:sz w:val="24"/>
                <w:szCs w:val="24"/>
                <w:highlight w:val="none"/>
                <w:lang w:val="en-US" w:eastAsia="zh-CN"/>
              </w:rPr>
            </w:pPr>
          </w:p>
        </w:tc>
        <w:tc>
          <w:tcPr>
            <w:tcW w:w="132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cs="宋体"/>
                <w:kern w:val="0"/>
                <w:sz w:val="24"/>
                <w:szCs w:val="24"/>
                <w:highlight w:val="none"/>
                <w:lang w:val="en-US" w:eastAsia="zh-CN"/>
              </w:rPr>
            </w:pPr>
          </w:p>
        </w:tc>
        <w:tc>
          <w:tcPr>
            <w:tcW w:w="71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p>
        </w:tc>
        <w:tc>
          <w:tcPr>
            <w:tcW w:w="1387"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17</w:t>
            </w:r>
          </w:p>
        </w:tc>
        <w:tc>
          <w:tcPr>
            <w:tcW w:w="1252"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kern w:val="0"/>
                <w:sz w:val="24"/>
                <w:szCs w:val="24"/>
                <w:highlight w:val="none"/>
                <w:lang w:val="en-US" w:eastAsia="zh-CN"/>
              </w:rPr>
            </w:pPr>
          </w:p>
        </w:tc>
        <w:tc>
          <w:tcPr>
            <w:tcW w:w="162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kern w:val="0"/>
                <w:sz w:val="24"/>
                <w:szCs w:val="24"/>
                <w:highlight w:val="none"/>
                <w:lang w:val="en-US" w:eastAsia="zh-CN" w:bidi="ar-SA"/>
              </w:rPr>
            </w:pPr>
          </w:p>
        </w:tc>
      </w:tr>
    </w:tbl>
    <w:p>
      <w:pPr>
        <w:pStyle w:val="7"/>
        <w:rPr>
          <w:rFonts w:hint="eastAsia"/>
          <w:highlight w:val="none"/>
          <w:lang w:val="en-US" w:eastAsia="zh-CN"/>
        </w:rPr>
      </w:pPr>
    </w:p>
    <w:p>
      <w:pPr>
        <w:ind w:firstLine="480" w:firstLineChars="200"/>
        <w:rPr>
          <w:rFonts w:hint="default"/>
          <w:highlight w:val="none"/>
          <w:lang w:val="en-US" w:eastAsia="zh-CN"/>
        </w:rPr>
      </w:pPr>
      <w:r>
        <w:rPr>
          <w:rFonts w:hint="eastAsia"/>
          <w:highlight w:val="none"/>
          <w:lang w:val="en-US" w:eastAsia="zh-CN"/>
        </w:rPr>
        <w:t>核心产品：</w:t>
      </w:r>
      <w:r>
        <w:rPr>
          <w:rFonts w:hint="eastAsia" w:ascii="宋体" w:hAnsi="宋体" w:eastAsia="宋体" w:cs="宋体"/>
          <w:bCs/>
          <w:color w:val="333333"/>
          <w:sz w:val="24"/>
          <w:szCs w:val="24"/>
          <w:highlight w:val="none"/>
          <w:shd w:val="clear" w:color="auto" w:fill="FFFFFF"/>
          <w:lang w:val="en-US" w:eastAsia="zh-CN"/>
        </w:rPr>
        <w:t>高级心肺复苏模拟人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cs="宋体"/>
          <w:bCs/>
          <w:color w:val="333333"/>
          <w:kern w:val="0"/>
          <w:sz w:val="24"/>
          <w:szCs w:val="24"/>
          <w:highlight w:val="none"/>
          <w:shd w:val="clear" w:color="auto" w:fill="FFFFFF"/>
          <w:lang w:val="en-US" w:eastAsia="zh-CN" w:bidi="ar-SA"/>
        </w:rPr>
      </w:pPr>
      <w:r>
        <w:rPr>
          <w:rFonts w:hint="eastAsia" w:cs="宋体"/>
          <w:bCs/>
          <w:color w:val="333333"/>
          <w:kern w:val="0"/>
          <w:sz w:val="24"/>
          <w:szCs w:val="24"/>
          <w:highlight w:val="none"/>
          <w:shd w:val="clear" w:color="auto" w:fill="FFFFFF"/>
          <w:lang w:val="en-US" w:eastAsia="zh-CN" w:bidi="ar-SA"/>
        </w:rPr>
        <w:t>1</w:t>
      </w:r>
      <w:r>
        <w:rPr>
          <w:rFonts w:hint="eastAsia" w:ascii="宋体" w:hAnsi="宋体" w:eastAsia="宋体" w:cs="宋体"/>
          <w:bCs/>
          <w:color w:val="333333"/>
          <w:kern w:val="0"/>
          <w:sz w:val="24"/>
          <w:szCs w:val="24"/>
          <w:highlight w:val="none"/>
          <w:shd w:val="clear" w:color="auto" w:fill="FFFFFF"/>
          <w:lang w:val="en-US" w:eastAsia="zh-CN" w:bidi="ar-SA"/>
        </w:rPr>
        <w:t>、供应商须是在中华人民共和国境内经注册独立法人单位，具有独立法人资格或者具有独立承担民事责任的能力的其他组织（提供营业执照或事业单位法人证等法人证明扫描件，原件备查）</w:t>
      </w:r>
      <w:r>
        <w:rPr>
          <w:rFonts w:hint="eastAsia" w:cs="宋体"/>
          <w:bCs/>
          <w:color w:val="333333"/>
          <w:kern w:val="0"/>
          <w:sz w:val="24"/>
          <w:szCs w:val="24"/>
          <w:highlight w:val="none"/>
          <w:shd w:val="clear" w:color="auto" w:fill="FFFFFF"/>
          <w:lang w:val="en-US" w:eastAsia="zh-CN" w:bidi="ar-SA"/>
        </w:rPr>
        <w:t>。</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当所投产品属于第一类医疗器械时必须提供第一类医疗器械备案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投标人须提供所投产品的《医疗器械注册（备案）证》的复印件，原件备查，开标时，该证应在有效期内；若不在有效期内，则需提供该证和所投产品在该证有效期内生产的国家药品监督管理局出具的证明文件）。</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4、本项目不接受任何形式的联合体投标，不接受同一母公司下属两家（含两家）以上的分、子公司参与投标。投标人不得将本项目进行分包、转包。</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5、参与本项目投标前三年内，在经营活动中没有重大违法记录（由供应商在《投标及履约承诺函》中作出声明）。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6、参与本项目政府采购活动时不存在被有关部门禁止参与政府采购活动且在有效期内的情况（由供应商在《投标及履约承诺函》中作出声明）。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7、投标人未被列入失信被执行人、重大税收违法案件当事人名单及政府采购严重违法失信行为记录名单（由供应商在《投标及履约承诺函》中作出声明）。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8、单位负责人为同一人或者存在直接控股、管理关系的不同供应商，不得参加同一包号投标或者未划分包号的同一招标项目投标（由供应商在《投标及履约承诺函》中作出声明）。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9、为采购项目提供整体设计、规范编制或者项目管理、监理、检测等服务的供应商，不得再参加该采购项目的其他采购活动（由供应商在《投标及履约承诺函》中作出声明）。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三、供应商报名资格审查资料清单（复印件加盖公章、原件备查）：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1、供应商报名表（格式详见附件）；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2、企业法人营业执照、税务登记证、组织机构代码证复印件或三证合一复印件；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3、供应商基本情况表及供应商基本情况表附件（格式详见附件）；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4、法定代表人证明书（格式详见附件）；</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5、法定代表人授权书（格式详见附件，投标人代表为法定代表人的无需提供本格式）；</w:t>
      </w:r>
      <w:r>
        <w:rPr>
          <w:rFonts w:hint="eastAsia" w:ascii="宋体" w:hAnsi="宋体" w:eastAsia="宋体" w:cs="宋体"/>
          <w:bCs/>
          <w:color w:val="auto"/>
          <w:kern w:val="0"/>
          <w:sz w:val="24"/>
          <w:szCs w:val="24"/>
          <w:highlight w:val="none"/>
          <w:shd w:val="clear" w:color="auto" w:fill="FFFFFF"/>
          <w:lang w:val="en-US" w:eastAsia="zh-CN" w:bidi="ar-SA"/>
        </w:rPr>
        <w:t>6、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w:t>
      </w:r>
    </w:p>
    <w:p>
      <w:pPr>
        <w:adjustRightInd w:val="0"/>
        <w:snapToGrid w:val="0"/>
        <w:spacing w:line="460" w:lineRule="atLeast"/>
        <w:ind w:firstLine="480" w:firstLineChars="200"/>
        <w:rPr>
          <w:rFonts w:hint="eastAsia"/>
          <w:lang w:val="en-US" w:eastAsia="zh-CN"/>
        </w:rPr>
      </w:pPr>
      <w:r>
        <w:rPr>
          <w:rFonts w:hint="eastAsia" w:ascii="宋体" w:hAnsi="宋体" w:eastAsia="宋体" w:cs="宋体"/>
          <w:color w:val="auto"/>
          <w:szCs w:val="21"/>
          <w:lang w:val="en-US" w:eastAsia="zh-CN"/>
        </w:rPr>
        <w:t>7、投标人须提供所投产品的《医疗器械注册（备案）证》的复印件，原件备查，开标时，该证应在有效期内；若不在有效期内，则需提供该证和所投产品在该证有效期内生产的国家药品监督管理局出具的证明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8、诚信声明函（格式自拟）。在三年内（自招标公告发布之日起倒推），通过“信用中国”（www.creditchina.gov.cn）、“中国政府采购网”（www.ccgp.gov.cn）、“深圳市政府采购监管网”（www.zfcg.sz.gov.cn）三个渠道查询供应商信用记录查询有失信记录，被取消中选资格的，与招标人有合同纠纷，或被索赔过的投标人的投标将被拒绝，需提供查询记录截图；</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FF0000"/>
          <w:kern w:val="0"/>
          <w:sz w:val="24"/>
          <w:szCs w:val="24"/>
          <w:shd w:val="clear" w:color="auto" w:fill="FFFFFF"/>
          <w:lang w:val="en-US" w:eastAsia="zh-CN" w:bidi="ar-SA"/>
        </w:rPr>
      </w:pPr>
      <w:r>
        <w:rPr>
          <w:rFonts w:hint="eastAsia" w:ascii="宋体" w:hAnsi="宋体" w:eastAsia="宋体" w:cs="宋体"/>
          <w:bCs/>
          <w:color w:val="FF0000"/>
          <w:kern w:val="0"/>
          <w:sz w:val="24"/>
          <w:szCs w:val="24"/>
          <w:shd w:val="clear" w:color="auto" w:fill="FFFFFF"/>
          <w:lang w:val="en-US" w:eastAsia="zh-CN" w:bidi="ar-SA"/>
        </w:rPr>
        <w:t>注意：声明函及三个渠道查询供应商信用查询记录截图均须提供。</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9、投标函（格式详见附件）；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10、</w:t>
      </w:r>
      <w:r>
        <w:rPr>
          <w:rFonts w:hint="eastAsia" w:asciiTheme="minorEastAsia" w:hAnsiTheme="minorEastAsia" w:eastAsiaTheme="minorEastAsia" w:cstheme="minorEastAsia"/>
          <w:bCs/>
          <w:sz w:val="24"/>
          <w:szCs w:val="24"/>
          <w:lang w:val="en-US" w:eastAsia="zh-CN"/>
        </w:rPr>
        <w:t>投标及履约承诺函（格式详见附件）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11、龙岗区进一步规范政商交往行为告知书（格式详见附件）。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FF0000"/>
          <w:kern w:val="0"/>
          <w:sz w:val="24"/>
          <w:szCs w:val="24"/>
          <w:shd w:val="clear" w:color="auto" w:fill="FFFFFF"/>
          <w:lang w:val="en-US" w:eastAsia="zh-CN" w:bidi="ar-SA"/>
        </w:rPr>
        <w:t>以上资料需加盖公章。</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投标人应在</w:t>
      </w:r>
      <w:r>
        <w:rPr>
          <w:rFonts w:hint="eastAsia" w:asciiTheme="minorEastAsia" w:hAnsiTheme="minorEastAsia" w:eastAsiaTheme="minorEastAsia" w:cstheme="minorEastAsia"/>
          <w:b/>
          <w:bCs w:val="0"/>
          <w:sz w:val="24"/>
          <w:szCs w:val="24"/>
          <w:highlight w:val="none"/>
          <w:lang w:val="en-US" w:eastAsia="zh-CN"/>
        </w:rPr>
        <w:t>2025年</w:t>
      </w:r>
      <w:r>
        <w:rPr>
          <w:rFonts w:hint="eastAsia" w:asciiTheme="minorEastAsia" w:hAnsiTheme="minorEastAsia" w:cstheme="minorEastAsia"/>
          <w:b/>
          <w:bCs w:val="0"/>
          <w:sz w:val="24"/>
          <w:szCs w:val="24"/>
          <w:highlight w:val="none"/>
          <w:lang w:val="en-US" w:eastAsia="zh-CN"/>
        </w:rPr>
        <w:t>6</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27</w:t>
      </w:r>
      <w:r>
        <w:rPr>
          <w:rFonts w:hint="eastAsia" w:asciiTheme="minorEastAsia" w:hAnsiTheme="minorEastAsia" w:eastAsiaTheme="minorEastAsia" w:cstheme="minorEastAsia"/>
          <w:b/>
          <w:bCs w:val="0"/>
          <w:sz w:val="24"/>
          <w:szCs w:val="24"/>
          <w:highlight w:val="none"/>
          <w:lang w:val="en-US" w:eastAsia="zh-CN"/>
        </w:rPr>
        <w:t>日-2025年</w:t>
      </w:r>
      <w:r>
        <w:rPr>
          <w:rFonts w:hint="eastAsia" w:asciiTheme="minorEastAsia" w:hAnsiTheme="minorEastAsia" w:cstheme="minorEastAsia"/>
          <w:b/>
          <w:bCs w:val="0"/>
          <w:sz w:val="24"/>
          <w:szCs w:val="24"/>
          <w:highlight w:val="none"/>
          <w:lang w:val="en-US" w:eastAsia="zh-CN"/>
        </w:rPr>
        <w:t>7</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3</w:t>
      </w:r>
      <w:r>
        <w:rPr>
          <w:rFonts w:hint="eastAsia" w:asciiTheme="minorEastAsia" w:hAnsiTheme="minorEastAsia" w:eastAsiaTheme="minorEastAsia" w:cstheme="minorEastAsia"/>
          <w:b/>
          <w:bCs w:val="0"/>
          <w:sz w:val="24"/>
          <w:szCs w:val="24"/>
          <w:highlight w:val="none"/>
          <w:lang w:val="en-US" w:eastAsia="zh-CN"/>
        </w:rPr>
        <w:t>日</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
          <w:bCs w:val="0"/>
          <w:sz w:val="24"/>
          <w:szCs w:val="24"/>
          <w:highlight w:val="none"/>
          <w:lang w:val="en-US" w:eastAsia="zh-CN"/>
        </w:rPr>
        <w:t>工作日</w:t>
      </w:r>
      <w:r>
        <w:rPr>
          <w:rFonts w:hint="eastAsia" w:asciiTheme="minorEastAsia" w:hAnsiTheme="minorEastAsia" w:eastAsiaTheme="minorEastAsia" w:cstheme="minorEastAsia"/>
          <w:bCs/>
          <w:sz w:val="24"/>
          <w:szCs w:val="24"/>
          <w:lang w:val="en-US" w:eastAsia="zh-CN"/>
        </w:rPr>
        <w:t>上午8:00-12:00，下午2:00-5:00，提交以上报名资料到深圳市</w:t>
      </w:r>
      <w:r>
        <w:rPr>
          <w:rFonts w:hint="eastAsia" w:asciiTheme="minorEastAsia" w:hAnsiTheme="minorEastAsia" w:cstheme="minorEastAsia"/>
          <w:bCs/>
          <w:sz w:val="24"/>
          <w:szCs w:val="24"/>
          <w:lang w:val="en-US" w:eastAsia="zh-CN"/>
        </w:rPr>
        <w:t>龙岗区龙城街道黄阁路186号</w:t>
      </w:r>
      <w:r>
        <w:rPr>
          <w:rFonts w:hint="eastAsia" w:asciiTheme="minorEastAsia" w:hAnsiTheme="minorEastAsia" w:eastAsiaTheme="minorEastAsia" w:cstheme="minorEastAsia"/>
          <w:bCs/>
          <w:sz w:val="24"/>
          <w:szCs w:val="24"/>
          <w:lang w:val="en-US" w:eastAsia="zh-CN"/>
        </w:rPr>
        <w:t>龙</w:t>
      </w:r>
      <w:r>
        <w:rPr>
          <w:rFonts w:hint="eastAsia" w:asciiTheme="minorEastAsia" w:hAnsiTheme="minorEastAsia" w:eastAsiaTheme="minorEastAsia" w:cstheme="minorEastAsia"/>
          <w:bCs/>
          <w:sz w:val="24"/>
          <w:szCs w:val="24"/>
          <w:highlight w:val="none"/>
          <w:lang w:val="en-US" w:eastAsia="zh-CN"/>
        </w:rPr>
        <w:t>岗区耳鼻咽喉医院</w:t>
      </w:r>
      <w:r>
        <w:rPr>
          <w:rFonts w:hint="eastAsia" w:asciiTheme="minorEastAsia" w:hAnsiTheme="minorEastAsia" w:cstheme="minorEastAsia"/>
          <w:bCs/>
          <w:sz w:val="24"/>
          <w:szCs w:val="24"/>
          <w:highlight w:val="none"/>
          <w:lang w:val="en-US" w:eastAsia="zh-CN"/>
        </w:rPr>
        <w:t>科研楼1106招采办</w:t>
      </w:r>
      <w:r>
        <w:rPr>
          <w:rFonts w:hint="eastAsia" w:asciiTheme="minorEastAsia" w:hAnsiTheme="minorEastAsia" w:eastAsiaTheme="minorEastAsia" w:cstheme="minorEastAsia"/>
          <w:bCs/>
          <w:sz w:val="24"/>
          <w:szCs w:val="24"/>
          <w:highlight w:val="none"/>
          <w:lang w:val="en-US" w:eastAsia="zh-CN"/>
        </w:rPr>
        <w:t>审核，联系人：</w:t>
      </w:r>
      <w:r>
        <w:rPr>
          <w:rFonts w:hint="eastAsia" w:asciiTheme="minorEastAsia" w:hAnsiTheme="minorEastAsia" w:cstheme="minorEastAsia"/>
          <w:bCs/>
          <w:sz w:val="24"/>
          <w:szCs w:val="24"/>
          <w:highlight w:val="none"/>
          <w:lang w:val="en-US" w:eastAsia="zh-CN"/>
        </w:rPr>
        <w:t>曹老师</w:t>
      </w:r>
      <w:r>
        <w:rPr>
          <w:rFonts w:hint="eastAsia" w:asciiTheme="minorEastAsia" w:hAnsiTheme="minorEastAsia" w:eastAsiaTheme="minorEastAsia" w:cstheme="minorEastAsia"/>
          <w:bCs/>
          <w:sz w:val="24"/>
          <w:szCs w:val="24"/>
          <w:highlight w:val="none"/>
          <w:lang w:val="en-US" w:eastAsia="zh-CN"/>
        </w:rPr>
        <w:t>，联系方式：</w:t>
      </w:r>
      <w:r>
        <w:rPr>
          <w:rFonts w:hint="eastAsia" w:asciiTheme="minorEastAsia" w:hAnsiTheme="minorEastAsia" w:cstheme="minorEastAsia"/>
          <w:bCs/>
          <w:sz w:val="24"/>
          <w:szCs w:val="24"/>
          <w:highlight w:val="none"/>
          <w:lang w:val="en-US" w:eastAsia="zh-CN"/>
        </w:rPr>
        <w:t>0755-28989999-8810</w:t>
      </w:r>
      <w:r>
        <w:rPr>
          <w:rFonts w:hint="eastAsia" w:asciiTheme="minorEastAsia" w:hAnsiTheme="minorEastAsia" w:eastAsiaTheme="minorEastAsia" w:cstheme="minorEastAsia"/>
          <w:bCs/>
          <w:sz w:val="24"/>
          <w:szCs w:val="24"/>
          <w:highlight w:val="none"/>
          <w:lang w:val="en-US" w:eastAsia="zh-CN"/>
        </w:rPr>
        <w:t>。</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四、投标资料（详见招标文件）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投标资料须加盖公章，密封在一个档案袋里面加盖骑缝章，一正五副，</w:t>
      </w:r>
      <w:r>
        <w:rPr>
          <w:rFonts w:hint="eastAsia" w:asciiTheme="minorEastAsia" w:hAnsiTheme="minorEastAsia" w:eastAsiaTheme="minorEastAsia" w:cstheme="minorEastAsia"/>
          <w:bCs/>
          <w:color w:val="FF0000"/>
          <w:sz w:val="24"/>
          <w:szCs w:val="24"/>
          <w:lang w:val="en-US" w:eastAsia="zh-CN"/>
        </w:rPr>
        <w:t>电子文件一份，U盘储存</w:t>
      </w:r>
      <w:r>
        <w:rPr>
          <w:rFonts w:hint="eastAsia" w:asciiTheme="minorEastAsia" w:hAnsiTheme="minorEastAsia" w:eastAsiaTheme="minorEastAsia" w:cstheme="minorEastAsia"/>
          <w:bCs/>
          <w:sz w:val="24"/>
          <w:szCs w:val="24"/>
          <w:lang w:val="en-US" w:eastAsia="zh-CN"/>
        </w:rPr>
        <w:t>（投标文件正本盖章后的扫描件，PDF格式）。供应商须将密封完好的投标资料带到开标现场，于开标时在现场提交评审。项目需求中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五、评分方法：综合评分法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cs="宋体"/>
          <w:bCs/>
          <w:color w:val="333333"/>
          <w:kern w:val="0"/>
          <w:sz w:val="24"/>
          <w:szCs w:val="24"/>
          <w:shd w:val="clear" w:color="auto" w:fill="FFFFFF"/>
          <w:lang w:val="en-US" w:eastAsia="zh-CN" w:bidi="ar-SA"/>
        </w:rPr>
        <w:t>六</w:t>
      </w:r>
      <w:r>
        <w:rPr>
          <w:rFonts w:hint="eastAsia" w:ascii="宋体" w:hAnsi="宋体" w:eastAsia="宋体" w:cs="宋体"/>
          <w:bCs/>
          <w:color w:val="333333"/>
          <w:kern w:val="0"/>
          <w:sz w:val="24"/>
          <w:szCs w:val="24"/>
          <w:shd w:val="clear" w:color="auto" w:fill="FFFFFF"/>
          <w:lang w:val="en-US" w:eastAsia="zh-CN" w:bidi="ar-SA"/>
        </w:rPr>
        <w:t>、开标时间：另行通知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附件1：报名表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附件2：招标文件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Theme="minorEastAsia" w:hAnsiTheme="minorEastAsia" w:eastAsiaTheme="minorEastAsia" w:cstheme="minorEastAsia"/>
          <w:bCs/>
          <w:sz w:val="24"/>
          <w:szCs w:val="24"/>
          <w:lang w:val="en-US" w:eastAsia="zh-CN"/>
        </w:rPr>
        <w:t>附件3：供应商基本情况表及供应商基本情况表附件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附件4：法定代表人证明书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附件5：法定代表人授权书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附件6：信用声明函及证明文件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附件7：投标函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附件8：投标及履约承诺函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附件9：龙岗区进一步规范政商交往行为告知书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br w:type="page"/>
      </w:r>
    </w:p>
    <w:p>
      <w:pPr>
        <w:spacing w:line="360" w:lineRule="auto"/>
        <w:jc w:val="cente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t>第二章   投标人须知</w:t>
      </w:r>
    </w:p>
    <w:p>
      <w:pPr>
        <w:pStyle w:val="43"/>
        <w:numPr>
          <w:ilvl w:val="0"/>
          <w:numId w:val="0"/>
        </w:numPr>
        <w:spacing w:line="46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招标简介：</w:t>
      </w:r>
    </w:p>
    <w:p>
      <w:pPr>
        <w:widowControl w:val="0"/>
        <w:tabs>
          <w:tab w:val="left" w:pos="720"/>
        </w:tabs>
        <w:spacing w:line="460" w:lineRule="exact"/>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（一）招标单位：</w:t>
      </w:r>
      <w:r>
        <w:rPr>
          <w:rFonts w:hint="eastAsia" w:asciiTheme="minorEastAsia" w:hAnsiTheme="minorEastAsia" w:eastAsiaTheme="minorEastAsia" w:cstheme="minorEastAsia"/>
          <w:sz w:val="24"/>
          <w:szCs w:val="24"/>
          <w:lang w:eastAsia="zh-CN"/>
        </w:rPr>
        <w:t>深圳市龙岗区耳鼻咽喉医院</w:t>
      </w:r>
    </w:p>
    <w:p>
      <w:pPr>
        <w:widowControl w:val="0"/>
        <w:tabs>
          <w:tab w:val="left" w:pos="720"/>
        </w:tabs>
        <w:spacing w:line="460" w:lineRule="exact"/>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（二）地    址：深圳市龙岗区龙岗大道</w:t>
      </w:r>
      <w:r>
        <w:rPr>
          <w:rFonts w:hint="eastAsia" w:asciiTheme="minorEastAsia" w:hAnsiTheme="minorEastAsia" w:eastAsiaTheme="minorEastAsia" w:cstheme="minorEastAsia"/>
          <w:sz w:val="24"/>
          <w:szCs w:val="24"/>
          <w:lang w:val="en-US" w:eastAsia="zh-CN"/>
        </w:rPr>
        <w:t>3004</w:t>
      </w:r>
      <w:r>
        <w:rPr>
          <w:rFonts w:hint="eastAsia" w:asciiTheme="minorEastAsia" w:hAnsiTheme="minorEastAsia" w:eastAsiaTheme="minorEastAsia" w:cstheme="minorEastAsia"/>
          <w:sz w:val="24"/>
          <w:szCs w:val="24"/>
        </w:rPr>
        <w:t>号</w:t>
      </w:r>
    </w:p>
    <w:p>
      <w:pPr>
        <w:widowControl w:val="0"/>
        <w:tabs>
          <w:tab w:val="left" w:pos="720"/>
        </w:tabs>
        <w:spacing w:line="460" w:lineRule="exact"/>
        <w:ind w:firstLine="240" w:firstLineChars="100"/>
        <w:jc w:val="both"/>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color w:val="auto"/>
          <w:sz w:val="24"/>
          <w:szCs w:val="24"/>
          <w:highlight w:val="yellow"/>
        </w:rPr>
        <w:t>资金来源：</w:t>
      </w:r>
      <w:r>
        <w:rPr>
          <w:rFonts w:hint="eastAsia" w:asciiTheme="minorEastAsia" w:hAnsiTheme="minorEastAsia" w:cstheme="minorEastAsia"/>
          <w:color w:val="auto"/>
          <w:sz w:val="24"/>
          <w:szCs w:val="24"/>
          <w:highlight w:val="yellow"/>
          <w:lang w:val="en-US" w:eastAsia="zh-CN"/>
        </w:rPr>
        <w:t>财政资金</w:t>
      </w:r>
    </w:p>
    <w:p>
      <w:pPr>
        <w:spacing w:line="460" w:lineRule="exac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cstheme="minorEastAsia"/>
          <w:b/>
          <w:sz w:val="24"/>
          <w:szCs w:val="24"/>
          <w:lang w:val="en-US" w:eastAsia="zh-CN"/>
        </w:rPr>
        <w:t>采购</w:t>
      </w:r>
      <w:r>
        <w:rPr>
          <w:rFonts w:hint="eastAsia" w:asciiTheme="minorEastAsia" w:hAnsiTheme="minorEastAsia" w:eastAsiaTheme="minorEastAsia" w:cstheme="minorEastAsia"/>
          <w:b/>
          <w:sz w:val="24"/>
          <w:szCs w:val="24"/>
        </w:rPr>
        <w:t>方式：</w:t>
      </w:r>
    </w:p>
    <w:p>
      <w:pPr>
        <w:spacing w:line="460" w:lineRule="exact"/>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pPr>
        <w:spacing w:line="460" w:lineRule="exact"/>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pPr>
        <w:spacing w:line="460" w:lineRule="exact"/>
        <w:ind w:firstLine="241"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pPr>
        <w:spacing w:line="460" w:lineRule="exact"/>
        <w:ind w:firstLine="241" w:firstLineChars="1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pPr>
        <w:tabs>
          <w:tab w:val="left" w:pos="7200"/>
        </w:tabs>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pPr>
        <w:tabs>
          <w:tab w:val="left" w:pos="7200"/>
        </w:tabs>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pPr>
        <w:widowControl/>
        <w:shd w:val="clear" w:color="auto" w:fill="FFFFFF"/>
        <w:spacing w:line="500" w:lineRule="exact"/>
        <w:ind w:firstLine="241" w:firstLineChars="1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pPr>
        <w:spacing w:line="4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pPr>
        <w:spacing w:line="460" w:lineRule="exact"/>
        <w:ind w:firstLine="241" w:firstLineChars="1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pPr>
        <w:spacing w:line="460" w:lineRule="exact"/>
        <w:ind w:firstLine="360" w:firstLineChars="15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pPr>
        <w:spacing w:line="460" w:lineRule="exact"/>
        <w:ind w:firstLine="360" w:firstLineChars="15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pPr>
        <w:spacing w:line="460" w:lineRule="exact"/>
        <w:ind w:firstLine="360" w:firstLineChars="15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pPr>
        <w:spacing w:line="460" w:lineRule="exact"/>
        <w:ind w:firstLine="360" w:firstLineChars="15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pPr>
        <w:spacing w:line="460" w:lineRule="exact"/>
        <w:ind w:firstLine="360" w:firstLineChars="15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pPr>
        <w:spacing w:line="460" w:lineRule="exact"/>
        <w:ind w:firstLine="241" w:firstLineChars="1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pPr>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投标报价表建议采用电脑打印，如手工填写必须在有涂改的地方盖上公章，否则视为报价不规范。如出现报价不规范的视为废标，有故意涂改情节的单位列入我院黑名单，3年内不得参加我院的任何投标。</w:t>
      </w:r>
    </w:p>
    <w:p>
      <w:pPr>
        <w:spacing w:line="340" w:lineRule="exact"/>
        <w:ind w:firstLine="2891" w:firstLineChars="1200"/>
        <w:rPr>
          <w:rFonts w:hint="eastAsia" w:asciiTheme="minorEastAsia" w:hAnsiTheme="minorEastAsia" w:eastAsiaTheme="minorEastAsia" w:cstheme="minorEastAsia"/>
          <w:b/>
          <w:sz w:val="24"/>
          <w:szCs w:val="24"/>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rPr>
          <w:rFonts w:hint="eastAsia" w:asciiTheme="minorEastAsia" w:hAnsiTheme="minorEastAsia" w:eastAsiaTheme="minorEastAsia" w:cstheme="minorEastAsia"/>
          <w:sz w:val="24"/>
          <w:szCs w:val="24"/>
        </w:rPr>
      </w:pPr>
    </w:p>
    <w:p>
      <w:pPr>
        <w:spacing w:line="340" w:lineRule="exact"/>
        <w:jc w:val="center"/>
        <w:rPr>
          <w:rFonts w:hint="eastAsia" w:asciiTheme="minorEastAsia" w:hAnsiTheme="minorEastAsia" w:eastAsiaTheme="minorEastAsia" w:cstheme="minorEastAsia"/>
          <w:b/>
          <w:sz w:val="24"/>
          <w:szCs w:val="24"/>
        </w:rPr>
      </w:pPr>
      <w:bookmarkStart w:id="21" w:name="_Toc3776"/>
      <w:bookmarkStart w:id="22" w:name="_Toc128884461"/>
    </w:p>
    <w:p>
      <w:pPr>
        <w:spacing w:line="360" w:lineRule="auto"/>
        <w:jc w:val="cente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t>第三章   用户需求书</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pPr>
        <w:tabs>
          <w:tab w:val="left" w:pos="360"/>
        </w:tabs>
        <w:spacing w:line="460" w:lineRule="exact"/>
        <w:ind w:firstLine="482" w:firstLineChars="200"/>
        <w:jc w:val="both"/>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pPr>
        <w:keepNext w:val="0"/>
        <w:keepLines w:val="0"/>
        <w:pageBreakBefore w:val="0"/>
        <w:overflowPunct/>
        <w:topLinePunct w:val="0"/>
        <w:bidi w:val="0"/>
        <w:spacing w:line="240" w:lineRule="auto"/>
        <w:ind w:left="351" w:firstLine="0" w:firstLineChars="0"/>
        <w:rPr>
          <w:rFonts w:hint="eastAsia" w:ascii="宋体" w:hAnsi="宋体" w:eastAsia="宋体" w:cs="宋体"/>
          <w:b/>
          <w:bCs/>
          <w:sz w:val="24"/>
          <w:szCs w:val="24"/>
          <w:lang w:eastAsia="zh-CN"/>
        </w:rPr>
      </w:pPr>
      <w:r>
        <w:rPr>
          <w:rFonts w:hint="eastAsia" w:ascii="宋体" w:hAnsi="宋体" w:eastAsia="宋体" w:cs="宋体"/>
          <w:b/>
          <w:bCs/>
          <w:spacing w:val="4"/>
          <w:sz w:val="24"/>
          <w:szCs w:val="24"/>
          <w:lang w:eastAsia="zh-CN"/>
        </w:rPr>
        <w:t>一、项目基本情况</w:t>
      </w:r>
    </w:p>
    <w:tbl>
      <w:tblPr>
        <w:tblStyle w:val="25"/>
        <w:tblpPr w:leftFromText="180" w:rightFromText="180" w:vertAnchor="text" w:horzAnchor="page" w:tblpX="1626" w:tblpY="330"/>
        <w:tblOverlap w:val="never"/>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028"/>
        <w:gridCol w:w="2113"/>
        <w:gridCol w:w="962"/>
        <w:gridCol w:w="825"/>
        <w:gridCol w:w="1348"/>
        <w:gridCol w:w="1554"/>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28"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11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货物</w:t>
            </w:r>
            <w:r>
              <w:rPr>
                <w:rFonts w:hint="eastAsia" w:ascii="宋体" w:hAnsi="宋体" w:eastAsia="宋体" w:cs="宋体"/>
                <w:b/>
                <w:kern w:val="0"/>
                <w:sz w:val="24"/>
                <w:szCs w:val="24"/>
              </w:rPr>
              <w:t>名称</w:t>
            </w:r>
          </w:p>
        </w:tc>
        <w:tc>
          <w:tcPr>
            <w:tcW w:w="962"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rPr>
              <w:t>单位</w:t>
            </w:r>
          </w:p>
        </w:tc>
        <w:tc>
          <w:tcPr>
            <w:tcW w:w="82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1348"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预算总价（万元）</w:t>
            </w:r>
          </w:p>
        </w:tc>
        <w:tc>
          <w:tcPr>
            <w:tcW w:w="155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rPr>
              <w:t>是否进口</w:t>
            </w:r>
          </w:p>
        </w:tc>
        <w:tc>
          <w:tcPr>
            <w:tcW w:w="138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cs="宋体"/>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838" w:hRule="atLeast"/>
          <w:jc w:val="center"/>
        </w:trPr>
        <w:tc>
          <w:tcPr>
            <w:tcW w:w="1028" w:type="dxa"/>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11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高级心肺复苏模拟人</w:t>
            </w:r>
          </w:p>
        </w:tc>
        <w:tc>
          <w:tcPr>
            <w:tcW w:w="962"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套</w:t>
            </w:r>
          </w:p>
        </w:tc>
        <w:tc>
          <w:tcPr>
            <w:tcW w:w="82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1348"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155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拒绝进口</w:t>
            </w:r>
          </w:p>
        </w:tc>
        <w:tc>
          <w:tcPr>
            <w:tcW w:w="138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rPr>
            </w:pPr>
            <w:bookmarkStart w:id="23" w:name="OLE_LINK1"/>
            <w:r>
              <w:rPr>
                <w:rFonts w:hint="eastAsia" w:ascii="宋体" w:hAnsi="宋体" w:eastAsia="宋体" w:cs="宋体"/>
                <w:kern w:val="0"/>
                <w:sz w:val="24"/>
                <w:szCs w:val="24"/>
                <w:highlight w:val="yellow"/>
                <w:lang w:val="en-US" w:eastAsia="zh-CN" w:bidi="ar-SA"/>
              </w:rPr>
              <w:t>不作为医疗器械管理</w:t>
            </w:r>
            <w:bookmarkEnd w:id="23"/>
          </w:p>
        </w:tc>
      </w:tr>
    </w:tbl>
    <w:p>
      <w:pPr>
        <w:keepNext w:val="0"/>
        <w:keepLines w:val="0"/>
        <w:pageBreakBefore w:val="0"/>
        <w:numPr>
          <w:ilvl w:val="0"/>
          <w:numId w:val="0"/>
        </w:numPr>
        <w:overflowPunct/>
        <w:topLinePunct w:val="0"/>
        <w:bidi w:val="0"/>
        <w:spacing w:line="240" w:lineRule="auto"/>
        <w:rPr>
          <w:rFonts w:hint="eastAsia" w:ascii="宋体" w:hAnsi="宋体" w:eastAsia="宋体" w:cs="宋体"/>
          <w:bCs/>
          <w:color w:val="333333"/>
          <w:sz w:val="24"/>
          <w:szCs w:val="24"/>
          <w:highlight w:val="none"/>
          <w:shd w:val="clear" w:color="auto" w:fill="FFFFFF"/>
          <w:lang w:val="en-US" w:eastAsia="zh-CN"/>
        </w:rPr>
      </w:pPr>
    </w:p>
    <w:p>
      <w:pPr>
        <w:numPr>
          <w:ilvl w:val="0"/>
          <w:numId w:val="0"/>
        </w:numPr>
        <w:rPr>
          <w:rFonts w:hint="default"/>
          <w:lang w:val="en-US" w:eastAsia="zh-CN"/>
        </w:rPr>
      </w:pPr>
      <w:r>
        <w:rPr>
          <w:rFonts w:hint="eastAsia" w:ascii="宋体" w:hAnsi="宋体" w:eastAsia="宋体" w:cs="宋体"/>
          <w:bCs/>
          <w:color w:val="333333"/>
          <w:sz w:val="24"/>
          <w:szCs w:val="24"/>
          <w:highlight w:val="none"/>
          <w:shd w:val="clear" w:color="auto" w:fill="FFFFFF"/>
          <w:lang w:val="en-US" w:eastAsia="zh-CN"/>
        </w:rPr>
        <w:t>核心产品：</w:t>
      </w:r>
      <w:r>
        <w:rPr>
          <w:rFonts w:hint="eastAsia" w:ascii="宋体" w:hAnsi="宋体" w:eastAsia="宋体" w:cs="宋体"/>
          <w:color w:val="auto"/>
          <w:kern w:val="0"/>
          <w:sz w:val="24"/>
          <w:szCs w:val="24"/>
          <w:highlight w:val="none"/>
          <w:lang w:val="en-US" w:eastAsia="zh-CN"/>
        </w:rPr>
        <w:t>高级心肺复苏模拟人</w:t>
      </w:r>
    </w:p>
    <w:p>
      <w:pPr>
        <w:keepNext w:val="0"/>
        <w:keepLines w:val="0"/>
        <w:pageBreakBefore w:val="0"/>
        <w:numPr>
          <w:ilvl w:val="0"/>
          <w:numId w:val="1"/>
        </w:numPr>
        <w:overflowPunct/>
        <w:topLinePunct w:val="0"/>
        <w:bidi w:val="0"/>
        <w:spacing w:line="240" w:lineRule="auto"/>
        <w:rPr>
          <w:rFonts w:hint="eastAsia"/>
          <w:sz w:val="24"/>
          <w:szCs w:val="24"/>
          <w:lang w:eastAsia="zh-CN"/>
        </w:rPr>
      </w:pPr>
      <w:r>
        <w:rPr>
          <w:rFonts w:hint="eastAsia" w:ascii="宋体" w:hAnsi="宋体" w:eastAsia="宋体" w:cs="宋体"/>
          <w:b/>
          <w:bCs/>
          <w:spacing w:val="6"/>
          <w:sz w:val="24"/>
          <w:szCs w:val="24"/>
          <w:lang w:eastAsia="zh-CN"/>
        </w:rPr>
        <w:t>技术要求与商务要求</w:t>
      </w:r>
    </w:p>
    <w:tbl>
      <w:tblPr>
        <w:tblStyle w:val="2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配置</w:t>
            </w:r>
          </w:p>
        </w:tc>
        <w:tc>
          <w:tcPr>
            <w:tcW w:w="784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主要技术参数和指标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用途</w:t>
            </w:r>
          </w:p>
        </w:tc>
        <w:tc>
          <w:tcPr>
            <w:tcW w:w="7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overflowPunct/>
              <w:topLinePunct w:val="0"/>
              <w:bidi w:val="0"/>
              <w:spacing w:line="240" w:lineRule="auto"/>
              <w:jc w:val="both"/>
              <w:rPr>
                <w:rFonts w:hint="eastAsia" w:ascii="宋体" w:hAnsi="宋体" w:eastAsia="宋体" w:cs="宋体"/>
                <w:color w:val="auto"/>
                <w:kern w:val="0"/>
                <w:sz w:val="24"/>
                <w:szCs w:val="24"/>
                <w:highlight w:val="none"/>
                <w:lang w:val="en-US" w:eastAsia="zh-CN"/>
              </w:rPr>
            </w:pPr>
            <w:r>
              <w:rPr>
                <w:rFonts w:ascii="Segoe UI" w:hAnsi="Segoe UI" w:eastAsia="Segoe UI" w:cs="Segoe UI"/>
                <w:i w:val="0"/>
                <w:iCs w:val="0"/>
                <w:caps w:val="0"/>
                <w:spacing w:val="0"/>
                <w:sz w:val="24"/>
                <w:szCs w:val="24"/>
                <w:shd w:val="clear" w:fill="FFFFFF"/>
              </w:rPr>
              <w:t>用于急救培训，模拟心肺复苏操作练习。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0" w:hRule="atLeast"/>
          <w:jc w:val="center"/>
        </w:trPr>
        <w:tc>
          <w:tcPr>
            <w:tcW w:w="13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一、主要技术及系统要求：</w:t>
            </w:r>
          </w:p>
        </w:tc>
        <w:tc>
          <w:tcPr>
            <w:tcW w:w="78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Theme="minorEastAsia"/>
                <w:lang w:eastAsia="zh-CN"/>
              </w:rPr>
            </w:pPr>
            <w:r>
              <w:rPr>
                <w:rFonts w:hint="eastAsia"/>
              </w:rPr>
              <w:t>1、模拟人具有真实的解剖结构和真实的按压手感，为半身模型；该模型是由心脏协会心血管急救委员会成员及“AHA关于CPR质量共识声明”的</w:t>
            </w:r>
            <w:r>
              <w:rPr>
                <w:rFonts w:hint="eastAsia"/>
                <w:lang w:val="en-US" w:eastAsia="zh-CN"/>
              </w:rPr>
              <w:t>合作</w:t>
            </w:r>
            <w:r>
              <w:rPr>
                <w:rFonts w:hint="eastAsia"/>
              </w:rPr>
              <w:t>共同开发的，该评分标准基于临床证据，或复苏和教育专家的共识</w:t>
            </w:r>
            <w:r>
              <w:rPr>
                <w:rFonts w:hint="eastAsia"/>
                <w:lang w:eastAsia="zh-CN"/>
              </w:rPr>
              <w:t>；</w:t>
            </w:r>
            <w:r>
              <w:rPr>
                <w:rFonts w:hint="eastAsia"/>
                <w:color w:val="C00000"/>
                <w:lang w:eastAsia="zh-CN"/>
              </w:rPr>
              <w:t>（</w:t>
            </w:r>
            <w:r>
              <w:rPr>
                <w:rFonts w:hint="eastAsia" w:ascii="Times New Roman" w:hAnsi="Times New Roman" w:cs="Times New Roman" w:eastAsiaTheme="minorEastAsia"/>
                <w:color w:val="C00000"/>
                <w:sz w:val="24"/>
                <w:szCs w:val="24"/>
              </w:rPr>
              <w:t>需提供心脏协会开具的</w:t>
            </w:r>
            <w:r>
              <w:rPr>
                <w:rFonts w:hint="eastAsia"/>
                <w:color w:val="C00000"/>
              </w:rPr>
              <w:t>开发</w:t>
            </w:r>
            <w:r>
              <w:rPr>
                <w:rFonts w:hint="eastAsia" w:ascii="Times New Roman" w:hAnsi="Times New Roman" w:cs="Times New Roman" w:eastAsiaTheme="minorEastAsia"/>
                <w:color w:val="C00000"/>
                <w:sz w:val="24"/>
                <w:szCs w:val="24"/>
              </w:rPr>
              <w:t>证明文件。</w:t>
            </w:r>
            <w:r>
              <w:rPr>
                <w:rFonts w:hint="eastAsia"/>
                <w:color w:val="C00000"/>
                <w:lang w:eastAsia="zh-CN"/>
              </w:rPr>
              <w:t>）</w:t>
            </w:r>
          </w:p>
          <w:p>
            <w:pPr>
              <w:spacing w:line="360" w:lineRule="auto"/>
              <w:rPr>
                <w:rFonts w:hint="eastAsia" w:eastAsiaTheme="minorEastAsia"/>
                <w:lang w:val="en-US" w:eastAsia="zh-CN"/>
              </w:rPr>
            </w:pPr>
            <w:r>
              <w:rPr>
                <w:rFonts w:hint="eastAsia"/>
              </w:rPr>
              <w:t>2、可</w:t>
            </w:r>
            <w:r>
              <w:rPr>
                <w:rFonts w:hint="eastAsia"/>
                <w:lang w:val="en-US" w:eastAsia="zh-CN"/>
              </w:rPr>
              <w:t>根据</w:t>
            </w:r>
            <w:r>
              <w:rPr>
                <w:rFonts w:hint="eastAsia"/>
              </w:rPr>
              <w:t>国际复苏联盟（ILCOR）指南使用压额提颌、推下颚手法正确打开/关闭模拟病人气道</w:t>
            </w:r>
            <w:r>
              <w:rPr>
                <w:rFonts w:hint="eastAsia"/>
                <w:lang w:eastAsia="zh-CN"/>
              </w:rPr>
              <w:t>；</w:t>
            </w:r>
          </w:p>
          <w:p>
            <w:pPr>
              <w:spacing w:line="360" w:lineRule="auto"/>
              <w:rPr>
                <w:rFonts w:hint="eastAsia"/>
              </w:rPr>
            </w:pPr>
            <w:r>
              <w:rPr>
                <w:rFonts w:hint="eastAsia"/>
                <w:lang w:val="en-US" w:eastAsia="zh-CN"/>
              </w:rPr>
              <w:t>3、</w:t>
            </w:r>
            <w:r>
              <w:rPr>
                <w:rFonts w:hint="eastAsia"/>
              </w:rPr>
              <w:t>可进行通气包括：口对口、口对鼻、面罩通气（包括便携面罩、袋阀面罩BVM）；</w:t>
            </w:r>
          </w:p>
          <w:p>
            <w:pPr>
              <w:spacing w:line="360" w:lineRule="auto"/>
              <w:rPr>
                <w:rFonts w:hint="eastAsia"/>
              </w:rPr>
            </w:pPr>
            <w:r>
              <w:rPr>
                <w:rFonts w:hint="eastAsia"/>
                <w:lang w:val="en-US" w:eastAsia="zh-CN"/>
              </w:rPr>
              <w:t>4、</w:t>
            </w:r>
            <w:r>
              <w:rPr>
                <w:rFonts w:hint="eastAsia"/>
              </w:rPr>
              <w:t>可在不需要使用工具的情况下轻易移除及更换肺部及面皮；</w:t>
            </w:r>
          </w:p>
          <w:p>
            <w:pPr>
              <w:spacing w:line="360" w:lineRule="auto"/>
              <w:rPr>
                <w:rFonts w:hint="eastAsia" w:eastAsiaTheme="minorEastAsia"/>
                <w:color w:val="C00000"/>
                <w:lang w:eastAsia="zh-CN"/>
              </w:rPr>
            </w:pPr>
            <w:r>
              <w:rPr>
                <w:rFonts w:hint="eastAsia"/>
                <w:lang w:val="en-US" w:eastAsia="zh-CN"/>
              </w:rPr>
              <w:t>5、</w:t>
            </w:r>
            <w:r>
              <w:rPr>
                <w:rFonts w:hint="eastAsia"/>
              </w:rPr>
              <w:t>模型可以用于学生训练与考核</w:t>
            </w:r>
            <w:r>
              <w:rPr>
                <w:rFonts w:hint="eastAsia"/>
                <w:lang w:eastAsia="zh-CN"/>
              </w:rPr>
              <w:t>；</w:t>
            </w:r>
            <w:r>
              <w:rPr>
                <w:rFonts w:hint="eastAsia"/>
                <w:color w:val="C00000"/>
                <w:lang w:eastAsia="zh-CN"/>
              </w:rPr>
              <w:t>（</w:t>
            </w:r>
            <w:r>
              <w:rPr>
                <w:rFonts w:hint="eastAsia"/>
                <w:color w:val="C00000"/>
              </w:rPr>
              <w:t>提供技能报告器软件登记证书证明资料。</w:t>
            </w:r>
            <w:r>
              <w:rPr>
                <w:rFonts w:hint="eastAsia"/>
                <w:color w:val="C00000"/>
                <w:lang w:eastAsia="zh-CN"/>
              </w:rPr>
              <w:t>）</w:t>
            </w:r>
          </w:p>
          <w:p>
            <w:pPr>
              <w:spacing w:line="360" w:lineRule="auto"/>
              <w:rPr>
                <w:rFonts w:hint="eastAsia"/>
              </w:rPr>
            </w:pPr>
            <w:r>
              <w:rPr>
                <w:rFonts w:hint="eastAsia"/>
                <w:lang w:val="en-US" w:eastAsia="zh-CN"/>
              </w:rPr>
              <w:t>6</w:t>
            </w:r>
            <w:r>
              <w:rPr>
                <w:rFonts w:hint="eastAsia"/>
              </w:rPr>
              <w:t>、模型可通过手动达到感知双侧颈动脉搏动；</w:t>
            </w:r>
          </w:p>
          <w:p>
            <w:pPr>
              <w:spacing w:line="360" w:lineRule="auto"/>
              <w:rPr>
                <w:rFonts w:hint="eastAsia"/>
              </w:rPr>
            </w:pPr>
            <w:r>
              <w:rPr>
                <w:rFonts w:hint="eastAsia"/>
                <w:lang w:val="en-US" w:eastAsia="zh-CN"/>
              </w:rPr>
              <w:t>7、模型</w:t>
            </w:r>
            <w:r>
              <w:rPr>
                <w:rFonts w:hint="eastAsia"/>
              </w:rPr>
              <w:t>可在通气时清楚显示胸部起伏情况；</w:t>
            </w:r>
          </w:p>
          <w:p>
            <w:pPr>
              <w:spacing w:line="360" w:lineRule="auto"/>
              <w:rPr>
                <w:rFonts w:hint="eastAsia" w:eastAsiaTheme="minorEastAsia"/>
                <w:lang w:eastAsia="zh-CN"/>
              </w:rPr>
            </w:pPr>
            <w:r>
              <w:rPr>
                <w:rFonts w:hint="eastAsia"/>
                <w:lang w:val="en-US" w:eastAsia="zh-CN"/>
              </w:rPr>
              <w:t>8、</w:t>
            </w:r>
            <w:r>
              <w:rPr>
                <w:rFonts w:hint="eastAsia"/>
              </w:rPr>
              <w:t>模拟人的胸部硬度要求有至少3种选择，可以方便地进行胸部硬度的更换，以模拟不同强壮程度的病人，每个弹簧的高度至少15厘米；可让学员识别不同的胸部刚度并相应地调整其按压力度</w:t>
            </w:r>
            <w:r>
              <w:rPr>
                <w:rFonts w:hint="eastAsia"/>
                <w:lang w:eastAsia="zh-CN"/>
              </w:rPr>
              <w:t>；</w:t>
            </w:r>
          </w:p>
          <w:p>
            <w:pPr>
              <w:spacing w:line="360" w:lineRule="auto"/>
              <w:rPr>
                <w:rFonts w:hint="eastAsia"/>
              </w:rPr>
            </w:pPr>
            <w:r>
              <w:rPr>
                <w:rFonts w:hint="eastAsia"/>
              </w:rPr>
              <w:t>▲</w:t>
            </w:r>
            <w:r>
              <w:rPr>
                <w:rFonts w:hint="eastAsia"/>
                <w:lang w:val="en-US" w:eastAsia="zh-CN"/>
              </w:rPr>
              <w:t>9</w:t>
            </w:r>
            <w:r>
              <w:rPr>
                <w:rFonts w:hint="eastAsia"/>
              </w:rPr>
              <w:t>、模型有传感器可测量：按压深度；按压间隙；按压频率；回弹是否充足；可反馈通气量及通气频率；可反馈手放置位置的正误；以测量并给与0~100分的评分；</w:t>
            </w:r>
            <w:r>
              <w:rPr>
                <w:rFonts w:hint="eastAsia"/>
                <w:color w:val="C00000"/>
                <w:lang w:eastAsia="zh-CN"/>
              </w:rPr>
              <w:t>（</w:t>
            </w:r>
            <w:r>
              <w:rPr>
                <w:rFonts w:hint="eastAsia"/>
                <w:color w:val="C00000"/>
              </w:rPr>
              <w:t>提供</w:t>
            </w:r>
            <w:r>
              <w:rPr>
                <w:rFonts w:hint="eastAsia"/>
                <w:color w:val="C00000"/>
                <w:lang w:val="en-US" w:eastAsia="zh-CN"/>
              </w:rPr>
              <w:t>反馈</w:t>
            </w:r>
            <w:r>
              <w:rPr>
                <w:rFonts w:hint="eastAsia"/>
                <w:color w:val="C00000"/>
              </w:rPr>
              <w:t>信息的截图证明</w:t>
            </w:r>
            <w:r>
              <w:rPr>
                <w:rFonts w:hint="eastAsia"/>
                <w:color w:val="C00000"/>
                <w:lang w:eastAsia="zh-CN"/>
              </w:rPr>
              <w:t>）</w:t>
            </w:r>
          </w:p>
          <w:p>
            <w:pPr>
              <w:spacing w:line="360" w:lineRule="auto"/>
              <w:rPr>
                <w:rFonts w:hint="eastAsia"/>
                <w:color w:val="C00000"/>
                <w:lang w:eastAsia="zh-CN"/>
              </w:rPr>
            </w:pPr>
            <w:r>
              <w:rPr>
                <w:rFonts w:hint="eastAsia"/>
              </w:rPr>
              <w:t>▲</w:t>
            </w:r>
            <w:r>
              <w:rPr>
                <w:rFonts w:hint="eastAsia"/>
                <w:lang w:val="en-US" w:eastAsia="zh-CN"/>
              </w:rPr>
              <w:t>10、</w:t>
            </w:r>
            <w:r>
              <w:rPr>
                <w:rFonts w:hint="eastAsia"/>
              </w:rPr>
              <w:t>支持</w:t>
            </w:r>
            <w:r>
              <w:rPr>
                <w:rFonts w:hint="default" w:ascii="Times New Roman" w:hAnsi="Times New Roman" w:cs="Times New Roman" w:eastAsiaTheme="minorEastAsia"/>
                <w:sz w:val="24"/>
                <w:szCs w:val="24"/>
                <w:lang w:val="en-US" w:eastAsia="zh-CN"/>
              </w:rPr>
              <w:t>6台</w:t>
            </w:r>
            <w:r>
              <w:rPr>
                <w:rFonts w:hint="eastAsia"/>
              </w:rPr>
              <w:t>模型同时连接到下面的任何一种设备：安装APP的手机；安装APP的平板；安装报告器系统的笔记本电脑</w:t>
            </w:r>
            <w:r>
              <w:rPr>
                <w:rFonts w:hint="eastAsia"/>
                <w:lang w:eastAsia="zh-CN"/>
              </w:rPr>
              <w:t>；</w:t>
            </w:r>
            <w:r>
              <w:rPr>
                <w:rFonts w:hint="eastAsia"/>
                <w:color w:val="C00000"/>
                <w:lang w:eastAsia="zh-CN"/>
              </w:rPr>
              <w:t>（</w:t>
            </w:r>
            <w:r>
              <w:rPr>
                <w:rFonts w:hint="eastAsia"/>
                <w:color w:val="C00000"/>
              </w:rPr>
              <w:t>提供</w:t>
            </w:r>
            <w:r>
              <w:rPr>
                <w:rFonts w:hint="eastAsia"/>
                <w:color w:val="C00000"/>
                <w:lang w:val="en-US" w:eastAsia="zh-CN"/>
              </w:rPr>
              <w:t>设备连接系统</w:t>
            </w:r>
            <w:r>
              <w:rPr>
                <w:rFonts w:hint="eastAsia"/>
                <w:color w:val="C00000"/>
              </w:rPr>
              <w:t>的截图证明</w:t>
            </w:r>
            <w:r>
              <w:rPr>
                <w:rFonts w:hint="eastAsia"/>
                <w:color w:val="C00000"/>
                <w:lang w:eastAsia="zh-CN"/>
              </w:rPr>
              <w:t>）</w:t>
            </w:r>
          </w:p>
          <w:p>
            <w:pPr>
              <w:spacing w:line="360" w:lineRule="auto"/>
              <w:rPr>
                <w:rFonts w:hint="eastAsia" w:eastAsiaTheme="minorEastAsia"/>
                <w:lang w:eastAsia="zh-CN"/>
              </w:rPr>
            </w:pPr>
            <w:r>
              <w:rPr>
                <w:rFonts w:hint="eastAsia"/>
                <w:lang w:val="en-US" w:eastAsia="zh-CN"/>
              </w:rPr>
              <w:t>11</w:t>
            </w:r>
            <w:r>
              <w:rPr>
                <w:rFonts w:hint="eastAsia"/>
              </w:rPr>
              <w:t>、模型的开关位于模型的右侧</w:t>
            </w:r>
            <w:r>
              <w:rPr>
                <w:rFonts w:hint="eastAsia"/>
                <w:lang w:eastAsia="zh-CN"/>
              </w:rPr>
              <w:t>，</w:t>
            </w:r>
            <w:r>
              <w:rPr>
                <w:rFonts w:hint="eastAsia"/>
              </w:rPr>
              <w:t>配备可充电式锂电池。模型的充电和供电使用新USB－C接口，连接口位于模型右侧</w:t>
            </w:r>
            <w:r>
              <w:rPr>
                <w:rFonts w:hint="eastAsia"/>
                <w:lang w:eastAsia="zh-CN"/>
              </w:rPr>
              <w:t>；</w:t>
            </w:r>
          </w:p>
          <w:p>
            <w:pPr>
              <w:spacing w:line="360" w:lineRule="auto"/>
              <w:rPr>
                <w:rFonts w:hint="eastAsia"/>
                <w:lang w:eastAsia="zh-CN"/>
              </w:rPr>
            </w:pPr>
            <w:r>
              <w:rPr>
                <w:rFonts w:hint="eastAsia"/>
                <w:lang w:val="en-US" w:eastAsia="zh-CN"/>
              </w:rPr>
              <w:t>12</w:t>
            </w:r>
            <w:r>
              <w:rPr>
                <w:rFonts w:hint="eastAsia"/>
              </w:rPr>
              <w:t>、</w:t>
            </w:r>
            <w:r>
              <w:rPr>
                <w:rFonts w:hint="eastAsia"/>
                <w:lang w:val="en-US" w:eastAsia="zh-CN"/>
              </w:rPr>
              <w:t>具备</w:t>
            </w:r>
            <w:r>
              <w:rPr>
                <w:rFonts w:hint="eastAsia"/>
              </w:rPr>
              <w:t>CE认证证书，证明该产品符合理事会指令 2014/53/EU 对于电磁兼容性的基本要求</w:t>
            </w:r>
            <w:r>
              <w:rPr>
                <w:rFonts w:hint="eastAsia"/>
                <w:lang w:val="en-US" w:eastAsia="zh-CN"/>
              </w:rPr>
              <w:t>和</w:t>
            </w:r>
            <w:r>
              <w:rPr>
                <w:rFonts w:hint="eastAsia"/>
              </w:rPr>
              <w:t>证明该产品符合理事会指令2011/65/EU对于使用某些有害物质的限制(RoHS)</w:t>
            </w:r>
            <w:r>
              <w:rPr>
                <w:rFonts w:hint="eastAsia"/>
                <w:lang w:eastAsia="zh-CN"/>
              </w:rPr>
              <w:t>；</w:t>
            </w:r>
            <w:r>
              <w:rPr>
                <w:rFonts w:hint="eastAsia"/>
                <w:color w:val="C00000"/>
                <w:lang w:eastAsia="zh-CN"/>
              </w:rPr>
              <w:t>（</w:t>
            </w:r>
            <w:r>
              <w:rPr>
                <w:rFonts w:hint="eastAsia"/>
                <w:color w:val="C00000"/>
              </w:rPr>
              <w:t>提供相应的证书</w:t>
            </w:r>
            <w:r>
              <w:rPr>
                <w:rFonts w:hint="eastAsia"/>
                <w:color w:val="C00000"/>
                <w:lang w:val="en-US" w:eastAsia="zh-CN"/>
              </w:rPr>
              <w:t>扫描件或复印件</w:t>
            </w:r>
            <w:r>
              <w:rPr>
                <w:rFonts w:hint="eastAsia"/>
                <w:color w:val="C00000"/>
                <w:lang w:eastAsia="zh-CN"/>
              </w:rPr>
              <w:t>）</w:t>
            </w:r>
          </w:p>
          <w:p>
            <w:pPr>
              <w:spacing w:line="360" w:lineRule="auto"/>
              <w:rPr>
                <w:rFonts w:hint="eastAsia"/>
                <w:color w:val="C00000"/>
                <w:lang w:eastAsia="zh-CN"/>
              </w:rPr>
            </w:pPr>
            <w:r>
              <w:rPr>
                <w:rFonts w:hint="eastAsia"/>
                <w:lang w:val="en-US" w:eastAsia="zh-CN"/>
              </w:rPr>
              <w:t>13</w:t>
            </w:r>
            <w:r>
              <w:rPr>
                <w:rFonts w:hint="eastAsia"/>
              </w:rPr>
              <w:t>、胸皮的厚</w:t>
            </w:r>
            <w:r>
              <w:rPr>
                <w:rFonts w:hint="default" w:ascii="Times New Roman" w:hAnsi="Times New Roman" w:cs="Times New Roman" w:eastAsiaTheme="minorEastAsia"/>
                <w:sz w:val="24"/>
                <w:szCs w:val="24"/>
              </w:rPr>
              <w:t>度</w:t>
            </w:r>
            <w:r>
              <w:rPr>
                <w:rFonts w:hint="eastAsia" w:cs="Times New Roman"/>
                <w:sz w:val="24"/>
                <w:szCs w:val="24"/>
                <w:lang w:val="en-US" w:eastAsia="zh-CN"/>
              </w:rPr>
              <w:t>≥</w:t>
            </w:r>
            <w:r>
              <w:rPr>
                <w:rFonts w:hint="eastAsia"/>
              </w:rPr>
              <w:t>4毫米，分别</w:t>
            </w:r>
            <w:r>
              <w:rPr>
                <w:rFonts w:hint="eastAsia"/>
                <w:lang w:val="en-US" w:eastAsia="zh-CN"/>
              </w:rPr>
              <w:t>在</w:t>
            </w:r>
            <w:r>
              <w:rPr>
                <w:rFonts w:hint="eastAsia"/>
              </w:rPr>
              <w:t>模型左右双侧的肩部、胸部、腹部共有6</w:t>
            </w:r>
            <w:r>
              <w:rPr>
                <w:rFonts w:hint="eastAsia"/>
                <w:lang w:val="en-US" w:eastAsia="zh-CN"/>
              </w:rPr>
              <w:t>个</w:t>
            </w:r>
            <w:r>
              <w:rPr>
                <w:rFonts w:hint="eastAsia"/>
              </w:rPr>
              <w:t>卡扣孔位</w:t>
            </w:r>
            <w:r>
              <w:rPr>
                <w:rFonts w:hint="eastAsia"/>
                <w:lang w:eastAsia="zh-CN"/>
              </w:rPr>
              <w:t>；</w:t>
            </w:r>
            <w:r>
              <w:rPr>
                <w:rFonts w:hint="eastAsia"/>
                <w:color w:val="C00000"/>
                <w:lang w:eastAsia="zh-CN"/>
              </w:rPr>
              <w:t>（</w:t>
            </w:r>
            <w:r>
              <w:rPr>
                <w:rFonts w:hint="eastAsia"/>
                <w:color w:val="C00000"/>
              </w:rPr>
              <w:t>提供实物图片</w:t>
            </w:r>
            <w:r>
              <w:rPr>
                <w:rFonts w:hint="eastAsia"/>
                <w:color w:val="C00000"/>
                <w:lang w:eastAsia="zh-CN"/>
              </w:rPr>
              <w:t>）</w:t>
            </w:r>
          </w:p>
          <w:p>
            <w:pPr>
              <w:spacing w:line="360" w:lineRule="auto"/>
              <w:rPr>
                <w:rFonts w:hint="eastAsia"/>
                <w:color w:val="C00000"/>
                <w:lang w:eastAsia="zh-CN"/>
              </w:rPr>
            </w:pPr>
            <w:r>
              <w:rPr>
                <w:rFonts w:hint="eastAsia"/>
                <w:lang w:val="en-US" w:eastAsia="zh-CN"/>
              </w:rPr>
              <w:t>14</w:t>
            </w:r>
            <w:r>
              <w:rPr>
                <w:rFonts w:hint="eastAsia"/>
              </w:rPr>
              <w:t>、模型体内内置模拟人体生理结构的胸板，胸板和胸皮使用卡扣式安装，胸板内测安装按压感应模块</w:t>
            </w:r>
            <w:r>
              <w:rPr>
                <w:rFonts w:hint="eastAsia"/>
                <w:lang w:eastAsia="zh-CN"/>
              </w:rPr>
              <w:t>；</w:t>
            </w:r>
            <w:r>
              <w:rPr>
                <w:rFonts w:hint="eastAsia"/>
                <w:color w:val="C00000"/>
                <w:lang w:eastAsia="zh-CN"/>
              </w:rPr>
              <w:t>（</w:t>
            </w:r>
            <w:r>
              <w:rPr>
                <w:rFonts w:hint="eastAsia"/>
                <w:color w:val="C00000"/>
              </w:rPr>
              <w:t>提供模拟人体胸骨的胸板的照片和按压感应模块与模型主板的连接照片</w:t>
            </w:r>
            <w:r>
              <w:rPr>
                <w:rFonts w:hint="eastAsia"/>
                <w:color w:val="C00000"/>
                <w:lang w:eastAsia="zh-CN"/>
              </w:rPr>
              <w:t>）</w:t>
            </w:r>
          </w:p>
          <w:p>
            <w:pPr>
              <w:spacing w:line="360" w:lineRule="auto"/>
              <w:rPr>
                <w:rFonts w:hint="eastAsia"/>
                <w:lang w:eastAsia="zh-CN"/>
              </w:rPr>
            </w:pPr>
            <w:r>
              <w:rPr>
                <w:rFonts w:hint="eastAsia"/>
              </w:rPr>
              <w:t>▲</w:t>
            </w:r>
            <w:r>
              <w:rPr>
                <w:rFonts w:hint="eastAsia"/>
                <w:lang w:val="en-US" w:eastAsia="zh-CN"/>
              </w:rPr>
              <w:t>15</w:t>
            </w:r>
            <w:r>
              <w:rPr>
                <w:rFonts w:hint="eastAsia"/>
              </w:rPr>
              <w:t>、模型内部内置可以更换的按压板，在按压板和胸板之间可以安装可更换的肺袋，按压板的下面配置模型按压深度的感应测量模块。模型的右肩膀配置模型的外接电子显示器的连接延长线。延长线</w:t>
            </w:r>
            <w:bookmarkStart w:id="49" w:name="_GoBack"/>
            <w:bookmarkEnd w:id="49"/>
            <w:r>
              <w:rPr>
                <w:rFonts w:hint="eastAsia"/>
                <w:lang w:eastAsia="zh-CN"/>
              </w:rPr>
              <w:t>的</w:t>
            </w:r>
            <w:r>
              <w:rPr>
                <w:rFonts w:hint="eastAsia"/>
              </w:rPr>
              <w:t>长度至少8厘米，当延长线不使用时可以隐藏在卡孔中</w:t>
            </w:r>
            <w:r>
              <w:rPr>
                <w:rFonts w:hint="eastAsia"/>
                <w:lang w:eastAsia="zh-CN"/>
              </w:rPr>
              <w:t>；</w:t>
            </w:r>
            <w:r>
              <w:rPr>
                <w:rFonts w:hint="eastAsia"/>
                <w:color w:val="C00000"/>
                <w:lang w:eastAsia="zh-CN"/>
              </w:rPr>
              <w:t>（</w:t>
            </w:r>
            <w:r>
              <w:rPr>
                <w:rFonts w:hint="eastAsia"/>
                <w:color w:val="C00000"/>
              </w:rPr>
              <w:t>提供实物图片</w:t>
            </w:r>
            <w:r>
              <w:rPr>
                <w:rFonts w:hint="eastAsia"/>
                <w:color w:val="C00000"/>
                <w:lang w:eastAsia="zh-CN"/>
              </w:rPr>
              <w:t>）</w:t>
            </w:r>
          </w:p>
          <w:p>
            <w:pPr>
              <w:spacing w:line="360" w:lineRule="auto"/>
              <w:rPr>
                <w:rFonts w:hint="eastAsia"/>
              </w:rPr>
            </w:pPr>
            <w:r>
              <w:rPr>
                <w:rFonts w:hint="eastAsia"/>
              </w:rPr>
              <w:t>▲1</w:t>
            </w:r>
            <w:r>
              <w:rPr>
                <w:rFonts w:hint="eastAsia"/>
                <w:lang w:val="en-US" w:eastAsia="zh-CN"/>
              </w:rPr>
              <w:t>6</w:t>
            </w:r>
            <w:r>
              <w:rPr>
                <w:rFonts w:hint="eastAsia"/>
              </w:rPr>
              <w:t>、模型内部的排气管路排气口位于模型的右侧，模型气道的肺袋规格</w:t>
            </w:r>
            <w:r>
              <w:rPr>
                <w:rFonts w:hint="eastAsia"/>
                <w:lang w:val="en-US" w:eastAsia="zh-CN"/>
              </w:rPr>
              <w:t>≥</w:t>
            </w:r>
            <w:r>
              <w:rPr>
                <w:rFonts w:hint="eastAsia"/>
              </w:rPr>
              <w:t>20cm*30cm；模型的宽度</w:t>
            </w:r>
            <w:r>
              <w:rPr>
                <w:rFonts w:hint="eastAsia"/>
                <w:lang w:val="en-US" w:eastAsia="zh-CN"/>
              </w:rPr>
              <w:t>≥</w:t>
            </w:r>
            <w:r>
              <w:rPr>
                <w:rFonts w:hint="eastAsia"/>
              </w:rPr>
              <w:t>32cm</w:t>
            </w:r>
            <w:r>
              <w:rPr>
                <w:rFonts w:hint="eastAsia"/>
                <w:lang w:eastAsia="zh-CN"/>
              </w:rPr>
              <w:t>，</w:t>
            </w:r>
            <w:r>
              <w:rPr>
                <w:rFonts w:hint="eastAsia"/>
              </w:rPr>
              <w:t>高度</w:t>
            </w:r>
            <w:r>
              <w:rPr>
                <w:rFonts w:hint="eastAsia"/>
                <w:lang w:val="en-US" w:eastAsia="zh-CN"/>
              </w:rPr>
              <w:t>≥</w:t>
            </w:r>
            <w:r>
              <w:rPr>
                <w:rFonts w:hint="eastAsia"/>
              </w:rPr>
              <w:t>70cm</w:t>
            </w:r>
            <w:r>
              <w:rPr>
                <w:rFonts w:hint="eastAsia"/>
                <w:lang w:eastAsia="zh-CN"/>
              </w:rPr>
              <w:t>；</w:t>
            </w:r>
            <w:r>
              <w:rPr>
                <w:rFonts w:hint="eastAsia"/>
                <w:color w:val="C00000"/>
                <w:lang w:eastAsia="zh-CN"/>
              </w:rPr>
              <w:t>（</w:t>
            </w:r>
            <w:r>
              <w:rPr>
                <w:rFonts w:hint="eastAsia"/>
                <w:color w:val="C00000"/>
              </w:rPr>
              <w:t>提供</w:t>
            </w:r>
            <w:r>
              <w:rPr>
                <w:rFonts w:hint="eastAsia"/>
                <w:color w:val="C00000"/>
                <w:lang w:val="en-US" w:eastAsia="zh-CN"/>
              </w:rPr>
              <w:t>可证明尺寸的</w:t>
            </w:r>
            <w:r>
              <w:rPr>
                <w:rFonts w:hint="eastAsia"/>
                <w:color w:val="C00000"/>
              </w:rPr>
              <w:t>实物图片</w:t>
            </w:r>
            <w:r>
              <w:rPr>
                <w:rFonts w:hint="eastAsia"/>
                <w:color w:val="C00000"/>
                <w:lang w:eastAsia="zh-CN"/>
              </w:rPr>
              <w:t>）</w:t>
            </w:r>
          </w:p>
          <w:p>
            <w:pPr>
              <w:spacing w:line="360" w:lineRule="auto"/>
              <w:rPr>
                <w:rFonts w:hint="eastAsia"/>
                <w:lang w:eastAsia="zh-CN"/>
              </w:rPr>
            </w:pPr>
            <w:r>
              <w:rPr>
                <w:rFonts w:hint="eastAsia"/>
                <w:lang w:val="en-US" w:eastAsia="zh-CN"/>
              </w:rPr>
              <w:t>17、</w:t>
            </w:r>
            <w:r>
              <w:rPr>
                <w:rFonts w:hint="eastAsia"/>
              </w:rPr>
              <w:t>模型配置拉链式上衣。模型的手提袋为拉链式，当拉链都拉开后可以做跪垫使用，打开后</w:t>
            </w:r>
            <w:r>
              <w:rPr>
                <w:rFonts w:hint="eastAsia"/>
                <w:lang w:val="en-US" w:eastAsia="zh-CN"/>
              </w:rPr>
              <w:t>≥</w:t>
            </w:r>
            <w:r>
              <w:rPr>
                <w:rFonts w:hint="eastAsia"/>
              </w:rPr>
              <w:t>75cm*130cm。手提袋既可以手提，也可以进行单肩</w:t>
            </w:r>
            <w:r>
              <w:rPr>
                <w:rFonts w:hint="eastAsia"/>
                <w:lang w:val="en-US" w:eastAsia="zh-CN"/>
              </w:rPr>
              <w:t>包；</w:t>
            </w:r>
            <w:r>
              <w:rPr>
                <w:rFonts w:hint="eastAsia"/>
                <w:color w:val="C00000"/>
                <w:lang w:eastAsia="zh-CN"/>
              </w:rPr>
              <w:t>（</w:t>
            </w:r>
            <w:r>
              <w:rPr>
                <w:rFonts w:hint="eastAsia"/>
                <w:color w:val="C00000"/>
              </w:rPr>
              <w:t>提供实物图片</w:t>
            </w:r>
            <w:r>
              <w:rPr>
                <w:rFonts w:hint="eastAsia"/>
                <w:color w:val="C00000"/>
                <w:lang w:eastAsia="zh-CN"/>
              </w:rPr>
              <w:t>）</w:t>
            </w:r>
          </w:p>
          <w:p>
            <w:pPr>
              <w:spacing w:line="360" w:lineRule="auto"/>
              <w:rPr>
                <w:rFonts w:hint="eastAsia" w:eastAsiaTheme="minorEastAsia"/>
                <w:lang w:eastAsia="zh-CN"/>
              </w:rPr>
            </w:pPr>
            <w:r>
              <w:rPr>
                <w:rFonts w:hint="eastAsia"/>
              </w:rPr>
              <w:t>1</w:t>
            </w:r>
            <w:r>
              <w:rPr>
                <w:rFonts w:hint="eastAsia"/>
                <w:lang w:val="en-US" w:eastAsia="zh-CN"/>
              </w:rPr>
              <w:t>8</w:t>
            </w:r>
            <w:r>
              <w:rPr>
                <w:rFonts w:hint="eastAsia"/>
              </w:rPr>
              <w:t>、模型支持连接的设备</w:t>
            </w:r>
            <w:r>
              <w:rPr>
                <w:rFonts w:hint="eastAsia"/>
                <w:lang w:val="en-US" w:eastAsia="zh-CN"/>
              </w:rPr>
              <w:t>需包括</w:t>
            </w:r>
            <w:r>
              <w:rPr>
                <w:rFonts w:hint="eastAsia"/>
              </w:rPr>
              <w:t>：电子显示器、安装APP的手机、安装APP的平板、安装报告器系统的笔记本电脑</w:t>
            </w:r>
            <w:r>
              <w:rPr>
                <w:rFonts w:hint="eastAsia"/>
                <w:lang w:eastAsia="zh-CN"/>
              </w:rPr>
              <w:t>；</w:t>
            </w:r>
          </w:p>
          <w:p>
            <w:pPr>
              <w:pStyle w:val="31"/>
              <w:rPr>
                <w:rFonts w:hint="eastAsia" w:ascii="宋体" w:hAnsi="宋体" w:eastAsia="宋体" w:cs="宋体"/>
                <w:b/>
                <w:bCs/>
                <w:lang w:val="en-US" w:eastAsia="zh-CN"/>
              </w:rPr>
            </w:pPr>
            <w:r>
              <w:rPr>
                <w:rFonts w:hint="eastAsia" w:ascii="宋体" w:hAnsi="宋体" w:eastAsia="宋体" w:cs="宋体"/>
                <w:b/>
                <w:bCs/>
                <w:lang w:val="en-US" w:eastAsia="zh-CN"/>
              </w:rPr>
              <w:t>AED训练器：</w:t>
            </w:r>
          </w:p>
          <w:p>
            <w:pPr>
              <w:spacing w:line="360" w:lineRule="auto"/>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1、提供≥7寸彩色显示屏，支持动画指导用户执行急救操作</w:t>
            </w:r>
            <w:r>
              <w:rPr>
                <w:rFonts w:hint="eastAsia" w:cs="Times New Roman"/>
                <w:lang w:val="en-US" w:eastAsia="zh-CN"/>
              </w:rPr>
              <w:t>；</w:t>
            </w:r>
          </w:p>
          <w:p>
            <w:pPr>
              <w:spacing w:line="360" w:lineRule="auto"/>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2、支持成人/小儿患者类型快速切换</w:t>
            </w:r>
            <w:r>
              <w:rPr>
                <w:rFonts w:hint="eastAsia" w:cs="Times New Roman"/>
                <w:lang w:val="en-US" w:eastAsia="zh-CN"/>
              </w:rPr>
              <w:t>；</w:t>
            </w:r>
          </w:p>
          <w:p>
            <w:pPr>
              <w:spacing w:line="360" w:lineRule="auto"/>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3、通过无线红外线方式与主机之间传输指令</w:t>
            </w:r>
            <w:r>
              <w:rPr>
                <w:rFonts w:hint="eastAsia" w:cs="Times New Roman"/>
                <w:lang w:val="en-US" w:eastAsia="zh-CN"/>
              </w:rPr>
              <w:t>；</w:t>
            </w:r>
          </w:p>
          <w:p>
            <w:pPr>
              <w:spacing w:line="360" w:lineRule="auto"/>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4、由遥控器控制，具有至少6种基本训练场景及至少4种可选的模拟训练模式</w:t>
            </w:r>
            <w:r>
              <w:rPr>
                <w:rFonts w:hint="eastAsia" w:cs="Times New Roman"/>
                <w:lang w:val="en-US" w:eastAsia="zh-CN"/>
              </w:rPr>
              <w:t>；</w:t>
            </w:r>
          </w:p>
          <w:p>
            <w:pPr>
              <w:spacing w:line="360" w:lineRule="auto"/>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5、可近距离遥控多台培训机</w:t>
            </w:r>
            <w:r>
              <w:rPr>
                <w:rFonts w:hint="eastAsia" w:cs="Times New Roman"/>
                <w:lang w:val="en-US" w:eastAsia="zh-CN"/>
              </w:rPr>
              <w:t>；</w:t>
            </w:r>
          </w:p>
          <w:p>
            <w:pPr>
              <w:spacing w:line="360" w:lineRule="auto"/>
              <w:rPr>
                <w:rFonts w:hint="default" w:ascii="宋体" w:hAnsi="宋体" w:eastAsia="宋体" w:cs="宋体"/>
                <w:lang w:val="en-US" w:eastAsia="zh-CN"/>
              </w:rPr>
            </w:pPr>
            <w:r>
              <w:rPr>
                <w:rFonts w:hint="eastAsia" w:ascii="Times New Roman" w:hAnsi="Times New Roman" w:cs="Times New Roman" w:eastAsiaTheme="minorEastAsia"/>
                <w:lang w:val="en-US" w:eastAsia="zh-CN"/>
              </w:rPr>
              <w:t>6、同时支持半自动、全自动两种放电模式</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85" w:type="dxa"/>
            <w:tcBorders>
              <w:top w:val="single" w:color="auto" w:sz="4" w:space="0"/>
              <w:left w:val="single" w:color="auto" w:sz="4" w:space="0"/>
              <w:bottom w:val="single" w:color="auto" w:sz="4" w:space="0"/>
              <w:right w:val="single" w:color="auto" w:sz="4" w:space="0"/>
            </w:tcBorders>
          </w:tcPr>
          <w:p>
            <w:pPr>
              <w:pStyle w:val="17"/>
              <w:bidi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★二、配置要求：</w:t>
            </w:r>
          </w:p>
        </w:tc>
        <w:tc>
          <w:tcPr>
            <w:tcW w:w="784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模型</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气道</w:t>
            </w:r>
            <w:r>
              <w:rPr>
                <w:rFonts w:hint="eastAsia" w:ascii="宋体" w:hAnsi="宋体" w:eastAsia="宋体" w:cs="宋体"/>
                <w:sz w:val="24"/>
                <w:szCs w:val="24"/>
                <w:lang w:val="en-US" w:eastAsia="zh-CN"/>
              </w:rPr>
              <w:t xml:space="preserve">                            8</w:t>
            </w:r>
            <w:r>
              <w:rPr>
                <w:rFonts w:hint="eastAsia" w:ascii="宋体" w:hAnsi="宋体" w:eastAsia="宋体" w:cs="宋体"/>
                <w:sz w:val="24"/>
                <w:szCs w:val="24"/>
              </w:rPr>
              <w:t>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面皮</w:t>
            </w:r>
            <w:r>
              <w:rPr>
                <w:rFonts w:hint="eastAsia" w:ascii="宋体" w:hAnsi="宋体" w:eastAsia="宋体" w:cs="宋体"/>
                <w:sz w:val="24"/>
                <w:szCs w:val="24"/>
                <w:lang w:val="en-US" w:eastAsia="zh-CN"/>
              </w:rPr>
              <w:t xml:space="preserve">                            12</w:t>
            </w:r>
            <w:r>
              <w:rPr>
                <w:rFonts w:hint="eastAsia" w:ascii="宋体" w:hAnsi="宋体" w:eastAsia="宋体" w:cs="宋体"/>
                <w:sz w:val="24"/>
                <w:szCs w:val="24"/>
              </w:rPr>
              <w:t>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不同压力弹簧</w:t>
            </w:r>
            <w:r>
              <w:rPr>
                <w:rFonts w:hint="eastAsia" w:ascii="宋体" w:hAnsi="宋体" w:eastAsia="宋体" w:cs="宋体"/>
                <w:sz w:val="24"/>
                <w:szCs w:val="24"/>
                <w:lang w:val="en-US" w:eastAsia="zh-CN"/>
              </w:rPr>
              <w:t xml:space="preserve">                    12</w:t>
            </w:r>
            <w:r>
              <w:rPr>
                <w:rFonts w:hint="eastAsia" w:ascii="宋体" w:hAnsi="宋体" w:eastAsia="宋体" w:cs="宋体"/>
                <w:sz w:val="24"/>
                <w:szCs w:val="24"/>
              </w:rPr>
              <w:t>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USB充电线</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条</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外套 </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件</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可做培训垫的手提袋 </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个</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8、携带箱                          4个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使用说明书 </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本</w:t>
            </w:r>
          </w:p>
          <w:p>
            <w:pPr>
              <w:numPr>
                <w:ilvl w:val="0"/>
                <w:numId w:val="0"/>
              </w:numPr>
              <w:spacing w:line="360" w:lineRule="auto"/>
              <w:ind w:leftChars="0"/>
              <w:rPr>
                <w:rFonts w:hint="eastAsia" w:ascii="宋体" w:hAnsi="宋体" w:eastAsia="宋体" w:cs="宋体"/>
                <w:lang w:val="en-US" w:eastAsia="zh-CN"/>
              </w:rPr>
            </w:pPr>
            <w:r>
              <w:rPr>
                <w:rFonts w:hint="eastAsia"/>
                <w:lang w:val="en-US" w:eastAsia="zh-CN"/>
              </w:rPr>
              <w:t>1</w:t>
            </w:r>
            <w:r>
              <w:rPr>
                <w:rFonts w:hint="eastAsia" w:ascii="宋体" w:hAnsi="宋体" w:eastAsia="宋体" w:cs="宋体"/>
                <w:lang w:val="en-US" w:eastAsia="zh-CN"/>
              </w:rPr>
              <w:t>0、AED训练器                     2套</w:t>
            </w:r>
          </w:p>
          <w:p>
            <w:pPr>
              <w:numPr>
                <w:ilvl w:val="0"/>
                <w:numId w:val="0"/>
              </w:numPr>
              <w:spacing w:line="360" w:lineRule="auto"/>
              <w:ind w:leftChars="0"/>
              <w:rPr>
                <w:rFonts w:hint="default"/>
                <w:lang w:val="en-US" w:eastAsia="zh-CN"/>
              </w:rPr>
            </w:pPr>
            <w:r>
              <w:rPr>
                <w:rFonts w:hint="eastAsia" w:ascii="宋体" w:hAnsi="宋体" w:eastAsia="宋体" w:cs="宋体"/>
                <w:lang w:val="en-US" w:eastAsia="zh-CN"/>
              </w:rPr>
              <w:t>11、系统工作站                     2套</w:t>
            </w:r>
          </w:p>
        </w:tc>
      </w:tr>
    </w:tbl>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pacing w:val="6"/>
          <w:sz w:val="28"/>
          <w:szCs w:val="28"/>
          <w:lang w:val="en-US" w:eastAsia="zh-CN"/>
        </w:rPr>
      </w:pPr>
    </w:p>
    <w:p>
      <w:pPr>
        <w:keepNext w:val="0"/>
        <w:keepLines w:val="0"/>
        <w:pageBreakBefore w:val="0"/>
        <w:numPr>
          <w:ilvl w:val="0"/>
          <w:numId w:val="1"/>
        </w:numPr>
        <w:overflowPunct/>
        <w:topLinePunct w:val="0"/>
        <w:bidi w:val="0"/>
        <w:spacing w:line="240" w:lineRule="auto"/>
        <w:ind w:left="0" w:leftChars="0" w:firstLine="0" w:firstLineChars="0"/>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商务要求</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报价</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sz w:val="21"/>
                <w:szCs w:val="21"/>
                <w:highlight w:val="none"/>
              </w:rPr>
              <w:t>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交货地点</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采购人指定位置</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深圳市龙岗区龙城街道黄阁路186号</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交货期</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合同签订后</w:t>
            </w:r>
            <w:r>
              <w:rPr>
                <w:rFonts w:hint="eastAsia" w:asciiTheme="minorEastAsia" w:hAnsiTheme="minorEastAsia" w:cstheme="minorEastAsia"/>
                <w:b w:val="0"/>
                <w:bCs w:val="0"/>
                <w:color w:val="10243F" w:themeColor="text2" w:themeShade="80"/>
                <w:sz w:val="21"/>
                <w:szCs w:val="21"/>
                <w:highlight w:val="yellow"/>
                <w:lang w:val="en-US" w:eastAsia="zh-CN"/>
              </w:rPr>
              <w:t>接到甲方通知</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30个日历日内交货。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付款方式</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yellow"/>
                <w:lang w:eastAsia="zh-CN"/>
              </w:rPr>
            </w:pPr>
            <w:r>
              <w:rPr>
                <w:rFonts w:hint="eastAsia" w:asciiTheme="minorEastAsia" w:hAnsiTheme="minorEastAsia" w:eastAsiaTheme="minorEastAsia" w:cstheme="minorEastAsia"/>
                <w:b w:val="0"/>
                <w:bCs w:val="0"/>
                <w:color w:val="10243F" w:themeColor="text2" w:themeShade="80"/>
                <w:sz w:val="21"/>
                <w:szCs w:val="21"/>
                <w:highlight w:val="yellow"/>
                <w:lang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95</w:t>
            </w:r>
            <w:r>
              <w:rPr>
                <w:rFonts w:hint="eastAsia" w:asciiTheme="minorEastAsia" w:hAnsiTheme="minorEastAsia" w:eastAsiaTheme="minorEastAsia" w:cstheme="minorEastAsia"/>
                <w:b w:val="0"/>
                <w:bCs w:val="0"/>
                <w:color w:val="10243F" w:themeColor="text2" w:themeShade="80"/>
                <w:sz w:val="21"/>
                <w:szCs w:val="21"/>
                <w:highlight w:val="yellow"/>
                <w:lang w:eastAsia="zh-CN"/>
              </w:rPr>
              <w:t>%货款；③设备验收合格、财政资金到位按照相应规定支付中标人剩余货款。当采购人本年度的资金预算不足以支付项目款项时，则需顺延至下年度支付。</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签订合同时</w:t>
            </w:r>
            <w:r>
              <w:rPr>
                <w:rFonts w:hint="eastAsia" w:asciiTheme="minorEastAsia" w:hAnsiTheme="minorEastAsia" w:eastAsiaTheme="minorEastAsia" w:cstheme="minorEastAsia"/>
                <w:b w:val="0"/>
                <w:bCs w:val="0"/>
                <w:color w:val="10243F" w:themeColor="text2" w:themeShade="80"/>
                <w:sz w:val="21"/>
                <w:szCs w:val="21"/>
                <w:highlight w:val="none"/>
                <w:lang w:eastAsia="zh-CN"/>
              </w:rPr>
              <w:t>需提交厂家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出具的</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3年</w:t>
            </w:r>
            <w:r>
              <w:rPr>
                <w:rFonts w:hint="eastAsia" w:asciiTheme="minorEastAsia" w:hAnsiTheme="minorEastAsia" w:eastAsiaTheme="minorEastAsia" w:cstheme="minorEastAsia"/>
                <w:b w:val="0"/>
                <w:bCs w:val="0"/>
                <w:color w:val="10243F" w:themeColor="text2" w:themeShade="80"/>
                <w:sz w:val="21"/>
                <w:szCs w:val="21"/>
                <w:highlight w:val="none"/>
                <w:lang w:eastAsia="zh-CN"/>
              </w:rPr>
              <w:t>质保售后服务</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承诺书</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）中标人提供的产品不合格，或产品存在瑕疵、缺陷，采购人有权暂停支付中标人项目相应到期应付货款，且不视为采购人违约，直到双方正式处理完不合格产品为止。</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）采购人在规定时间向支付部门提出支付申请，如因财政支付部门审核时间导致无法按期支付的，采购人不承担违约责任。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验收方式</w:t>
            </w:r>
          </w:p>
        </w:tc>
        <w:tc>
          <w:tcPr>
            <w:tcW w:w="4043" w:type="pct"/>
            <w:tcBorders>
              <w:top w:val="single" w:color="auto" w:sz="4" w:space="0"/>
              <w:left w:val="single" w:color="auto" w:sz="4" w:space="0"/>
              <w:right w:val="single" w:color="auto" w:sz="4" w:space="0"/>
            </w:tcBorders>
            <w:noWrap w:val="0"/>
            <w:vAlign w:val="center"/>
          </w:tcPr>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货到安装，现场验收。中标人应派有经验的技术人员到现场进行安装、调试，直到设备正常使用。</w:t>
            </w:r>
          </w:p>
          <w:p>
            <w:pPr>
              <w:pStyle w:val="24"/>
              <w:numPr>
                <w:ilvl w:val="0"/>
                <w:numId w:val="0"/>
              </w:numPr>
              <w:rPr>
                <w:rFonts w:hint="eastAsia" w:asciiTheme="minorEastAsia" w:hAnsiTheme="minorEastAsia" w:eastAsiaTheme="minorEastAsia" w:cstheme="minorEastAsia"/>
                <w:b w:val="0"/>
                <w:bCs w:val="0"/>
                <w:color w:val="10243F" w:themeColor="text2" w:themeShade="80"/>
                <w:sz w:val="21"/>
                <w:szCs w:val="21"/>
                <w:highlight w:val="none"/>
                <w:lang w:val="en-US" w:eastAsia="zh-CN" w:bidi="ar-SA"/>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bidi="ar-SA"/>
              </w:rPr>
              <w:t>2、交货后30个日历日内完成安装、调试、交付使用，由采购人使用科室、设备科、中标人等代表在场进行验收。</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lang w:eastAsia="zh-CN"/>
              </w:rPr>
              <w:t>在本</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项目</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、产品质量和安装调试检验标准遵照国家相关规定和最新标准执行。提供的货物必须为全新、经检验合格的产品，且</w:t>
            </w:r>
            <w:r>
              <w:rPr>
                <w:rFonts w:hint="eastAsia" w:ascii="宋体" w:hAnsi="宋体"/>
                <w:szCs w:val="21"/>
                <w:highlight w:val="none"/>
              </w:rPr>
              <w:t>产品生产日期应为验收日期一年内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、当满足以下条件时，采购人才向中标人签发货物验收报告：</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yellow"/>
                <w:lang w:val="en-US" w:eastAsia="zh-CN"/>
              </w:rPr>
            </w:pP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A.设备出厂日期≤1年</w:t>
            </w:r>
            <w:r>
              <w:rPr>
                <w:rFonts w:hint="eastAsia" w:asciiTheme="minorEastAsia" w:hAnsiTheme="minorEastAsia" w:cstheme="minorEastAsia"/>
                <w:b w:val="0"/>
                <w:bCs w:val="0"/>
                <w:color w:val="10243F" w:themeColor="text2" w:themeShade="80"/>
                <w:sz w:val="21"/>
                <w:szCs w:val="21"/>
                <w:highlight w:val="yellow"/>
                <w:lang w:val="en-US" w:eastAsia="zh-CN"/>
              </w:rPr>
              <w:t>（以合同签订时间为准）；</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B.中标人按合同要求如期交货；</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C.中标人已按照合同规定提供了全部产品及完整的技术资料；</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D.货物符合招标文件技术规格书的要求，性能满足要求；</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E.提供货物中文说明书；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F.提供维修手册、与厂家签订的3年质保售后服务协议；</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G.进口设备必须提供正常有效的报关证明（报关单、海关增值税发票）及合法有效的商检合格证明；</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cstheme="minorEastAsia"/>
                <w:b w:val="0"/>
                <w:bCs w:val="0"/>
                <w:color w:val="10243F" w:themeColor="text2" w:themeShade="80"/>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7</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、验收时，中标人须按采购人要求提供中标验货验收所需要的其他资料。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包装及运输要求</w:t>
            </w:r>
          </w:p>
        </w:tc>
        <w:tc>
          <w:tcPr>
            <w:tcW w:w="4043" w:type="pct"/>
            <w:tcBorders>
              <w:top w:val="single" w:color="auto" w:sz="4" w:space="0"/>
              <w:left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售后服务要求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乙方对所提供的设备(包括零配件)提供</w:t>
            </w:r>
            <w:r>
              <w:rPr>
                <w:rFonts w:hint="eastAsia" w:asciiTheme="minorEastAsia" w:hAnsiTheme="minorEastAsia" w:eastAsiaTheme="minorEastAsia" w:cstheme="minorEastAsia"/>
                <w:b w:val="0"/>
                <w:bCs w:val="0"/>
                <w:color w:val="10243F" w:themeColor="text2" w:themeShade="80"/>
                <w:sz w:val="21"/>
                <w:szCs w:val="21"/>
                <w:highlight w:val="yellow"/>
                <w:lang w:eastAsia="zh-CN"/>
              </w:rPr>
              <w:t>免费保修期</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 xml:space="preserve"> 3 </w:t>
            </w:r>
            <w:r>
              <w:rPr>
                <w:rFonts w:hint="eastAsia" w:asciiTheme="minorEastAsia" w:hAnsiTheme="minorEastAsia" w:eastAsiaTheme="minorEastAsia" w:cstheme="minorEastAsia"/>
                <w:b w:val="0"/>
                <w:bCs w:val="0"/>
                <w:color w:val="10243F" w:themeColor="text2" w:themeShade="80"/>
                <w:sz w:val="21"/>
                <w:szCs w:val="21"/>
                <w:highlight w:val="yellow"/>
                <w:lang w:eastAsia="zh-CN"/>
              </w:rPr>
              <w:t>年</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。(免费保修期时间自最终验收合格并交付使用之日起计算)，在免费保修期，</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需</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提供原装的零配件及其维修，终身负责维修，储备足够的零配件备库并保证十年以上维修配件；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一</w:t>
            </w:r>
            <w:r>
              <w:rPr>
                <w:rFonts w:hint="eastAsia" w:asciiTheme="minorEastAsia" w:hAnsiTheme="minorEastAsia" w:eastAsiaTheme="minorEastAsia" w:cstheme="minorEastAsia"/>
                <w:b w:val="0"/>
                <w:bCs w:val="0"/>
                <w:color w:val="10243F" w:themeColor="text2" w:themeShade="80"/>
                <w:sz w:val="21"/>
                <w:szCs w:val="21"/>
                <w:highlight w:val="none"/>
                <w:lang w:eastAsia="zh-CN"/>
              </w:rPr>
              <w:t>年需对设备进行维护四次（每季度一次），不额外收费。免费保修期内出现的质量问题,由乙方负责,乙方负责包修、包换或者包退,并承担修理、调换或退货的实际费用。免费保修期外，乙方负责提供原装配件并免费维修更换，不额外收费，甲方只需支付更换的零配件费用。乙方负责该套设备软件的免费安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软件终身</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免费升级维护、备份。</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免费保修期内，乙方应对产品因质量出现的问题修复，在</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内响应，</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24小时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内到达现场维修，</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48小时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内消除故障(不可抗力情况除外)，消耗品/零配件供应及时；若在48小时内不能及时排除故障的，乙方应在</w:t>
            </w:r>
            <w:r>
              <w:rPr>
                <w:rFonts w:hint="eastAsia" w:asciiTheme="minorEastAsia" w:hAnsiTheme="minorEastAsia" w:eastAsiaTheme="minorEastAsia" w:cstheme="minorEastAsia"/>
                <w:b w:val="0"/>
                <w:bCs w:val="0"/>
                <w:color w:val="10243F" w:themeColor="text2" w:themeShade="80"/>
                <w:sz w:val="21"/>
                <w:szCs w:val="21"/>
                <w:highlight w:val="yellow"/>
                <w:lang w:eastAsia="zh-CN"/>
              </w:rPr>
              <w:t>10个日历日内向甲方提供不低故障设备规格型号档次的备用设备使用</w:t>
            </w:r>
            <w:r>
              <w:rPr>
                <w:rFonts w:hint="eastAsia" w:asciiTheme="minorEastAsia" w:hAnsiTheme="minorEastAsia" w:eastAsiaTheme="minorEastAsia" w:cstheme="minorEastAsia"/>
                <w:b w:val="0"/>
                <w:bCs w:val="0"/>
                <w:color w:val="10243F" w:themeColor="text2" w:themeShade="80"/>
                <w:sz w:val="21"/>
                <w:szCs w:val="21"/>
                <w:highlight w:val="none"/>
                <w:lang w:eastAsia="zh-CN"/>
              </w:rPr>
              <w:t>，直至故障修复为止。由此产生的包括但不限于运输费、安装费、搬运费、替换产品的损耗费、零部件费、调试费等全部费用由乙方承担。</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甲方的直接经济损失和间接经济损失，以上费用均已包含在洽谈报价中。【注：年开机率=（365-停机天数）/365】</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提供工程师电话和技术维修力量情况和维修的详细地址及联系方式。</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、负责安装、调试、提供技术咨询、软件升级及人员培训，以保证采购人工作人员掌握设备各种使用操作，不额外收费。</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、如场地迁移，需要移机时，乙方需提供设备拆装服务（包括但不限于本次招标的设备）并提供技术支持，且确保机器的正常使用，不额外收费。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违约责任</w:t>
            </w:r>
          </w:p>
          <w:p>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2、中标人若逾期30日以上不能交付设备，采购人有权选择解除合同并且中标人应向采购人支付本合同总金额百分之二十的违约金。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3、中标人逾期交付设备或安装调试，中标人向采购人每日支付本合同总金额万分之五的违约金。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5、如中标人未按照本合同的约定提供售后服务，中标人向采购人支付本合同总金额百分之二十的违约金，给采购人造成损失的，中标人应承担全部赔偿责任。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8、</w:t>
            </w:r>
            <w:r>
              <w:rPr>
                <w:rFonts w:hint="eastAsia" w:asciiTheme="minorEastAsia" w:hAnsiTheme="minorEastAsia" w:eastAsiaTheme="minorEastAsia" w:cstheme="minorEastAsia"/>
                <w:b w:val="0"/>
                <w:bCs w:val="0"/>
                <w:color w:val="1024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9、</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中标人提供的产品不合格，或产品存在瑕疵、缺陷，采购人有权暂停支付中标人项下相应到期应付货款，且不视为采购人违约，直到双方正式处理完不合格产品为止。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其他要求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本项目中如有涉及水、电、气设备安装及调试、室外高空作业等项目的中标人应使用具有国家认可资质的操作人员（资质证书仍在有效期内）实施，否则由此造成的后果由中标人负责。</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本项目所要求的硬件、软件，中标人要配备给采购人，并保证采购人能正常使用，不需要另外增加其他附件和其他费用。</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软件应用的设备，中标人和厂家应配合采购人智慧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投标机型的硬件及软件配置均须是注册证或官方白皮书所描述的，且在不同的应用领域（临床、科研）新技术改进、更新的产品。</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6、设备使用期间，发生产品召回事件，中标人提供替代或赔偿方案。</w:t>
            </w:r>
          </w:p>
        </w:tc>
      </w:tr>
    </w:tbl>
    <w:p/>
    <w:bookmarkEnd w:id="21"/>
    <w:bookmarkEnd w:id="22"/>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both"/>
        <w:rPr>
          <w:rFonts w:hint="eastAsia" w:asciiTheme="minorEastAsia" w:hAnsiTheme="minorEastAsia" w:eastAsiaTheme="minorEastAsia" w:cstheme="minorEastAsia"/>
          <w:b/>
          <w:bCs/>
          <w:sz w:val="24"/>
          <w:szCs w:val="24"/>
        </w:rPr>
      </w:pPr>
    </w:p>
    <w:p>
      <w:pPr>
        <w:pStyle w:val="15"/>
        <w:tabs>
          <w:tab w:val="left" w:pos="426"/>
        </w:tabs>
        <w:jc w:val="both"/>
        <w:rPr>
          <w:rFonts w:hint="eastAsia" w:asciiTheme="minorEastAsia" w:hAnsiTheme="minorEastAsia" w:eastAsiaTheme="minorEastAsia" w:cstheme="minorEastAsia"/>
          <w:b/>
          <w:bCs/>
          <w:sz w:val="24"/>
          <w:szCs w:val="24"/>
        </w:rPr>
      </w:pPr>
    </w:p>
    <w:p>
      <w:pP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br w:type="page"/>
      </w:r>
    </w:p>
    <w:p>
      <w:pPr>
        <w:pStyle w:val="15"/>
        <w:tabs>
          <w:tab w:val="left" w:pos="426"/>
        </w:tabs>
        <w:jc w:val="center"/>
        <w:rPr>
          <w:rFonts w:hint="eastAsia" w:asciiTheme="minorEastAsia" w:hAnsiTheme="minorEastAsia" w:eastAsiaTheme="minorEastAsia" w:cstheme="minorEastAsia"/>
          <w:b/>
          <w:bCs/>
          <w:sz w:val="24"/>
          <w:szCs w:val="24"/>
        </w:rPr>
      </w:pPr>
      <w:r>
        <w:rPr>
          <w:rFonts w:hint="eastAsia" w:ascii="Cambria" w:hAnsi="Cambria" w:cs="Times New Roman" w:eastAsiaTheme="minorEastAsia"/>
          <w:b/>
          <w:bCs/>
          <w:kern w:val="28"/>
          <w:sz w:val="28"/>
          <w:szCs w:val="32"/>
          <w:lang w:val="en-US" w:eastAsia="zh-CN" w:bidi="ar-SA"/>
        </w:rPr>
        <w:t>第四章   投标文件的组成、格式</w:t>
      </w:r>
    </w:p>
    <w:p>
      <w:pPr>
        <w:spacing w:line="420" w:lineRule="exact"/>
        <w:ind w:firstLine="480" w:firstLineChars="200"/>
        <w:rPr>
          <w:rFonts w:hint="eastAsia" w:asciiTheme="minorEastAsia" w:hAnsiTheme="minorEastAsia" w:eastAsiaTheme="minorEastAsia" w:cstheme="minorEastAsia"/>
          <w:sz w:val="24"/>
          <w:szCs w:val="24"/>
        </w:rPr>
      </w:pPr>
    </w:p>
    <w:p>
      <w:pPr>
        <w:tabs>
          <w:tab w:val="left" w:pos="360"/>
        </w:tabs>
        <w:spacing w:line="460" w:lineRule="exact"/>
        <w:jc w:val="both"/>
        <w:rPr>
          <w:rFonts w:hint="eastAsia" w:asciiTheme="minorEastAsia" w:hAnsiTheme="minorEastAsia" w:eastAsiaTheme="minorEastAsia" w:cstheme="minorEastAsia"/>
          <w:sz w:val="24"/>
          <w:szCs w:val="24"/>
        </w:rPr>
      </w:pPr>
      <w:bookmarkStart w:id="24" w:name="_Toc5828"/>
      <w:bookmarkStart w:id="25" w:name="_Toc24698"/>
      <w:bookmarkStart w:id="26" w:name="_Toc24797"/>
      <w:bookmarkStart w:id="27" w:name="_Toc18075"/>
      <w:r>
        <w:rPr>
          <w:rFonts w:hint="eastAsia" w:asciiTheme="minorEastAsia" w:hAnsiTheme="minorEastAsia" w:eastAsiaTheme="minorEastAsia" w:cstheme="minorEastAsia"/>
          <w:b/>
          <w:bCs/>
          <w:sz w:val="24"/>
          <w:szCs w:val="24"/>
        </w:rPr>
        <w:t>投标文件组成</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一、</w:t>
      </w:r>
      <w:r>
        <w:rPr>
          <w:rFonts w:hint="eastAsia" w:asciiTheme="minorEastAsia" w:hAnsiTheme="minorEastAsia" w:eastAsiaTheme="minorEastAsia" w:cstheme="minorEastAsia"/>
          <w:b w:val="0"/>
          <w:bCs w:val="0"/>
          <w:sz w:val="24"/>
          <w:szCs w:val="24"/>
          <w:lang w:val="en-US" w:eastAsia="zh-CN"/>
        </w:rPr>
        <w:t>封面</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二、</w:t>
      </w:r>
      <w:r>
        <w:rPr>
          <w:rFonts w:hint="eastAsia" w:asciiTheme="minorEastAsia" w:hAnsiTheme="minorEastAsia" w:eastAsiaTheme="minorEastAsia" w:cstheme="minorEastAsia"/>
          <w:b w:val="0"/>
          <w:bCs w:val="0"/>
          <w:sz w:val="24"/>
          <w:szCs w:val="24"/>
          <w:lang w:val="en-US" w:eastAsia="zh-CN"/>
        </w:rPr>
        <w:t>目录指引</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三、</w:t>
      </w:r>
      <w:r>
        <w:rPr>
          <w:rFonts w:hint="eastAsia" w:asciiTheme="minorEastAsia" w:hAnsiTheme="minorEastAsia" w:eastAsiaTheme="minorEastAsia" w:cstheme="minorEastAsia"/>
          <w:b w:val="0"/>
          <w:bCs w:val="0"/>
          <w:sz w:val="24"/>
          <w:szCs w:val="24"/>
          <w:lang w:val="en-US" w:eastAsia="zh-CN"/>
        </w:rPr>
        <w:t>投标函</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四、</w:t>
      </w:r>
      <w:r>
        <w:rPr>
          <w:rFonts w:hint="eastAsia" w:asciiTheme="minorEastAsia" w:hAnsiTheme="minorEastAsia" w:eastAsiaTheme="minorEastAsia" w:cstheme="minorEastAsia"/>
          <w:b w:val="0"/>
          <w:bCs w:val="0"/>
          <w:sz w:val="24"/>
          <w:szCs w:val="24"/>
          <w:lang w:val="en-US" w:eastAsia="zh-CN"/>
        </w:rPr>
        <w:t>投标及履约承诺函</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五、</w:t>
      </w:r>
      <w:r>
        <w:rPr>
          <w:rFonts w:hint="eastAsia" w:asciiTheme="minorEastAsia" w:hAnsiTheme="minorEastAsia" w:eastAsiaTheme="minorEastAsia" w:cstheme="minorEastAsia"/>
          <w:b w:val="0"/>
          <w:bCs w:val="0"/>
          <w:sz w:val="24"/>
          <w:szCs w:val="24"/>
          <w:lang w:val="en-US" w:eastAsia="zh-CN"/>
        </w:rPr>
        <w:t>采购违法行为风险知悉确认书</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六、投标人基本情况及资格证明文件</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（一）投标人基本情况</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（二）资格证明文件</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七、</w:t>
      </w:r>
      <w:r>
        <w:rPr>
          <w:rFonts w:hint="eastAsia" w:asciiTheme="minorEastAsia" w:hAnsiTheme="minorEastAsia" w:eastAsiaTheme="minorEastAsia" w:cstheme="minorEastAsia"/>
          <w:b w:val="0"/>
          <w:bCs w:val="0"/>
          <w:sz w:val="24"/>
          <w:szCs w:val="24"/>
          <w:lang w:val="en-US" w:eastAsia="zh-CN"/>
        </w:rPr>
        <w:t>项目</w:t>
      </w:r>
      <w:r>
        <w:rPr>
          <w:rFonts w:hint="eastAsia" w:asciiTheme="minorEastAsia" w:hAnsiTheme="minorEastAsia" w:eastAsiaTheme="minorEastAsia" w:cstheme="minorEastAsia"/>
          <w:b w:val="0"/>
          <w:bCs w:val="0"/>
          <w:sz w:val="24"/>
          <w:szCs w:val="24"/>
        </w:rPr>
        <w:t>报价明细表</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lang w:val="en-US" w:eastAsia="zh-CN"/>
        </w:rPr>
        <w:t>技术要求偏离表</w:t>
      </w:r>
      <w:r>
        <w:rPr>
          <w:rFonts w:hint="eastAsia" w:asciiTheme="minorEastAsia" w:hAnsiTheme="minorEastAsia" w:cstheme="minorEastAsia"/>
          <w:b w:val="0"/>
          <w:bCs w:val="0"/>
          <w:sz w:val="24"/>
          <w:szCs w:val="24"/>
          <w:lang w:val="en-US" w:eastAsia="zh-CN"/>
        </w:rPr>
        <w:t>及佐证材料</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九、</w:t>
      </w:r>
      <w:r>
        <w:rPr>
          <w:rFonts w:hint="eastAsia" w:asciiTheme="minorEastAsia" w:hAnsiTheme="minorEastAsia" w:eastAsiaTheme="minorEastAsia" w:cstheme="minorEastAsia"/>
          <w:b w:val="0"/>
          <w:bCs w:val="0"/>
          <w:sz w:val="24"/>
          <w:szCs w:val="24"/>
          <w:lang w:val="en-US" w:eastAsia="zh-CN"/>
        </w:rPr>
        <w:t>商务要求偏离表</w:t>
      </w:r>
      <w:r>
        <w:rPr>
          <w:rFonts w:hint="eastAsia" w:asciiTheme="minorEastAsia" w:hAnsiTheme="minorEastAsia" w:cstheme="minorEastAsia"/>
          <w:b w:val="0"/>
          <w:bCs w:val="0"/>
          <w:sz w:val="24"/>
          <w:szCs w:val="24"/>
          <w:lang w:val="en-US" w:eastAsia="zh-CN"/>
        </w:rPr>
        <w:t>及佐证材料</w:t>
      </w:r>
      <w:r>
        <w:rPr>
          <w:rFonts w:hint="eastAsia" w:asciiTheme="minorEastAsia" w:hAnsiTheme="minorEastAsia" w:eastAsiaTheme="minorEastAsia" w:cstheme="minorEastAsia"/>
          <w:b w:val="0"/>
          <w:bCs w:val="0"/>
          <w:sz w:val="24"/>
          <w:szCs w:val="24"/>
          <w:lang w:val="en-US" w:eastAsia="zh-CN"/>
        </w:rPr>
        <w:t xml:space="preserve"> </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十、其他响应评分的内容及佐证材料（如业绩等）</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十</w:t>
      </w:r>
      <w:r>
        <w:rPr>
          <w:rFonts w:hint="eastAsia" w:asciiTheme="minorEastAsia" w:hAnsiTheme="minorEastAsia" w:cstheme="minorEastAsia"/>
          <w:b w:val="0"/>
          <w:bCs w:val="0"/>
          <w:sz w:val="24"/>
          <w:szCs w:val="24"/>
          <w:lang w:val="en-US" w:eastAsia="zh-CN"/>
        </w:rPr>
        <w:t>一</w:t>
      </w:r>
      <w:r>
        <w:rPr>
          <w:rFonts w:hint="eastAsia" w:asciiTheme="minorEastAsia" w:hAnsiTheme="minorEastAsia" w:eastAsiaTheme="minorEastAsia" w:cstheme="minorEastAsia"/>
          <w:b w:val="0"/>
          <w:bCs w:val="0"/>
          <w:sz w:val="24"/>
          <w:szCs w:val="24"/>
          <w:lang w:val="en-US" w:eastAsia="zh-CN"/>
        </w:rPr>
        <w:t>、产品的保障措施</w:t>
      </w:r>
    </w:p>
    <w:p>
      <w:pPr>
        <w:tabs>
          <w:tab w:val="left" w:pos="360"/>
        </w:tabs>
        <w:spacing w:line="460" w:lineRule="exact"/>
        <w:jc w:val="both"/>
        <w:rPr>
          <w:rFonts w:hint="default" w:asciiTheme="minorEastAsia" w:hAnsiTheme="minorEastAsia" w:eastAsiaTheme="minorEastAsia" w:cstheme="minorEastAsia"/>
          <w:sz w:val="24"/>
          <w:szCs w:val="24"/>
          <w:lang w:val="en-US" w:eastAsia="zh-CN"/>
        </w:rPr>
      </w:pPr>
    </w:p>
    <w:p>
      <w:pPr>
        <w:tabs>
          <w:tab w:val="left" w:pos="360"/>
        </w:tabs>
        <w:spacing w:line="460" w:lineRule="exact"/>
        <w:ind w:firstLine="480" w:firstLineChars="200"/>
        <w:jc w:val="both"/>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rPr>
        <w:t>备注：投标人将所有投标文件一起包装在一个密封袋里，并在袋上注明项目名称以及投标人名称、地址，封口处应贴封条并骑缝加盖投标人公章。投标文件由以上组成，按如上顺序分别装订成本（不少于六份，一正五副）</w:t>
      </w:r>
      <w:r>
        <w:rPr>
          <w:rFonts w:hint="eastAsia" w:asciiTheme="minorEastAsia" w:hAnsiTheme="minorEastAsia" w:cstheme="minorEastAsia"/>
          <w:color w:val="FF0000"/>
          <w:sz w:val="24"/>
          <w:szCs w:val="24"/>
          <w:lang w:eastAsia="zh-CN"/>
        </w:rPr>
        <w:t>。</w:t>
      </w:r>
    </w:p>
    <w:bookmarkEnd w:id="24"/>
    <w:bookmarkEnd w:id="25"/>
    <w:bookmarkEnd w:id="26"/>
    <w:bookmarkEnd w:id="27"/>
    <w:p>
      <w:pPr>
        <w:jc w:val="right"/>
        <w:rPr>
          <w:rFonts w:hint="eastAsia"/>
          <w:sz w:val="44"/>
          <w:szCs w:val="44"/>
          <w:u w:val="single"/>
        </w:rPr>
      </w:pPr>
      <w:bookmarkStart w:id="28" w:name="_Toc13843"/>
    </w:p>
    <w:p>
      <w:pPr>
        <w:pStyle w:val="24"/>
        <w:rPr>
          <w:rFonts w:hint="eastAsia"/>
          <w:sz w:val="44"/>
          <w:szCs w:val="44"/>
          <w:u w:val="single"/>
        </w:rPr>
      </w:pPr>
    </w:p>
    <w:p>
      <w:pPr>
        <w:pStyle w:val="24"/>
        <w:rPr>
          <w:rFonts w:hint="eastAsia"/>
          <w:sz w:val="44"/>
          <w:szCs w:val="44"/>
          <w:u w:val="single"/>
        </w:rPr>
      </w:pPr>
    </w:p>
    <w:p>
      <w:pPr>
        <w:jc w:val="left"/>
        <w:rPr>
          <w:rFonts w:hint="eastAsia"/>
          <w:sz w:val="44"/>
          <w:szCs w:val="44"/>
          <w:u w:val="single"/>
        </w:rPr>
      </w:pPr>
      <w:r>
        <w:rPr>
          <w:rFonts w:hint="eastAsia"/>
          <w:sz w:val="44"/>
          <w:szCs w:val="44"/>
          <w:u w:val="single"/>
        </w:rPr>
        <w:br w:type="page"/>
      </w:r>
    </w:p>
    <w:p>
      <w:pPr>
        <w:jc w:val="right"/>
        <w:rPr>
          <w:sz w:val="44"/>
          <w:szCs w:val="44"/>
          <w:u w:val="single"/>
        </w:rPr>
      </w:pPr>
      <w:r>
        <w:rPr>
          <w:rFonts w:hint="eastAsia"/>
          <w:sz w:val="44"/>
          <w:szCs w:val="44"/>
          <w:u w:val="single"/>
        </w:rPr>
        <w:t>（□正本 □副本）</w:t>
      </w:r>
    </w:p>
    <w:p>
      <w:pPr>
        <w:jc w:val="center"/>
        <w:rPr>
          <w:sz w:val="44"/>
          <w:szCs w:val="44"/>
          <w:u w:val="single"/>
        </w:rPr>
      </w:pPr>
    </w:p>
    <w:p>
      <w:pPr>
        <w:jc w:val="center"/>
        <w:rPr>
          <w:rFonts w:hint="eastAsia"/>
          <w:sz w:val="44"/>
          <w:szCs w:val="44"/>
          <w:u w:val="single"/>
        </w:rPr>
      </w:pPr>
    </w:p>
    <w:p>
      <w:pPr>
        <w:jc w:val="center"/>
        <w:rPr>
          <w:sz w:val="44"/>
          <w:szCs w:val="44"/>
          <w:u w:val="single"/>
        </w:rPr>
      </w:pPr>
      <w:r>
        <w:rPr>
          <w:rFonts w:hint="eastAsia"/>
          <w:sz w:val="44"/>
          <w:szCs w:val="44"/>
          <w:u w:val="single"/>
        </w:rPr>
        <w:t>（项目名称全称）</w:t>
      </w:r>
    </w:p>
    <w:p>
      <w:pPr>
        <w:jc w:val="center"/>
        <w:rPr>
          <w:sz w:val="44"/>
          <w:szCs w:val="44"/>
        </w:rPr>
      </w:pPr>
      <w:r>
        <w:rPr>
          <w:rFonts w:hint="eastAsia"/>
          <w:sz w:val="44"/>
          <w:szCs w:val="44"/>
        </w:rPr>
        <w:t>投标文件</w:t>
      </w:r>
    </w:p>
    <w:p/>
    <w:p>
      <w:pPr>
        <w:pStyle w:val="64"/>
        <w:ind w:firstLine="480"/>
      </w:pPr>
    </w:p>
    <w:p>
      <w:pPr>
        <w:tabs>
          <w:tab w:val="left" w:pos="426"/>
        </w:tabs>
      </w:pPr>
    </w:p>
    <w:p>
      <w:pPr>
        <w:tabs>
          <w:tab w:val="left" w:pos="426"/>
        </w:tabs>
        <w:ind w:firstLine="960" w:firstLineChars="300"/>
        <w:rPr>
          <w:rFonts w:hint="eastAsia"/>
          <w:sz w:val="32"/>
          <w:szCs w:val="32"/>
        </w:rPr>
      </w:pP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u w:val="single"/>
        </w:rPr>
      </w:pPr>
      <w:r>
        <w:rPr>
          <w:rFonts w:hint="eastAsia"/>
          <w:sz w:val="32"/>
          <w:szCs w:val="32"/>
        </w:rPr>
        <w:t>项目名称：</w:t>
      </w:r>
      <w:r>
        <w:rPr>
          <w:rFonts w:hint="eastAsia"/>
          <w:sz w:val="24"/>
          <w:u w:val="single"/>
        </w:rPr>
        <w:t xml:space="preserve">                                  </w:t>
      </w:r>
      <w:r>
        <w:rPr>
          <w:sz w:val="24"/>
          <w:u w:val="single"/>
        </w:rPr>
        <w:t xml:space="preserve"> </w:t>
      </w:r>
      <w:r>
        <w:rPr>
          <w:rFonts w:hint="eastAsia"/>
          <w:sz w:val="24"/>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u w:val="single"/>
        </w:rPr>
      </w:pPr>
      <w:r>
        <w:rPr>
          <w:rFonts w:hint="eastAsia"/>
          <w:sz w:val="32"/>
          <w:szCs w:val="32"/>
        </w:rPr>
        <w:t>投标单位名称（公章）：</w:t>
      </w:r>
      <w:r>
        <w:rPr>
          <w:rFonts w:hint="eastAsia"/>
          <w:sz w:val="32"/>
          <w:szCs w:val="32"/>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u w:val="single"/>
        </w:rPr>
      </w:pPr>
      <w:r>
        <w:rPr>
          <w:rFonts w:hint="eastAsia"/>
          <w:sz w:val="32"/>
          <w:szCs w:val="32"/>
        </w:rPr>
        <w:t>投标单位地址：</w:t>
      </w:r>
      <w:r>
        <w:rPr>
          <w:rFonts w:hint="eastAsia"/>
          <w:sz w:val="32"/>
          <w:szCs w:val="32"/>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pPr>
        <w:tabs>
          <w:tab w:val="left" w:pos="426"/>
        </w:tabs>
        <w:rPr>
          <w:szCs w:val="21"/>
        </w:rPr>
      </w:pPr>
    </w:p>
    <w:p>
      <w:pPr>
        <w:pStyle w:val="15"/>
        <w:tabs>
          <w:tab w:val="left" w:pos="426"/>
        </w:tabs>
        <w:ind w:firstLine="960" w:firstLineChars="300"/>
      </w:pPr>
      <w:r>
        <w:rPr>
          <w:rFonts w:hint="eastAsia"/>
          <w:sz w:val="32"/>
          <w:szCs w:val="32"/>
        </w:rPr>
        <w:t>时    间</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pPr>
        <w:pStyle w:val="15"/>
        <w:tabs>
          <w:tab w:val="left" w:pos="426"/>
        </w:tabs>
        <w:ind w:firstLine="630" w:firstLineChars="300"/>
      </w:pPr>
    </w:p>
    <w:p>
      <w:pPr>
        <w:pStyle w:val="15"/>
        <w:tabs>
          <w:tab w:val="left" w:pos="426"/>
        </w:tabs>
        <w:ind w:firstLine="630" w:firstLineChars="300"/>
      </w:pPr>
    </w:p>
    <w:p>
      <w:pPr>
        <w:pStyle w:val="15"/>
        <w:tabs>
          <w:tab w:val="left" w:pos="426"/>
        </w:tabs>
        <w:ind w:firstLine="630" w:firstLineChars="300"/>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4"/>
          <w:szCs w:val="24"/>
          <w:lang w:val="en-US" w:eastAsia="zh-CN"/>
        </w:rPr>
      </w:pPr>
    </w:p>
    <w:p>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pPr>
        <w:spacing w:line="420" w:lineRule="exact"/>
        <w:outlineLvl w:val="3"/>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二、目录指引</w:t>
      </w:r>
    </w:p>
    <w:p>
      <w:pPr>
        <w:rPr>
          <w:rFonts w:hint="eastAsia"/>
          <w:b/>
          <w:bCs/>
          <w:color w:val="FF0000"/>
        </w:rPr>
      </w:pPr>
      <w:r>
        <w:rPr>
          <w:rFonts w:hint="eastAsia"/>
          <w:b w:val="0"/>
          <w:bCs w:val="0"/>
          <w:color w:val="FF0000"/>
          <w:lang w:eastAsia="zh-CN"/>
        </w:rPr>
        <w:t>（</w:t>
      </w:r>
      <w:r>
        <w:rPr>
          <w:rFonts w:hint="eastAsia"/>
          <w:b w:val="0"/>
          <w:bCs w:val="0"/>
          <w:color w:val="FF0000"/>
        </w:rPr>
        <w:t>按照洽谈文件相应内容，请标明各部分内容的页码。</w:t>
      </w:r>
      <w:r>
        <w:rPr>
          <w:rFonts w:hint="eastAsia"/>
          <w:b w:val="0"/>
          <w:bCs w:val="0"/>
          <w:color w:val="FF0000"/>
          <w:lang w:eastAsia="zh-CN"/>
        </w:rPr>
        <w:t>）</w:t>
      </w: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pStyle w:val="31"/>
        <w:rPr>
          <w:rFonts w:hint="eastAsia" w:asciiTheme="minorEastAsia" w:hAnsiTheme="minorEastAsia" w:cstheme="minorEastAsia"/>
          <w:b/>
          <w:bCs/>
          <w:sz w:val="21"/>
          <w:szCs w:val="21"/>
          <w:lang w:val="en-US" w:eastAsia="zh-CN"/>
        </w:rPr>
      </w:pPr>
    </w:p>
    <w:bookmarkEnd w:id="28"/>
    <w:p>
      <w:pPr>
        <w:spacing w:line="420" w:lineRule="exact"/>
        <w:outlineLvl w:val="3"/>
        <w:rPr>
          <w:rFonts w:hint="eastAsia"/>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、投标函格式</w:t>
      </w:r>
    </w:p>
    <w:p>
      <w:pPr>
        <w:keepNext w:val="0"/>
        <w:keepLines w:val="0"/>
        <w:pageBreakBefore w:val="0"/>
        <w:widowControl w:val="0"/>
        <w:tabs>
          <w:tab w:val="left" w:pos="426"/>
        </w:tabs>
        <w:kinsoku/>
        <w:wordWrap/>
        <w:overflowPunct/>
        <w:topLinePunct w:val="0"/>
        <w:bidi w:val="0"/>
        <w:spacing w:line="300" w:lineRule="auto"/>
        <w:ind w:left="0" w:left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投标函</w:t>
      </w:r>
    </w:p>
    <w:p>
      <w:pPr>
        <w:pStyle w:val="7"/>
        <w:keepNext w:val="0"/>
        <w:keepLines w:val="0"/>
        <w:pageBreakBefore w:val="0"/>
        <w:widowControl w:val="0"/>
        <w:kinsoku/>
        <w:wordWrap/>
        <w:overflowPunct/>
        <w:topLinePunct w:val="0"/>
        <w:bidi w:val="0"/>
        <w:spacing w:line="300" w:lineRule="auto"/>
        <w:ind w:left="0" w:leftChars="0"/>
        <w:textAlignment w:val="auto"/>
        <w:rPr>
          <w:rFonts w:hint="eastAsia" w:ascii="仿宋" w:hAnsi="仿宋" w:eastAsia="仿宋" w:cs="仿宋"/>
          <w:sz w:val="24"/>
          <w:szCs w:val="24"/>
        </w:rPr>
      </w:pPr>
    </w:p>
    <w:p>
      <w:pPr>
        <w:keepNext w:val="0"/>
        <w:keepLines w:val="0"/>
        <w:pageBreakBefore w:val="0"/>
        <w:widowControl w:val="0"/>
        <w:tabs>
          <w:tab w:val="left" w:pos="426"/>
        </w:tabs>
        <w:kinsoku/>
        <w:wordWrap/>
        <w:overflowPunct/>
        <w:topLinePunct w:val="0"/>
        <w:bidi w:val="0"/>
        <w:spacing w:line="300" w:lineRule="auto"/>
        <w:ind w:left="0" w:leftChars="0" w:firstLine="2"/>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致：</w:t>
      </w:r>
      <w:r>
        <w:rPr>
          <w:rFonts w:hint="eastAsia" w:ascii="仿宋" w:hAnsi="仿宋" w:eastAsia="仿宋" w:cs="仿宋"/>
          <w:b/>
          <w:sz w:val="24"/>
          <w:szCs w:val="24"/>
          <w:lang w:val="en-US" w:eastAsia="zh-CN"/>
        </w:rPr>
        <w:t>深圳市龙岗区耳鼻咽喉医院</w:t>
      </w:r>
    </w:p>
    <w:p>
      <w:pPr>
        <w:keepNext w:val="0"/>
        <w:keepLines w:val="0"/>
        <w:pageBreakBefore w:val="0"/>
        <w:widowControl w:val="0"/>
        <w:tabs>
          <w:tab w:val="left" w:pos="426"/>
        </w:tabs>
        <w:kinsoku/>
        <w:wordWrap/>
        <w:overflowPunct/>
        <w:topLinePunct w:val="0"/>
        <w:bidi w:val="0"/>
        <w:spacing w:line="300" w:lineRule="auto"/>
        <w:ind w:left="0" w:leftChars="0" w:firstLine="427" w:firstLineChars="178"/>
        <w:textAlignment w:val="auto"/>
        <w:rPr>
          <w:rFonts w:hint="eastAsia" w:ascii="仿宋" w:hAnsi="仿宋" w:eastAsia="仿宋" w:cs="仿宋"/>
          <w:sz w:val="24"/>
          <w:szCs w:val="24"/>
        </w:rPr>
      </w:pPr>
      <w:r>
        <w:rPr>
          <w:rFonts w:hint="eastAsia" w:ascii="仿宋" w:hAnsi="仿宋" w:eastAsia="仿宋" w:cs="仿宋"/>
          <w:sz w:val="24"/>
          <w:szCs w:val="24"/>
        </w:rPr>
        <w:t>我方确认收到贵方</w:t>
      </w:r>
      <w:r>
        <w:rPr>
          <w:rFonts w:hint="eastAsia" w:ascii="仿宋" w:hAnsi="仿宋" w:eastAsia="仿宋" w:cs="仿宋"/>
          <w:kern w:val="28"/>
          <w:sz w:val="24"/>
          <w:szCs w:val="24"/>
          <w:u w:val="single"/>
        </w:rPr>
        <w:t xml:space="preserve">                   </w:t>
      </w:r>
      <w:r>
        <w:rPr>
          <w:rFonts w:hint="eastAsia" w:ascii="仿宋" w:hAnsi="仿宋" w:eastAsia="仿宋" w:cs="仿宋"/>
          <w:kern w:val="28"/>
          <w:sz w:val="24"/>
          <w:szCs w:val="24"/>
        </w:rPr>
        <w:t>采购</w:t>
      </w:r>
      <w:r>
        <w:rPr>
          <w:rFonts w:hint="eastAsia" w:ascii="仿宋" w:hAnsi="仿宋" w:eastAsia="仿宋" w:cs="仿宋"/>
          <w:sz w:val="24"/>
          <w:szCs w:val="24"/>
        </w:rPr>
        <w:t>货物及相关服务的招标文件（项目编号：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(投标人名称、地址)</w:t>
      </w:r>
      <w:r>
        <w:rPr>
          <w:rFonts w:hint="eastAsia" w:ascii="仿宋" w:hAnsi="仿宋" w:eastAsia="仿宋" w:cs="仿宋"/>
          <w:sz w:val="24"/>
          <w:szCs w:val="24"/>
        </w:rPr>
        <w:t>作为投标人已正式授权</w:t>
      </w:r>
      <w:r>
        <w:rPr>
          <w:rFonts w:hint="eastAsia" w:ascii="仿宋" w:hAnsi="仿宋" w:eastAsia="仿宋" w:cs="仿宋"/>
          <w:sz w:val="24"/>
          <w:szCs w:val="24"/>
          <w:u w:val="single"/>
        </w:rPr>
        <w:t xml:space="preserve"> (被投标人授权代表全名、职务)</w:t>
      </w:r>
      <w:r>
        <w:rPr>
          <w:rFonts w:hint="eastAsia" w:ascii="仿宋" w:hAnsi="仿宋" w:eastAsia="仿宋" w:cs="仿宋"/>
          <w:sz w:val="24"/>
          <w:szCs w:val="24"/>
        </w:rPr>
        <w:t>为我方签名代表，签名代表在此声明并同意：</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我单位愿意遵守招标文件的各项规定，自愿参加投标，并已清楚招标文件的要求及有关文件规定，并严格按照招标文件的规定履行全部责任和义务。</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我们同意本投标文件的投标有效期从提交投标文件的截止之日起</w:t>
      </w:r>
      <w:r>
        <w:rPr>
          <w:rFonts w:hint="eastAsia" w:ascii="仿宋" w:hAnsi="仿宋" w:eastAsia="仿宋" w:cs="仿宋"/>
          <w:b/>
          <w:sz w:val="24"/>
          <w:szCs w:val="24"/>
          <w:highlight w:val="none"/>
          <w:u w:val="single"/>
          <w:lang w:val="en-US" w:eastAsia="zh-CN"/>
        </w:rPr>
        <w:t>90</w:t>
      </w:r>
      <w:r>
        <w:rPr>
          <w:rFonts w:hint="eastAsia" w:ascii="仿宋" w:hAnsi="仿宋" w:eastAsia="仿宋" w:cs="仿宋"/>
          <w:b/>
          <w:sz w:val="24"/>
          <w:szCs w:val="24"/>
        </w:rPr>
        <w:t>日历日内有效，并承诺不予撤销已递交的投标文件。</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我单位已经详细地阅读并完全明白了全部招标文件及附件，我单位完全理解本招标文件的要求，我单位同意放弃对招标文件提出不明或误解的一切权利。</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4.</w:t>
      </w:r>
      <w:r>
        <w:rPr>
          <w:rFonts w:hint="eastAsia" w:ascii="仿宋" w:hAnsi="仿宋" w:eastAsia="仿宋" w:cs="仿宋"/>
          <w:b/>
          <w:sz w:val="24"/>
          <w:szCs w:val="24"/>
        </w:rPr>
        <w:t>我单位同意提供</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要求的有关投标的一切数据或资料。</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我单位理解</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并无义务必须接受最低报价的投标或其它任何投标，完全</w:t>
      </w:r>
      <w:r>
        <w:rPr>
          <w:rFonts w:hint="eastAsia" w:ascii="仿宋" w:hAnsi="仿宋" w:eastAsia="仿宋" w:cs="仿宋"/>
          <w:b/>
          <w:sz w:val="24"/>
          <w:szCs w:val="24"/>
          <w:lang w:val="en-US" w:eastAsia="zh-CN"/>
        </w:rPr>
        <w:t>采购人</w:t>
      </w:r>
      <w:r>
        <w:rPr>
          <w:rFonts w:hint="eastAsia" w:ascii="仿宋" w:hAnsi="仿宋" w:eastAsia="仿宋" w:cs="仿宋"/>
          <w:b/>
          <w:sz w:val="24"/>
          <w:szCs w:val="24"/>
        </w:rPr>
        <w:t>拒绝迟到的任何投标和最低投标报价不是被授予中标的唯一条件。</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 xml:space="preserve">如果我单位未对招标文件全部要求作出实质性响应，则完全同意并接受按无效投标处理。 </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8.</w:t>
      </w:r>
      <w:r>
        <w:rPr>
          <w:rFonts w:hint="eastAsia" w:ascii="仿宋" w:hAnsi="仿宋" w:eastAsia="仿宋" w:cs="仿宋"/>
          <w:b/>
          <w:sz w:val="24"/>
          <w:szCs w:val="24"/>
        </w:rPr>
        <w:t>如果我单位提供的声明或承诺不真实，则完全同意认定为我司提供虚假材料，并同意作相应处理。</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我单位是依法注册的法人，在法律、财务及运作上完全独立于本项目采购人、用户单位（如有）和采购代理机构。</w:t>
      </w:r>
    </w:p>
    <w:p>
      <w:pPr>
        <w:keepNext w:val="0"/>
        <w:keepLines w:val="0"/>
        <w:pageBreakBefore w:val="0"/>
        <w:widowControl w:val="0"/>
        <w:numPr>
          <w:ilvl w:val="0"/>
          <w:numId w:val="0"/>
        </w:numPr>
        <w:tabs>
          <w:tab w:val="left" w:pos="426"/>
        </w:tabs>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备注：</w:t>
      </w:r>
    </w:p>
    <w:p>
      <w:pPr>
        <w:keepNext w:val="0"/>
        <w:keepLines w:val="0"/>
        <w:pageBreakBefore w:val="0"/>
        <w:widowControl w:val="0"/>
        <w:tabs>
          <w:tab w:val="left" w:pos="426"/>
        </w:tabs>
        <w:kinsoku/>
        <w:wordWrap/>
        <w:overflowPunct/>
        <w:topLinePunct w:val="0"/>
        <w:autoSpaceDE w:val="0"/>
        <w:autoSpaceDN w:val="0"/>
        <w:bidi w:val="0"/>
        <w:adjustRightIn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投标函中承诺的投标有效期应当不少于招标文件中载明的投标有效期，否则视为无效投标。</w:t>
      </w:r>
    </w:p>
    <w:p>
      <w:pPr>
        <w:keepNext w:val="0"/>
        <w:keepLines w:val="0"/>
        <w:pageBreakBefore w:val="0"/>
        <w:widowControl w:val="0"/>
        <w:tabs>
          <w:tab w:val="left" w:pos="426"/>
        </w:tabs>
        <w:kinsoku/>
        <w:wordWrap/>
        <w:overflowPunct/>
        <w:topLinePunct w:val="0"/>
        <w:autoSpaceDE w:val="0"/>
        <w:autoSpaceDN w:val="0"/>
        <w:bidi w:val="0"/>
        <w:adjustRightIn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除投标有效期承诺的时间外，本投标函内容不得擅自删改，否则视为无效投标。</w:t>
      </w:r>
    </w:p>
    <w:p>
      <w:pPr>
        <w:pStyle w:val="2"/>
        <w:pageBreakBefore w:val="0"/>
        <w:widowControl w:val="0"/>
        <w:kinsoku/>
        <w:wordWrap/>
        <w:overflowPunct/>
        <w:topLinePunct w:val="0"/>
        <w:bidi w:val="0"/>
        <w:spacing w:before="0" w:beforeLines="0" w:after="0" w:afterLines="0" w:line="300" w:lineRule="auto"/>
        <w:ind w:firstLine="480" w:firstLineChars="200"/>
        <w:jc w:val="both"/>
        <w:textAlignment w:val="auto"/>
        <w:rPr>
          <w:rFonts w:hint="eastAsia"/>
        </w:rPr>
      </w:pPr>
    </w:p>
    <w:p>
      <w:pPr>
        <w:pageBreakBefore w:val="0"/>
        <w:widowControl w:val="0"/>
        <w:tabs>
          <w:tab w:val="left" w:pos="426"/>
        </w:tabs>
        <w:kinsoku/>
        <w:wordWrap/>
        <w:overflowPunct/>
        <w:topLinePunct w:val="0"/>
        <w:bidi w:val="0"/>
        <w:spacing w:line="300" w:lineRule="auto"/>
        <w:ind w:firstLine="1205" w:firstLineChars="500"/>
        <w:textAlignment w:val="auto"/>
        <w:rPr>
          <w:rFonts w:hint="eastAsia" w:ascii="仿宋" w:hAnsi="仿宋" w:eastAsia="仿宋" w:cs="仿宋"/>
          <w:sz w:val="24"/>
          <w:szCs w:val="24"/>
        </w:rPr>
      </w:pPr>
      <w:r>
        <w:rPr>
          <w:rFonts w:hint="eastAsia" w:ascii="仿宋" w:hAnsi="仿宋" w:eastAsia="仿宋" w:cs="仿宋"/>
          <w:b/>
          <w:bCs/>
          <w:sz w:val="24"/>
          <w:szCs w:val="24"/>
        </w:rPr>
        <w:t>投标人单位名称（单位盖公章）：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tabs>
          <w:tab w:val="left" w:pos="426"/>
        </w:tabs>
        <w:kinsoku/>
        <w:wordWrap/>
        <w:overflowPunct/>
        <w:topLinePunct w:val="0"/>
        <w:bidi w:val="0"/>
        <w:spacing w:line="300" w:lineRule="auto"/>
        <w:ind w:firstLine="4337" w:firstLineChars="1800"/>
        <w:textAlignment w:val="auto"/>
        <w:rPr>
          <w:rFonts w:hint="eastAsia" w:ascii="仿宋" w:hAnsi="仿宋" w:eastAsia="仿宋" w:cs="仿宋"/>
          <w:b/>
          <w:sz w:val="24"/>
          <w:highlight w:val="none"/>
          <w:lang w:val="en-US" w:eastAsia="zh-CN"/>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lang w:val="en-US" w:eastAsia="zh-CN"/>
        </w:rPr>
        <w:t>日</w:t>
      </w:r>
    </w:p>
    <w:p>
      <w:pPr>
        <w:spacing w:line="420" w:lineRule="exact"/>
        <w:outlineLvl w:val="3"/>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四、投标及履约承诺函</w:t>
      </w:r>
    </w:p>
    <w:p>
      <w:pPr>
        <w:tabs>
          <w:tab w:val="left" w:pos="426"/>
        </w:tabs>
        <w:adjustRightInd w:val="0"/>
        <w:spacing w:line="420" w:lineRule="exact"/>
        <w:jc w:val="center"/>
        <w:outlineLvl w:val="4"/>
        <w:rPr>
          <w:rFonts w:hint="eastAsia" w:ascii="仿宋" w:hAnsi="仿宋" w:eastAsia="仿宋" w:cs="仿宋"/>
          <w:bCs/>
          <w:color w:val="auto"/>
          <w:kern w:val="0"/>
          <w:sz w:val="24"/>
          <w:szCs w:val="24"/>
          <w:shd w:val="clear" w:color="auto" w:fill="FFFFFF"/>
          <w:lang w:val="en-US" w:eastAsia="zh-CN" w:bidi="ar-SA"/>
        </w:rPr>
      </w:pPr>
      <w:r>
        <w:rPr>
          <w:rFonts w:hint="eastAsia" w:ascii="仿宋" w:hAnsi="仿宋" w:eastAsia="仿宋" w:cs="仿宋"/>
          <w:b/>
          <w:bCs w:val="0"/>
          <w:color w:val="auto"/>
          <w:kern w:val="0"/>
          <w:sz w:val="24"/>
          <w:szCs w:val="24"/>
          <w:shd w:val="clear" w:color="auto" w:fill="FFFFFF"/>
          <w:lang w:val="en-US" w:eastAsia="zh-CN" w:bidi="ar-SA"/>
        </w:rPr>
        <w:t>投标及履约承诺函</w:t>
      </w:r>
    </w:p>
    <w:p>
      <w:pPr>
        <w:pStyle w:val="7"/>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致：深圳市龙岗区耳鼻咽喉医院</w:t>
      </w:r>
    </w:p>
    <w:p>
      <w:pPr>
        <w:tabs>
          <w:tab w:val="left" w:pos="360"/>
        </w:tabs>
        <w:spacing w:line="460" w:lineRule="exact"/>
        <w:ind w:firstLine="480" w:firstLineChars="200"/>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我公司承诺：</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1.我公司参与本项目所投标（响应）的货物或服务未侵犯知识产权。</w:t>
      </w:r>
    </w:p>
    <w:p>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3.我公司参与本项目采购活动时不存在被有关部门禁止参与政府采购活动且在有效期内的情况。</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4.我公司具备《中华人民共和国政府采购法》第二十二条第一款规定的六项条件。</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5.我公司未被列入失信被执行人、重大税收违法案件当事人名单、政府采购严重违法失信行为记录名单。</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w:t>
      </w:r>
      <w:r>
        <w:rPr>
          <w:rFonts w:hint="default" w:ascii="仿宋" w:hAnsi="仿宋" w:eastAsia="仿宋" w:cs="仿宋"/>
          <w:b/>
          <w:bCs w:val="0"/>
          <w:color w:val="333333"/>
          <w:kern w:val="0"/>
          <w:sz w:val="24"/>
          <w:szCs w:val="24"/>
          <w:shd w:val="clear" w:color="auto" w:fill="FFFFFF"/>
          <w:lang w:val="en-US" w:eastAsia="zh-CN" w:bidi="ar-SA"/>
        </w:rPr>
        <w:t>”</w:t>
      </w:r>
      <w:r>
        <w:rPr>
          <w:rFonts w:hint="eastAsia" w:ascii="仿宋" w:hAnsi="仿宋" w:eastAsia="仿宋" w:cs="仿宋"/>
          <w:b/>
          <w:bCs w:val="0"/>
          <w:color w:val="333333"/>
          <w:kern w:val="0"/>
          <w:sz w:val="24"/>
          <w:szCs w:val="24"/>
          <w:shd w:val="clear" w:color="auto" w:fill="FFFFFF"/>
          <w:lang w:val="en-US" w:eastAsia="zh-CN" w:bidi="ar-SA"/>
        </w:rPr>
        <w:t>的情形，不存在对本次采购项目提供整体设计、规范编制或许项目管理、监理、检测等服务的情形。</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p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11.我公司承诺不非法转包、分包。</w:t>
      </w:r>
    </w:p>
    <w:p>
      <w:pPr>
        <w:tabs>
          <w:tab w:val="left" w:pos="360"/>
        </w:tabs>
        <w:spacing w:line="460" w:lineRule="exact"/>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p>
    <w:p>
      <w:pPr>
        <w:pStyle w:val="7"/>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426"/>
        </w:tabs>
        <w:snapToGrid w:val="0"/>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426"/>
        </w:tabs>
        <w:spacing w:line="420" w:lineRule="exact"/>
        <w:ind w:firstLine="5040" w:firstLineChars="21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投标人单位名称（公章）：</w:t>
      </w:r>
    </w:p>
    <w:p>
      <w:pPr>
        <w:tabs>
          <w:tab w:val="left" w:pos="426"/>
        </w:tabs>
        <w:spacing w:line="420" w:lineRule="exact"/>
        <w:ind w:firstLine="4560" w:firstLineChars="19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法定代表人或其授权代表签名：</w:t>
      </w:r>
    </w:p>
    <w:p>
      <w:pPr>
        <w:tabs>
          <w:tab w:val="left" w:pos="426"/>
        </w:tabs>
        <w:spacing w:line="420" w:lineRule="exact"/>
        <w:ind w:firstLine="4800" w:firstLineChars="20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日期：      年    月    日</w:t>
      </w:r>
    </w:p>
    <w:p>
      <w:pPr>
        <w:pStyle w:val="31"/>
        <w:tabs>
          <w:tab w:val="left" w:pos="426"/>
        </w:tabs>
        <w:rPr>
          <w:rFonts w:hint="eastAsia" w:ascii="仿宋" w:hAnsi="仿宋" w:eastAsia="仿宋" w:cs="仿宋"/>
          <w:sz w:val="24"/>
          <w:szCs w:val="24"/>
          <w:lang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r>
        <w:rPr>
          <w:rFonts w:hint="eastAsia" w:ascii="宋体" w:hAnsi="宋体" w:eastAsia="宋体" w:cs="宋体"/>
          <w:color w:val="FF0000"/>
          <w:sz w:val="24"/>
          <w:highlight w:val="none"/>
          <w:lang w:val="en-US" w:eastAsia="zh-CN"/>
        </w:rPr>
        <w:t>三个渠道查询供应商信用查询记录截图</w:t>
      </w: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24"/>
        <w:tabs>
          <w:tab w:val="left" w:pos="426"/>
        </w:tabs>
        <w:ind w:left="0" w:leftChars="0" w:firstLine="0" w:firstLineChars="0"/>
        <w:rPr>
          <w:rFonts w:hint="eastAsia" w:ascii="宋体" w:hAnsi="宋体" w:eastAsia="宋体" w:cs="宋体"/>
          <w:color w:val="FF0000"/>
          <w:sz w:val="24"/>
          <w:highlight w:val="none"/>
          <w:lang w:val="en-US" w:eastAsia="zh-CN"/>
        </w:rPr>
      </w:pPr>
    </w:p>
    <w:p>
      <w:pPr>
        <w:pStyle w:val="3"/>
        <w:tabs>
          <w:tab w:val="left" w:pos="426"/>
        </w:tabs>
        <w:spacing w:after="120" w:line="240" w:lineRule="auto"/>
        <w:jc w:val="left"/>
        <w:rPr>
          <w:rFonts w:hint="eastAsia" w:ascii="宋体" w:hAnsi="宋体" w:cs="宋体"/>
          <w:b/>
          <w:bCs w:val="0"/>
          <w:kern w:val="0"/>
          <w:sz w:val="24"/>
          <w:szCs w:val="24"/>
          <w:lang w:val="en-US" w:eastAsia="zh-CN" w:bidi="ar-SA"/>
        </w:rPr>
      </w:pPr>
    </w:p>
    <w:p>
      <w:pPr>
        <w:pStyle w:val="3"/>
        <w:tabs>
          <w:tab w:val="left" w:pos="426"/>
        </w:tabs>
        <w:spacing w:after="120" w:line="240" w:lineRule="auto"/>
        <w:jc w:val="left"/>
        <w:rPr>
          <w:rFonts w:hint="eastAsia" w:ascii="宋体" w:hAnsi="宋体" w:cs="宋体"/>
          <w:b/>
          <w:bCs w:val="0"/>
          <w:kern w:val="0"/>
          <w:sz w:val="24"/>
          <w:szCs w:val="24"/>
          <w:lang w:val="en-US" w:eastAsia="zh-CN" w:bidi="ar-SA"/>
        </w:rPr>
      </w:pPr>
    </w:p>
    <w:p>
      <w:pPr>
        <w:pStyle w:val="3"/>
        <w:tabs>
          <w:tab w:val="left" w:pos="426"/>
        </w:tabs>
        <w:spacing w:after="120" w:line="240" w:lineRule="auto"/>
        <w:jc w:val="left"/>
        <w:rPr>
          <w:rFonts w:hint="eastAsia" w:ascii="宋体" w:hAnsi="宋体" w:cs="宋体"/>
          <w:b/>
          <w:bCs w:val="0"/>
          <w:kern w:val="0"/>
          <w:sz w:val="24"/>
          <w:szCs w:val="24"/>
          <w:lang w:val="en-US" w:eastAsia="zh-CN" w:bidi="ar-SA"/>
        </w:rPr>
      </w:pPr>
    </w:p>
    <w:p>
      <w:pPr>
        <w:pStyle w:val="3"/>
        <w:tabs>
          <w:tab w:val="left" w:pos="426"/>
        </w:tabs>
        <w:spacing w:after="120" w:line="240" w:lineRule="auto"/>
        <w:jc w:val="left"/>
        <w:rPr>
          <w:rFonts w:hint="eastAsia" w:ascii="宋体" w:hAnsi="宋体" w:cs="宋体"/>
          <w:b/>
          <w:bCs w:val="0"/>
          <w:kern w:val="0"/>
          <w:sz w:val="24"/>
          <w:szCs w:val="24"/>
          <w:lang w:val="en-US" w:eastAsia="zh-CN" w:bidi="ar-SA"/>
        </w:rPr>
      </w:pPr>
    </w:p>
    <w:p>
      <w:pPr>
        <w:numPr>
          <w:ilvl w:val="0"/>
          <w:numId w:val="0"/>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五、采购违法行为风险知悉确认书</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left="120" w:leftChars="50" w:firstLine="373" w:firstLineChars="178"/>
        <w:rPr>
          <w:rFonts w:hint="eastAsia" w:ascii="宋体" w:hAnsi="宋体" w:cs="Times New Roman"/>
          <w:sz w:val="21"/>
          <w:szCs w:val="21"/>
          <w:lang w:val="en-US" w:eastAsia="zh-CN"/>
        </w:rPr>
      </w:pPr>
    </w:p>
    <w:p>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default"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2894" w:leftChars="224" w:hanging="2356" w:hangingChars="1122"/>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法定代表人/项目授权代表签名：                     知悉人（公章）：</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日期：2025年    月    日</w:t>
      </w:r>
    </w:p>
    <w:p>
      <w:pPr>
        <w:spacing w:line="360" w:lineRule="auto"/>
        <w:ind w:left="120" w:leftChars="50" w:firstLine="373" w:firstLineChars="178"/>
        <w:rPr>
          <w:rFonts w:hint="eastAsia" w:ascii="宋体" w:hAnsi="宋体" w:cs="Times New Roman"/>
          <w:sz w:val="21"/>
          <w:szCs w:val="21"/>
          <w:lang w:val="en-US" w:eastAsia="zh-CN"/>
        </w:rPr>
      </w:pPr>
      <w:bookmarkStart w:id="29" w:name="_Toc10165"/>
      <w:r>
        <w:rPr>
          <w:rFonts w:hint="eastAsia" w:ascii="宋体" w:hAnsi="宋体" w:cs="Times New Roman"/>
          <w:sz w:val="21"/>
          <w:szCs w:val="21"/>
          <w:lang w:val="en-US" w:eastAsia="zh-CN"/>
        </w:rPr>
        <w:br w:type="page"/>
      </w:r>
      <w:bookmarkEnd w:id="29"/>
    </w:p>
    <w:p>
      <w:pPr>
        <w:numPr>
          <w:ilvl w:val="0"/>
          <w:numId w:val="0"/>
        </w:numPr>
        <w:spacing w:line="420" w:lineRule="exact"/>
        <w:ind w:leftChars="0"/>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六、</w:t>
      </w:r>
      <w:r>
        <w:rPr>
          <w:rFonts w:hint="eastAsia" w:asciiTheme="minorEastAsia" w:hAnsiTheme="minorEastAsia" w:eastAsiaTheme="minorEastAsia" w:cstheme="minorEastAsia"/>
          <w:b/>
          <w:sz w:val="24"/>
          <w:szCs w:val="24"/>
        </w:rPr>
        <w:t>投标人情况及资格证明文件</w:t>
      </w:r>
    </w:p>
    <w:p>
      <w:pPr>
        <w:pStyle w:val="15"/>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投标人基本情况一览表</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1．名称及概况：</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（1）投标人名称：________________________________________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（2）注册地址：__________________________________________</w:t>
      </w:r>
    </w:p>
    <w:p>
      <w:pPr>
        <w:pStyle w:val="15"/>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邮政编码：___________________________________________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电话号码：___________________________________________ </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传真号码：___________________________________________ </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（3）成立或注册日期：____________________________________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（4）法定代表人：___________________________________________</w:t>
      </w:r>
    </w:p>
    <w:p>
      <w:pPr>
        <w:pStyle w:val="15"/>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（5）基本存款账户开户银行___________________________________________</w:t>
      </w:r>
    </w:p>
    <w:p>
      <w:pPr>
        <w:pStyle w:val="15"/>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（6）基本存款账户开户账号___________________________________________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（7）注册资金：___________________________________________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（8）注册经营范围：_______________________________________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（9）近两年财务基本情况（成立年限不足的，提供最近一期财务报表信息）</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①货币资金期末数：_____________________________________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②年营业总额（值）：___________________________________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③资产负债率：_________________________________________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④销售利润率：_________________________________________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⑤资本收益率：_________________________________________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（以上内容应与财务报表信息一致，如不一致以财务报表为准）</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（10）项目负责人及主要联系人（姓名、职务、通讯方式）：</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_____________________________________________________________________</w:t>
      </w:r>
    </w:p>
    <w:p>
      <w:pPr>
        <w:adjustRightInd w:val="0"/>
        <w:spacing w:line="4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（11）主要股东或出资人信息（必须填写）</w:t>
      </w:r>
    </w:p>
    <w:tbl>
      <w:tblPr>
        <w:tblStyle w:val="25"/>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名称</w:t>
            </w:r>
          </w:p>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（姓名）</w:t>
            </w: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统一社会信用代码</w:t>
            </w:r>
          </w:p>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（身份证号）</w:t>
            </w: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出资方式</w:t>
            </w: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出资金额</w:t>
            </w:r>
          </w:p>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（万元）</w:t>
            </w: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占全部股份比例</w:t>
            </w: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bl>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我方承诺，以上信息真实可靠；如填报的股东出资额、出资比例等与实际不符，视为放弃中标资格。</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注：1）主要股东或出资人为法人的，填写法人全称及统一社会信用代码；为自然人的，填写自然人姓名和身份证号。</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2）出资方式填写货币、实物、工艺产权和非专利技术、土地使用权等。</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3）投标人应按照占全部股份比例从大到小依次逐个股东填写，股东数量多于10个的，填写前10名，不足10个的全部填写。</w:t>
      </w:r>
    </w:p>
    <w:p>
      <w:pPr>
        <w:spacing w:line="420" w:lineRule="exact"/>
        <w:ind w:firstLine="3360" w:firstLineChars="1600"/>
        <w:rPr>
          <w:rFonts w:hint="eastAsia" w:asciiTheme="minorEastAsia" w:hAnsiTheme="minorEastAsia" w:eastAsiaTheme="minorEastAsia" w:cstheme="minorEastAsia"/>
          <w:sz w:val="21"/>
          <w:szCs w:val="21"/>
        </w:rPr>
      </w:pPr>
    </w:p>
    <w:p>
      <w:pPr>
        <w:spacing w:line="420" w:lineRule="exact"/>
        <w:ind w:firstLine="3990" w:firstLineChars="1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投标人（公章）：                            </w:t>
      </w:r>
    </w:p>
    <w:p>
      <w:pPr>
        <w:spacing w:line="420" w:lineRule="exact"/>
        <w:ind w:firstLine="3990" w:firstLineChars="1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法定代表人或其授权代表签名： </w:t>
      </w:r>
    </w:p>
    <w:p>
      <w:pPr>
        <w:spacing w:line="420" w:lineRule="exact"/>
        <w:ind w:firstLine="3990" w:firstLineChars="1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r>
        <w:rPr>
          <w:rFonts w:hint="eastAsia" w:asciiTheme="minorEastAsia" w:hAnsiTheme="minorEastAsia" w:cstheme="minorEastAsia"/>
          <w:sz w:val="21"/>
          <w:szCs w:val="21"/>
          <w:lang w:val="en-US" w:eastAsia="zh-CN"/>
        </w:rPr>
        <w:t>2025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p>
      <w:pPr>
        <w:pStyle w:val="15"/>
        <w:spacing w:line="420" w:lineRule="exact"/>
        <w:ind w:firstLine="420"/>
        <w:rPr>
          <w:rFonts w:hint="eastAsia" w:asciiTheme="minorEastAsia" w:hAnsiTheme="minorEastAsia" w:eastAsiaTheme="minorEastAsia" w:cstheme="minorEastAsia"/>
          <w:sz w:val="21"/>
          <w:szCs w:val="21"/>
        </w:rPr>
      </w:pPr>
    </w:p>
    <w:p>
      <w:pPr>
        <w:pStyle w:val="15"/>
        <w:spacing w:line="4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提交资料（包括但不限于财务报告表、组织机构、公司概况等）：</w:t>
      </w:r>
    </w:p>
    <w:p>
      <w:pPr>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b/>
          <w:bCs/>
          <w:sz w:val="21"/>
          <w:szCs w:val="21"/>
          <w:highlight w:val="none"/>
        </w:rPr>
        <w:t>“国家企业信用信息公示系统”网页报告</w:t>
      </w:r>
      <w:r>
        <w:rPr>
          <w:rFonts w:hint="eastAsia" w:asciiTheme="minorEastAsia" w:hAnsiTheme="minorEastAsia" w:eastAsiaTheme="minorEastAsia" w:cstheme="minorEastAsia"/>
          <w:sz w:val="21"/>
          <w:szCs w:val="21"/>
          <w:highlight w:val="none"/>
        </w:rPr>
        <w:t>。</w:t>
      </w:r>
    </w:p>
    <w:p>
      <w:pPr>
        <w:pStyle w:val="15"/>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（2）公司概况及公司组织机构；</w:t>
      </w:r>
    </w:p>
    <w:p>
      <w:pPr>
        <w:pStyle w:val="15"/>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（3）近两年财务报表包括资产负债表、损益表、现金流量表、纳税情况表等（加盖投标人公章）</w:t>
      </w:r>
    </w:p>
    <w:p>
      <w:pPr>
        <w:pStyle w:val="15"/>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（4）投标产品如被纳入中华人民共和国已实施的强制性产品认证产品目录的，应获得国家强制性产品认证证书和加施中国强制性认证标志；并附相关证明资料。</w:t>
      </w:r>
    </w:p>
    <w:p>
      <w:pPr>
        <w:spacing w:line="4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兹证明，上述说明属实，并已提供相应资料和数据，我方同意遵照贵方要求出示有关证明文件。</w:t>
      </w:r>
    </w:p>
    <w:p>
      <w:pPr>
        <w:pStyle w:val="31"/>
        <w:numPr>
          <w:ilvl w:val="0"/>
          <w:numId w:val="0"/>
        </w:numPr>
        <w:ind w:leftChars="0"/>
        <w:rPr>
          <w:rFonts w:hint="eastAsia" w:asciiTheme="minorEastAsia" w:hAnsiTheme="minorEastAsia" w:eastAsiaTheme="minorEastAsia" w:cstheme="minorEastAsia"/>
          <w:sz w:val="21"/>
          <w:szCs w:val="21"/>
          <w:lang w:val="en-US" w:eastAsia="zh-CN"/>
        </w:rPr>
      </w:pPr>
    </w:p>
    <w:p>
      <w:pPr>
        <w:spacing w:line="420" w:lineRule="exact"/>
        <w:rPr>
          <w:rFonts w:hint="eastAsia" w:asciiTheme="minorEastAsia" w:hAnsiTheme="minorEastAsia" w:eastAsiaTheme="minorEastAsia" w:cstheme="minorEastAsia"/>
          <w:b/>
          <w:sz w:val="21"/>
          <w:szCs w:val="21"/>
          <w:lang w:val="en-US" w:eastAsia="zh-CN"/>
        </w:rPr>
      </w:pPr>
    </w:p>
    <w:p>
      <w:pPr>
        <w:spacing w:line="420" w:lineRule="exact"/>
        <w:ind w:firstLine="420" w:firstLineChars="200"/>
        <w:rPr>
          <w:rFonts w:hint="eastAsia" w:asciiTheme="minorEastAsia" w:hAnsiTheme="minorEastAsia" w:eastAsiaTheme="minorEastAsia" w:cstheme="minorEastAsia"/>
          <w:sz w:val="21"/>
          <w:szCs w:val="21"/>
          <w:highlight w:val="none"/>
        </w:rPr>
      </w:pPr>
    </w:p>
    <w:p>
      <w:pPr>
        <w:pStyle w:val="31"/>
        <w:numPr>
          <w:ilvl w:val="0"/>
          <w:numId w:val="0"/>
        </w:numPr>
        <w:ind w:leftChars="0"/>
        <w:rPr>
          <w:rFonts w:hint="eastAsia" w:asciiTheme="minorEastAsia" w:hAnsiTheme="minorEastAsia" w:eastAsiaTheme="minorEastAsia" w:cstheme="minorEastAsia"/>
          <w:sz w:val="21"/>
          <w:szCs w:val="21"/>
          <w:lang w:val="en-US" w:eastAsia="zh-CN"/>
        </w:rPr>
      </w:pPr>
    </w:p>
    <w:p>
      <w:pPr>
        <w:spacing w:line="420" w:lineRule="exact"/>
        <w:rPr>
          <w:rFonts w:hint="eastAsia" w:asciiTheme="minorEastAsia" w:hAnsiTheme="minorEastAsia" w:eastAsiaTheme="minorEastAsia" w:cstheme="minorEastAsia"/>
          <w:b/>
          <w:sz w:val="21"/>
          <w:szCs w:val="21"/>
          <w:lang w:val="en-US" w:eastAsia="zh-CN"/>
        </w:rPr>
      </w:pPr>
    </w:p>
    <w:p>
      <w:pPr>
        <w:spacing w:line="420" w:lineRule="exact"/>
        <w:rPr>
          <w:rFonts w:hint="eastAsia" w:asciiTheme="minorEastAsia" w:hAnsiTheme="minorEastAsia" w:eastAsiaTheme="minorEastAsia" w:cstheme="minorEastAsia"/>
          <w:b/>
          <w:sz w:val="21"/>
          <w:szCs w:val="21"/>
          <w:lang w:val="en-US" w:eastAsia="zh-CN"/>
        </w:rPr>
      </w:pPr>
    </w:p>
    <w:p>
      <w:pPr>
        <w:pStyle w:val="24"/>
        <w:rPr>
          <w:rFonts w:hint="eastAsia" w:asciiTheme="minorEastAsia" w:hAnsiTheme="minorEastAsia" w:eastAsiaTheme="minorEastAsia" w:cstheme="minorEastAsia"/>
          <w:b/>
          <w:sz w:val="21"/>
          <w:szCs w:val="21"/>
          <w:lang w:val="en-US" w:eastAsia="zh-CN"/>
        </w:rPr>
      </w:pPr>
    </w:p>
    <w:p>
      <w:pPr>
        <w:pStyle w:val="24"/>
        <w:rPr>
          <w:rFonts w:hint="eastAsia" w:asciiTheme="minorEastAsia" w:hAnsiTheme="minorEastAsia" w:eastAsiaTheme="minorEastAsia" w:cstheme="minorEastAsia"/>
          <w:b/>
          <w:sz w:val="21"/>
          <w:szCs w:val="21"/>
          <w:lang w:val="en-US" w:eastAsia="zh-CN"/>
        </w:rPr>
      </w:pPr>
    </w:p>
    <w:p>
      <w:pPr>
        <w:pStyle w:val="24"/>
        <w:rPr>
          <w:rFonts w:hint="eastAsia" w:asciiTheme="minorEastAsia" w:hAnsiTheme="minorEastAsia" w:eastAsiaTheme="minorEastAsia" w:cstheme="minorEastAsia"/>
          <w:b/>
          <w:sz w:val="21"/>
          <w:szCs w:val="21"/>
          <w:lang w:val="en-US" w:eastAsia="zh-CN"/>
        </w:rPr>
      </w:pPr>
    </w:p>
    <w:p>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bookmarkStart w:id="30" w:name="_Toc29757"/>
      <w:bookmarkStart w:id="31" w:name="_Toc743"/>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法定代表人证明书格式</w:t>
      </w:r>
      <w:bookmarkEnd w:id="30"/>
      <w:bookmarkEnd w:id="31"/>
    </w:p>
    <w:p>
      <w:pPr>
        <w:pStyle w:val="4"/>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pPr>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pPr>
        <w:spacing w:line="420" w:lineRule="exact"/>
        <w:ind w:firstLine="1890" w:firstLineChars="900"/>
        <w:rPr>
          <w:rFonts w:hint="eastAsia" w:asciiTheme="minorEastAsia" w:hAnsiTheme="minorEastAsia" w:eastAsiaTheme="minorEastAsia" w:cstheme="minorEastAsia"/>
          <w:sz w:val="21"/>
          <w:szCs w:val="21"/>
        </w:rPr>
      </w:pPr>
    </w:p>
    <w:p>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DJKif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spacing w:line="4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FF0000"/>
          <w:sz w:val="21"/>
          <w:szCs w:val="21"/>
        </w:rPr>
        <w:t>注：投标人须额外开具《法定代表人证明书》原件，投标人代表递交投标文件并出席开标环节时应携带身份证、《法定代表人授权书》及《法定代表人证明书》原件供采购代理机构工作人员核对身份信息。</w:t>
      </w:r>
    </w:p>
    <w:p>
      <w:pPr>
        <w:spacing w:line="420" w:lineRule="exact"/>
        <w:rPr>
          <w:rFonts w:hint="eastAsia" w:asciiTheme="minorEastAsia" w:hAnsiTheme="minorEastAsia" w:eastAsiaTheme="minorEastAsia" w:cstheme="minorEastAsia"/>
          <w:b/>
          <w:bCs/>
          <w:sz w:val="24"/>
          <w:szCs w:val="24"/>
        </w:rPr>
      </w:pPr>
    </w:p>
    <w:p>
      <w:pPr>
        <w:adjustRightInd w:val="0"/>
        <w:snapToGrid w:val="0"/>
        <w:spacing w:line="360" w:lineRule="auto"/>
        <w:rPr>
          <w:rFonts w:hint="eastAsia" w:hAnsi="宋体" w:cs="宋体"/>
          <w:b/>
          <w:sz w:val="28"/>
          <w:lang w:val="en-US" w:eastAsia="zh-CN"/>
        </w:rPr>
      </w:pPr>
      <w:bookmarkStart w:id="32" w:name="_Toc15877"/>
      <w:bookmarkStart w:id="33" w:name="_Toc3077"/>
    </w:p>
    <w:p>
      <w:p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附：投标人法定代表人个人社保</w:t>
      </w:r>
    </w:p>
    <w:p>
      <w:pPr>
        <w:spacing w:line="360" w:lineRule="auto"/>
        <w:rPr>
          <w:rFonts w:hint="eastAsia" w:ascii="宋体" w:hAnsi="宋体" w:cs="宋体"/>
          <w:b/>
          <w:bCs/>
          <w:color w:val="auto"/>
          <w:szCs w:val="21"/>
          <w:highlight w:val="none"/>
          <w:lang w:val="zh-CN" w:eastAsia="zh-CN"/>
        </w:rPr>
      </w:pPr>
      <w:r>
        <w:rPr>
          <w:rFonts w:hint="eastAsia" w:ascii="宋体" w:hAnsi="宋体" w:cs="宋体"/>
          <w:b/>
          <w:bCs/>
          <w:color w:val="auto"/>
          <w:szCs w:val="21"/>
          <w:highlight w:val="none"/>
          <w:lang w:val="zh-CN"/>
        </w:rPr>
        <w:t>须提供投标人法定代表人</w:t>
      </w:r>
      <w:r>
        <w:rPr>
          <w:rFonts w:hint="eastAsia" w:ascii="宋体" w:hAnsi="宋体" w:cs="宋体"/>
          <w:b/>
          <w:bCs/>
          <w:color w:val="auto"/>
          <w:szCs w:val="21"/>
          <w:highlight w:val="none"/>
          <w:lang w:val="en-US" w:eastAsia="zh-CN"/>
        </w:rPr>
        <w:t>个人</w:t>
      </w:r>
      <w:r>
        <w:rPr>
          <w:rFonts w:hint="eastAsia" w:ascii="宋体" w:hAnsi="宋体" w:cs="宋体"/>
          <w:b/>
          <w:bCs/>
          <w:color w:val="auto"/>
          <w:szCs w:val="21"/>
          <w:highlight w:val="none"/>
          <w:lang w:val="zh-CN"/>
        </w:rPr>
        <w:t>社保缴纳证明材料</w:t>
      </w:r>
      <w:r>
        <w:rPr>
          <w:rFonts w:hint="eastAsia" w:ascii="宋体" w:hAnsi="宋体" w:cs="宋体"/>
          <w:b/>
          <w:bCs/>
          <w:color w:val="auto"/>
          <w:szCs w:val="21"/>
          <w:highlight w:val="none"/>
          <w:lang w:val="zh-CN" w:eastAsia="zh-CN"/>
        </w:rPr>
        <w:t>。</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zh-CN"/>
        </w:rPr>
        <w:t>证明资料可为社保收缴部门盖章证明资料、社保窗口打印资料或社保官网截图</w:t>
      </w:r>
      <w:r>
        <w:rPr>
          <w:rFonts w:hint="eastAsia" w:ascii="宋体" w:hAnsi="宋体" w:cs="宋体"/>
          <w:b/>
          <w:bCs/>
          <w:color w:val="auto"/>
          <w:szCs w:val="21"/>
          <w:highlight w:val="none"/>
        </w:rPr>
        <w:t>等（如依法不需要缴纳社会保险费的，应提供相应文件证明其依法不需要缴纳社会保险费）</w:t>
      </w:r>
    </w:p>
    <w:p>
      <w:pPr>
        <w:spacing w:line="360" w:lineRule="auto"/>
        <w:rPr>
          <w:rFonts w:hint="eastAsia" w:ascii="宋体" w:hAnsi="宋体" w:cs="宋体"/>
          <w:b/>
          <w:bCs/>
          <w:i/>
          <w:iCs/>
          <w:color w:val="FF0000"/>
          <w:sz w:val="32"/>
          <w:szCs w:val="24"/>
          <w:highlight w:val="none"/>
          <w:lang w:val="en-US" w:eastAsia="zh-CN"/>
        </w:rPr>
      </w:pPr>
      <w:r>
        <w:rPr>
          <w:rFonts w:hint="eastAsia" w:ascii="宋体" w:hAnsi="宋体" w:cs="宋体"/>
          <w:b/>
          <w:bCs/>
          <w:i/>
          <w:iCs/>
          <w:color w:val="FF0000"/>
          <w:sz w:val="32"/>
          <w:szCs w:val="24"/>
          <w:highlight w:val="none"/>
          <w:lang w:val="en-US" w:eastAsia="zh-CN"/>
        </w:rPr>
        <w:t>（注：法定代表人投标时不得为本项目其他投标人员工，否则相关投标人均投标无效并按串通投标处理）</w:t>
      </w:r>
    </w:p>
    <w:p>
      <w:pPr>
        <w:pStyle w:val="24"/>
        <w:rPr>
          <w:rFonts w:hint="eastAsia"/>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bookmarkEnd w:id="32"/>
    <w:bookmarkEnd w:id="33"/>
    <w:p>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p>
    <w:p>
      <w:pPr>
        <w:spacing w:line="420" w:lineRule="exact"/>
        <w:jc w:val="center"/>
        <w:rPr>
          <w:rFonts w:hint="eastAsia" w:asciiTheme="minorEastAsia" w:hAnsiTheme="minorEastAsia" w:eastAsiaTheme="minorEastAsia" w:cstheme="minorEastAsia"/>
          <w:b/>
          <w:bCs/>
          <w:sz w:val="24"/>
          <w:szCs w:val="24"/>
        </w:rPr>
      </w:pPr>
    </w:p>
    <w:p>
      <w:pPr>
        <w:numPr>
          <w:ilvl w:val="0"/>
          <w:numId w:val="3"/>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法定代表人授权书格式（投标人代表为法定代表人的无需提供本格式）</w:t>
      </w:r>
    </w:p>
    <w:p>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pPr>
        <w:spacing w:line="420" w:lineRule="exact"/>
        <w:jc w:val="center"/>
        <w:rPr>
          <w:rFonts w:hint="eastAsia" w:asciiTheme="minorEastAsia" w:hAnsiTheme="minorEastAsia" w:eastAsiaTheme="minorEastAsia" w:cstheme="minorEastAsia"/>
          <w:sz w:val="21"/>
          <w:szCs w:val="21"/>
        </w:rPr>
      </w:pPr>
    </w:p>
    <w:p>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2"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5"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6"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IcdF4tgIAAP4H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spacing w:line="420" w:lineRule="exact"/>
        <w:rPr>
          <w:rFonts w:hint="eastAsia" w:asciiTheme="minorEastAsia" w:hAnsiTheme="minorEastAsia" w:eastAsiaTheme="minorEastAsia" w:cstheme="minorEastAsia"/>
          <w:b/>
          <w:bCs/>
          <w:sz w:val="21"/>
          <w:szCs w:val="21"/>
        </w:rPr>
      </w:pPr>
    </w:p>
    <w:p>
      <w:pPr>
        <w:spacing w:line="420" w:lineRule="exact"/>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keepNext/>
        <w:keepLines/>
        <w:spacing w:line="360" w:lineRule="auto"/>
        <w:outlineLvl w:val="4"/>
        <w:rPr>
          <w:rFonts w:ascii="宋体" w:hAnsi="宋体"/>
          <w:b/>
          <w:bCs/>
          <w:szCs w:val="21"/>
        </w:rPr>
      </w:pPr>
      <w:r>
        <w:rPr>
          <w:rFonts w:hint="eastAsia" w:ascii="宋体" w:hAnsi="宋体"/>
          <w:b/>
          <w:bCs/>
          <w:szCs w:val="21"/>
        </w:rPr>
        <w:t>★授权代表近一个月社保证明</w:t>
      </w:r>
    </w:p>
    <w:p>
      <w:pPr>
        <w:numPr>
          <w:ilvl w:val="0"/>
          <w:numId w:val="0"/>
        </w:numPr>
        <w:spacing w:line="360" w:lineRule="auto"/>
        <w:rPr>
          <w:rFonts w:hint="eastAsia" w:ascii="宋体" w:hAnsi="宋体" w:cs="宋体"/>
          <w:b/>
          <w:bCs/>
          <w:color w:val="auto"/>
          <w:sz w:val="24"/>
          <w:szCs w:val="24"/>
          <w:highlight w:val="none"/>
        </w:rPr>
      </w:pPr>
      <w:r>
        <w:rPr>
          <w:rFonts w:hint="eastAsia" w:asciiTheme="minorEastAsia" w:hAnsiTheme="minorEastAsia" w:eastAsiaTheme="minorEastAsia" w:cstheme="minorEastAsia"/>
          <w:sz w:val="21"/>
          <w:szCs w:val="21"/>
        </w:rPr>
        <w:t>★须提供授权代表个人社保证明，为授权代表缴纳社保的单位不得是本项目其他投标人；授权代表不得为其他投标人法定代表人（负责人）或其他投标人员工。</w:t>
      </w:r>
    </w:p>
    <w:p>
      <w:pPr>
        <w:pStyle w:val="48"/>
        <w:rPr>
          <w:rFonts w:hint="eastAsia" w:ascii="宋体" w:hAnsi="宋体" w:eastAsia="H Yb 2gj" w:cs="宋体"/>
          <w:b/>
          <w:bCs/>
          <w:i/>
          <w:iCs/>
          <w:color w:val="FF0000"/>
          <w:sz w:val="32"/>
          <w:szCs w:val="24"/>
          <w:highlight w:val="none"/>
          <w:lang w:val="en-US" w:eastAsia="zh-CN"/>
        </w:rPr>
      </w:pPr>
      <w:r>
        <w:rPr>
          <w:rFonts w:hint="eastAsia" w:ascii="宋体" w:hAnsi="宋体" w:cs="宋体"/>
          <w:b/>
          <w:bCs/>
          <w:i/>
          <w:iCs/>
          <w:color w:val="FF0000"/>
          <w:sz w:val="32"/>
          <w:szCs w:val="24"/>
          <w:highlight w:val="none"/>
          <w:lang w:val="en-US" w:eastAsia="zh-CN"/>
        </w:rPr>
        <w:t>（注：授权代表投标时不得为本项目其他投标人员工，否则相关投标人均投标无效并按串通投标处理）</w:t>
      </w: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tabs>
          <w:tab w:val="left" w:pos="360"/>
        </w:tabs>
        <w:spacing w:line="460" w:lineRule="exact"/>
        <w:jc w:val="both"/>
        <w:rPr>
          <w:rFonts w:hint="eastAsia" w:asciiTheme="minorEastAsia" w:hAnsiTheme="minorEastAsia" w:cstheme="minorEastAsia"/>
          <w:b/>
          <w:bCs/>
          <w:spacing w:val="0"/>
          <w:sz w:val="24"/>
          <w:szCs w:val="24"/>
          <w:lang w:val="en-US" w:eastAsia="zh-CN" w:bidi="ar-SA"/>
        </w:rPr>
      </w:pPr>
    </w:p>
    <w:p>
      <w:pPr>
        <w:tabs>
          <w:tab w:val="left" w:pos="360"/>
        </w:tabs>
        <w:spacing w:line="460" w:lineRule="exact"/>
        <w:jc w:val="both"/>
        <w:rPr>
          <w:rFonts w:hint="eastAsia" w:asciiTheme="minorEastAsia" w:hAnsiTheme="minorEastAsia" w:cstheme="minorEastAsia"/>
          <w:b/>
          <w:bCs/>
          <w:spacing w:val="0"/>
          <w:sz w:val="24"/>
          <w:szCs w:val="24"/>
          <w:lang w:val="en-US" w:eastAsia="zh-CN" w:bidi="ar-SA"/>
        </w:rPr>
      </w:pPr>
    </w:p>
    <w:p>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pPr>
        <w:numPr>
          <w:ilvl w:val="0"/>
          <w:numId w:val="0"/>
        </w:numPr>
        <w:adjustRightInd w:val="0"/>
        <w:snapToGrid w:val="0"/>
        <w:spacing w:line="460" w:lineRule="atLeast"/>
        <w:rPr>
          <w:rFonts w:hint="eastAsia" w:ascii="宋体" w:hAnsi="宋体" w:cs="宋体"/>
          <w:b w:val="0"/>
          <w:bCs w:val="0"/>
          <w:color w:val="auto"/>
          <w:lang w:val="en-US" w:eastAsia="zh-CN"/>
        </w:rPr>
      </w:pPr>
      <w:r>
        <w:rPr>
          <w:rFonts w:hint="eastAsia" w:ascii="宋体" w:hAnsi="宋体" w:cs="宋体"/>
          <w:b w:val="0"/>
          <w:bCs w:val="0"/>
          <w:color w:val="auto"/>
          <w:szCs w:val="21"/>
          <w:lang w:val="en-US" w:eastAsia="zh-CN"/>
        </w:rPr>
        <w:t>1、</w:t>
      </w:r>
      <w:r>
        <w:rPr>
          <w:rFonts w:hint="eastAsia" w:ascii="宋体" w:hAnsi="宋体" w:cs="宋体"/>
          <w:b w:val="0"/>
          <w:bCs w:val="0"/>
          <w:color w:val="auto"/>
          <w:szCs w:val="21"/>
        </w:rPr>
        <w:t>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当所投产品属于第一类医疗器械时无须提供《医疗器械经营企业许可证》或备案凭证，但投标人应在投标文件中提供第一类医疗器械备案证明</w:t>
      </w:r>
      <w:r>
        <w:rPr>
          <w:rFonts w:hint="eastAsia" w:ascii="宋体" w:hAnsi="宋体" w:cs="宋体"/>
          <w:b w:val="0"/>
          <w:bCs w:val="0"/>
          <w:color w:val="auto"/>
          <w:lang w:val="en-US" w:eastAsia="zh-CN"/>
        </w:rPr>
        <w:t>；</w:t>
      </w: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widowControl w:val="0"/>
        <w:numPr>
          <w:ilvl w:val="0"/>
          <w:numId w:val="0"/>
        </w:numPr>
        <w:adjustRightInd w:val="0"/>
        <w:snapToGrid w:val="0"/>
        <w:spacing w:line="460" w:lineRule="atLeast"/>
        <w:jc w:val="both"/>
        <w:rPr>
          <w:rFonts w:hint="default" w:ascii="宋体" w:hAnsi="宋体" w:cs="宋体"/>
          <w:b w:val="0"/>
          <w:bCs w:val="0"/>
          <w:color w:val="auto"/>
          <w:lang w:val="en-US"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rPr>
          <w:rFonts w:hint="eastAsia" w:ascii="宋体" w:hAnsi="宋体" w:cs="宋体"/>
          <w:b w:val="0"/>
          <w:bCs w:val="0"/>
          <w:color w:val="auto"/>
          <w:szCs w:val="21"/>
          <w:lang w:eastAsia="zh-CN"/>
        </w:rPr>
      </w:pPr>
      <w:r>
        <w:rPr>
          <w:rFonts w:hint="eastAsia" w:ascii="宋体" w:hAnsi="宋体" w:cs="宋体"/>
          <w:b w:val="0"/>
          <w:bCs w:val="0"/>
          <w:color w:val="auto"/>
          <w:szCs w:val="21"/>
          <w:lang w:val="en-US" w:eastAsia="zh-CN"/>
        </w:rPr>
        <w:t>2、</w:t>
      </w:r>
      <w:r>
        <w:rPr>
          <w:rFonts w:hint="eastAsia" w:ascii="宋体" w:hAnsi="宋体" w:cs="宋体"/>
          <w:b w:val="0"/>
          <w:bCs w:val="0"/>
          <w:color w:val="auto"/>
          <w:szCs w:val="21"/>
          <w:lang w:eastAsia="zh-CN"/>
        </w:rPr>
        <w:t>投标人必须提供所投产品的《医疗器械注册（备案）证》的复印件，原件备查，开标时，该证应在有效期内；若不在有效期内，则需提供该证和所投产品在该证有效期内生产的国家药品监督管理局出具的证明文件）；</w:t>
      </w: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br w:type="page"/>
      </w:r>
    </w:p>
    <w:p>
      <w:pPr>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报价明细表</w:t>
      </w:r>
    </w:p>
    <w:p>
      <w:pPr>
        <w:tabs>
          <w:tab w:val="left" w:pos="720"/>
        </w:tabs>
        <w:ind w:firstLine="2741" w:firstLineChars="1300"/>
        <w:rPr>
          <w:rFonts w:hint="eastAsia" w:asciiTheme="minorEastAsia" w:hAnsiTheme="minorEastAsia" w:eastAsiaTheme="minorEastAsia" w:cstheme="minorEastAsia"/>
          <w:b/>
          <w:sz w:val="21"/>
          <w:szCs w:val="21"/>
        </w:rPr>
      </w:pPr>
    </w:p>
    <w:p>
      <w:pPr>
        <w:numPr>
          <w:ilvl w:val="0"/>
          <w:numId w:val="4"/>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pPr>
        <w:pStyle w:val="7"/>
        <w:rPr>
          <w:rFonts w:hint="eastAsia"/>
        </w:rPr>
      </w:pPr>
    </w:p>
    <w:tbl>
      <w:tblPr>
        <w:tblStyle w:val="25"/>
        <w:tblW w:w="4899" w:type="pct"/>
        <w:jc w:val="center"/>
        <w:tblLayout w:type="fixed"/>
        <w:tblCellMar>
          <w:top w:w="0" w:type="dxa"/>
          <w:left w:w="108" w:type="dxa"/>
          <w:bottom w:w="0" w:type="dxa"/>
          <w:right w:w="108" w:type="dxa"/>
        </w:tblCellMar>
      </w:tblPr>
      <w:tblGrid>
        <w:gridCol w:w="774"/>
        <w:gridCol w:w="1755"/>
        <w:gridCol w:w="1394"/>
        <w:gridCol w:w="1080"/>
        <w:gridCol w:w="930"/>
        <w:gridCol w:w="960"/>
        <w:gridCol w:w="1457"/>
      </w:tblGrid>
      <w:tr>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25"/>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202"/>
        <w:gridCol w:w="1014"/>
        <w:gridCol w:w="574"/>
        <w:gridCol w:w="1143"/>
        <w:gridCol w:w="629"/>
        <w:gridCol w:w="936"/>
        <w:gridCol w:w="903"/>
        <w:gridCol w:w="936"/>
        <w:gridCol w:w="6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pPr>
        <w:pStyle w:val="31"/>
        <w:jc w:val="center"/>
        <w:rPr>
          <w:rFonts w:hint="eastAsia" w:ascii="宋体" w:hAnsi="宋体" w:cs="宋体"/>
          <w:b/>
          <w:spacing w:val="0"/>
          <w:kern w:val="2"/>
          <w:sz w:val="21"/>
          <w:szCs w:val="21"/>
          <w:lang w:eastAsia="zh-CN"/>
        </w:rPr>
      </w:pPr>
    </w:p>
    <w:p>
      <w:pPr>
        <w:pStyle w:val="31"/>
        <w:jc w:val="center"/>
        <w:rPr>
          <w:rFonts w:hint="eastAsia" w:ascii="宋体" w:hAnsi="宋体" w:cs="宋体"/>
          <w:b/>
          <w:spacing w:val="0"/>
          <w:kern w:val="2"/>
          <w:sz w:val="21"/>
          <w:szCs w:val="21"/>
          <w:lang w:eastAsia="zh-CN"/>
        </w:rPr>
      </w:pPr>
    </w:p>
    <w:p>
      <w:pPr>
        <w:pStyle w:val="31"/>
        <w:jc w:val="center"/>
        <w:rPr>
          <w:rFonts w:hint="eastAsia" w:ascii="宋体" w:hAnsi="宋体" w:cs="宋体"/>
          <w:b/>
          <w:spacing w:val="0"/>
          <w:kern w:val="2"/>
          <w:sz w:val="21"/>
          <w:szCs w:val="21"/>
          <w:lang w:eastAsia="zh-CN"/>
        </w:rPr>
      </w:pPr>
    </w:p>
    <w:p>
      <w:pPr>
        <w:pStyle w:val="31"/>
        <w:jc w:val="center"/>
        <w:rPr>
          <w:rFonts w:hint="eastAsia" w:ascii="宋体" w:hAnsi="宋体" w:cs="宋体"/>
          <w:b/>
          <w:spacing w:val="0"/>
          <w:kern w:val="2"/>
          <w:sz w:val="21"/>
          <w:szCs w:val="21"/>
          <w:lang w:eastAsia="zh-CN"/>
        </w:rPr>
      </w:pPr>
    </w:p>
    <w:p>
      <w:pPr>
        <w:pStyle w:val="31"/>
        <w:jc w:val="center"/>
        <w:rPr>
          <w:rFonts w:hint="eastAsia" w:ascii="宋体" w:hAnsi="宋体" w:cs="宋体"/>
          <w:b/>
          <w:spacing w:val="0"/>
          <w:kern w:val="2"/>
          <w:sz w:val="21"/>
          <w:szCs w:val="21"/>
          <w:lang w:eastAsia="zh-CN"/>
        </w:rPr>
      </w:pPr>
    </w:p>
    <w:p>
      <w:pPr>
        <w:pStyle w:val="31"/>
        <w:jc w:val="center"/>
        <w:rPr>
          <w:rFonts w:hint="eastAsia" w:ascii="宋体" w:hAnsi="宋体" w:cs="宋体"/>
          <w:b/>
          <w:spacing w:val="0"/>
          <w:kern w:val="2"/>
          <w:sz w:val="21"/>
          <w:szCs w:val="21"/>
          <w:lang w:eastAsia="zh-CN"/>
        </w:rPr>
      </w:pPr>
    </w:p>
    <w:p>
      <w:pPr>
        <w:pStyle w:val="31"/>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pPr>
        <w:pStyle w:val="7"/>
        <w:numPr>
          <w:ilvl w:val="0"/>
          <w:numId w:val="0"/>
        </w:numPr>
        <w:ind w:leftChars="0"/>
        <w:rPr>
          <w:rFonts w:hint="default"/>
          <w:lang w:val="en-US" w:eastAsia="zh-CN"/>
        </w:rPr>
      </w:pPr>
    </w:p>
    <w:tbl>
      <w:tblPr>
        <w:tblStyle w:val="25"/>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942"/>
        <w:gridCol w:w="367"/>
        <w:gridCol w:w="392"/>
        <w:gridCol w:w="907"/>
        <w:gridCol w:w="408"/>
        <w:gridCol w:w="830"/>
        <w:gridCol w:w="895"/>
        <w:gridCol w:w="564"/>
        <w:gridCol w:w="2077"/>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专用/通用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pPr>
              <w:jc w:val="center"/>
              <w:rPr>
                <w:rFonts w:hint="eastAsia" w:ascii="宋体" w:hAnsi="宋体" w:cs="宋体"/>
                <w:color w:val="000000"/>
                <w:sz w:val="21"/>
                <w:szCs w:val="18"/>
              </w:rPr>
            </w:pPr>
          </w:p>
        </w:tc>
        <w:tc>
          <w:tcPr>
            <w:tcW w:w="215" w:type="pct"/>
            <w:noWrap w:val="0"/>
            <w:vAlign w:val="center"/>
          </w:tcPr>
          <w:p>
            <w:pPr>
              <w:jc w:val="center"/>
              <w:rPr>
                <w:rFonts w:hint="eastAsia" w:ascii="宋体" w:hAnsi="宋体" w:cs="宋体"/>
                <w:color w:val="000000"/>
                <w:sz w:val="21"/>
                <w:szCs w:val="18"/>
              </w:rPr>
            </w:pPr>
          </w:p>
        </w:tc>
        <w:tc>
          <w:tcPr>
            <w:tcW w:w="230" w:type="pct"/>
            <w:noWrap w:val="0"/>
            <w:vAlign w:val="center"/>
          </w:tcPr>
          <w:p>
            <w:pPr>
              <w:jc w:val="center"/>
              <w:rPr>
                <w:rFonts w:hint="eastAsia" w:ascii="宋体" w:hAnsi="宋体" w:cs="宋体"/>
                <w:color w:val="000000"/>
                <w:sz w:val="21"/>
                <w:szCs w:val="18"/>
              </w:rPr>
            </w:pPr>
          </w:p>
        </w:tc>
        <w:tc>
          <w:tcPr>
            <w:tcW w:w="533" w:type="pct"/>
            <w:noWrap w:val="0"/>
            <w:vAlign w:val="center"/>
          </w:tcPr>
          <w:p>
            <w:pPr>
              <w:jc w:val="center"/>
              <w:rPr>
                <w:rFonts w:hint="eastAsia" w:ascii="宋体" w:hAnsi="宋体" w:cs="宋体"/>
                <w:color w:val="000000"/>
                <w:sz w:val="21"/>
                <w:szCs w:val="18"/>
              </w:rPr>
            </w:pPr>
          </w:p>
        </w:tc>
        <w:tc>
          <w:tcPr>
            <w:tcW w:w="239" w:type="pct"/>
            <w:noWrap w:val="0"/>
            <w:vAlign w:val="center"/>
          </w:tcPr>
          <w:p>
            <w:pPr>
              <w:jc w:val="center"/>
              <w:rPr>
                <w:rFonts w:hint="eastAsia" w:ascii="宋体" w:hAnsi="宋体" w:cs="宋体"/>
                <w:color w:val="000000"/>
                <w:sz w:val="21"/>
                <w:szCs w:val="18"/>
              </w:rPr>
            </w:pPr>
          </w:p>
        </w:tc>
        <w:tc>
          <w:tcPr>
            <w:tcW w:w="487" w:type="pct"/>
            <w:noWrap w:val="0"/>
            <w:vAlign w:val="center"/>
          </w:tcPr>
          <w:p>
            <w:pPr>
              <w:jc w:val="center"/>
              <w:rPr>
                <w:rFonts w:hint="eastAsia" w:ascii="宋体" w:hAnsi="宋体" w:cs="宋体"/>
                <w:color w:val="000000"/>
                <w:sz w:val="21"/>
                <w:szCs w:val="18"/>
              </w:rPr>
            </w:pPr>
          </w:p>
        </w:tc>
        <w:tc>
          <w:tcPr>
            <w:tcW w:w="526" w:type="pct"/>
            <w:vMerge w:val="continue"/>
            <w:noWrap w:val="0"/>
            <w:vAlign w:val="center"/>
          </w:tcPr>
          <w:p>
            <w:pPr>
              <w:jc w:val="center"/>
              <w:rPr>
                <w:rFonts w:hint="eastAsia" w:ascii="宋体" w:hAnsi="宋体" w:cs="宋体"/>
                <w:color w:val="000000"/>
                <w:sz w:val="21"/>
                <w:szCs w:val="18"/>
              </w:rPr>
            </w:pPr>
          </w:p>
        </w:tc>
        <w:tc>
          <w:tcPr>
            <w:tcW w:w="331" w:type="pct"/>
            <w:noWrap w:val="0"/>
            <w:vAlign w:val="center"/>
          </w:tcPr>
          <w:p>
            <w:pPr>
              <w:jc w:val="center"/>
              <w:rPr>
                <w:rFonts w:hint="eastAsia" w:ascii="宋体" w:hAnsi="宋体" w:cs="宋体" w:eastAsiaTheme="minorEastAsia"/>
                <w:color w:val="000000"/>
                <w:sz w:val="21"/>
                <w:szCs w:val="18"/>
                <w:lang w:val="en-US" w:eastAsia="zh-CN"/>
              </w:rPr>
            </w:pPr>
          </w:p>
        </w:tc>
        <w:tc>
          <w:tcPr>
            <w:tcW w:w="1220" w:type="pct"/>
            <w:noWrap w:val="0"/>
            <w:vAlign w:val="center"/>
          </w:tcPr>
          <w:p>
            <w:pPr>
              <w:jc w:val="center"/>
              <w:rPr>
                <w:rFonts w:hint="eastAsia" w:ascii="宋体" w:hAnsi="宋体" w:cs="宋体"/>
                <w:color w:val="000000"/>
                <w:sz w:val="21"/>
                <w:szCs w:val="18"/>
              </w:rPr>
            </w:pPr>
          </w:p>
        </w:tc>
        <w:tc>
          <w:tcPr>
            <w:tcW w:w="445" w:type="pct"/>
            <w:noWrap w:val="0"/>
            <w:vAlign w:val="center"/>
          </w:tcPr>
          <w:p>
            <w:pPr>
              <w:jc w:val="center"/>
              <w:rPr>
                <w:rFonts w:hint="eastAsia" w:ascii="宋体" w:hAnsi="宋体" w:cs="宋体"/>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pPr>
              <w:jc w:val="center"/>
              <w:rPr>
                <w:rFonts w:hint="eastAsia" w:ascii="宋体" w:hAnsi="宋体" w:cs="宋体"/>
                <w:color w:val="000000"/>
                <w:sz w:val="21"/>
                <w:szCs w:val="18"/>
              </w:rPr>
            </w:pPr>
          </w:p>
        </w:tc>
        <w:tc>
          <w:tcPr>
            <w:tcW w:w="215" w:type="pct"/>
            <w:noWrap w:val="0"/>
            <w:vAlign w:val="center"/>
          </w:tcPr>
          <w:p>
            <w:pPr>
              <w:jc w:val="center"/>
              <w:rPr>
                <w:rFonts w:hint="eastAsia" w:ascii="宋体" w:hAnsi="宋体" w:cs="宋体"/>
                <w:color w:val="000000"/>
                <w:sz w:val="21"/>
                <w:szCs w:val="18"/>
              </w:rPr>
            </w:pPr>
          </w:p>
        </w:tc>
        <w:tc>
          <w:tcPr>
            <w:tcW w:w="230" w:type="pct"/>
            <w:noWrap w:val="0"/>
            <w:vAlign w:val="center"/>
          </w:tcPr>
          <w:p>
            <w:pPr>
              <w:jc w:val="center"/>
              <w:rPr>
                <w:rFonts w:hint="eastAsia" w:ascii="宋体" w:hAnsi="宋体" w:cs="宋体"/>
                <w:color w:val="000000"/>
                <w:sz w:val="21"/>
                <w:szCs w:val="18"/>
              </w:rPr>
            </w:pPr>
          </w:p>
        </w:tc>
        <w:tc>
          <w:tcPr>
            <w:tcW w:w="533" w:type="pct"/>
            <w:noWrap w:val="0"/>
            <w:vAlign w:val="center"/>
          </w:tcPr>
          <w:p>
            <w:pPr>
              <w:jc w:val="center"/>
              <w:rPr>
                <w:rFonts w:hint="eastAsia" w:ascii="宋体" w:hAnsi="宋体" w:cs="宋体"/>
                <w:color w:val="000000"/>
                <w:sz w:val="21"/>
                <w:szCs w:val="18"/>
              </w:rPr>
            </w:pPr>
          </w:p>
        </w:tc>
        <w:tc>
          <w:tcPr>
            <w:tcW w:w="239" w:type="pct"/>
            <w:noWrap w:val="0"/>
            <w:vAlign w:val="center"/>
          </w:tcPr>
          <w:p>
            <w:pPr>
              <w:jc w:val="center"/>
              <w:rPr>
                <w:rFonts w:hint="eastAsia" w:ascii="宋体" w:hAnsi="宋体" w:cs="宋体"/>
                <w:color w:val="000000"/>
                <w:sz w:val="21"/>
                <w:szCs w:val="18"/>
              </w:rPr>
            </w:pPr>
          </w:p>
        </w:tc>
        <w:tc>
          <w:tcPr>
            <w:tcW w:w="487" w:type="pct"/>
            <w:noWrap w:val="0"/>
            <w:vAlign w:val="center"/>
          </w:tcPr>
          <w:p>
            <w:pPr>
              <w:jc w:val="center"/>
              <w:rPr>
                <w:rFonts w:hint="eastAsia" w:ascii="宋体" w:hAnsi="宋体" w:cs="宋体"/>
                <w:color w:val="000000"/>
                <w:sz w:val="21"/>
                <w:szCs w:val="18"/>
              </w:rPr>
            </w:pPr>
          </w:p>
        </w:tc>
        <w:tc>
          <w:tcPr>
            <w:tcW w:w="526" w:type="pct"/>
            <w:vMerge w:val="continue"/>
            <w:noWrap w:val="0"/>
            <w:vAlign w:val="center"/>
          </w:tcPr>
          <w:p>
            <w:pPr>
              <w:jc w:val="center"/>
              <w:rPr>
                <w:rFonts w:hint="eastAsia" w:ascii="宋体" w:hAnsi="宋体" w:cs="宋体"/>
                <w:color w:val="000000"/>
                <w:sz w:val="21"/>
                <w:szCs w:val="18"/>
              </w:rPr>
            </w:pPr>
          </w:p>
        </w:tc>
        <w:tc>
          <w:tcPr>
            <w:tcW w:w="331" w:type="pct"/>
            <w:noWrap w:val="0"/>
            <w:vAlign w:val="center"/>
          </w:tcPr>
          <w:p>
            <w:pPr>
              <w:jc w:val="center"/>
              <w:rPr>
                <w:rFonts w:hint="eastAsia" w:ascii="宋体" w:hAnsi="宋体" w:cs="宋体"/>
                <w:color w:val="000000"/>
                <w:sz w:val="21"/>
                <w:szCs w:val="18"/>
              </w:rPr>
            </w:pPr>
          </w:p>
        </w:tc>
        <w:tc>
          <w:tcPr>
            <w:tcW w:w="1220" w:type="pct"/>
            <w:noWrap w:val="0"/>
            <w:vAlign w:val="center"/>
          </w:tcPr>
          <w:p>
            <w:pPr>
              <w:jc w:val="center"/>
              <w:rPr>
                <w:rFonts w:hint="eastAsia" w:ascii="宋体" w:hAnsi="宋体" w:cs="宋体"/>
                <w:color w:val="000000"/>
                <w:sz w:val="21"/>
                <w:szCs w:val="18"/>
              </w:rPr>
            </w:pPr>
          </w:p>
        </w:tc>
        <w:tc>
          <w:tcPr>
            <w:tcW w:w="445" w:type="pct"/>
            <w:noWrap w:val="0"/>
            <w:vAlign w:val="center"/>
          </w:tcPr>
          <w:p>
            <w:pPr>
              <w:jc w:val="center"/>
              <w:rPr>
                <w:rFonts w:hint="eastAsia" w:ascii="宋体" w:hAnsi="宋体" w:cs="宋体"/>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000000"/>
                <w:sz w:val="21"/>
                <w:szCs w:val="18"/>
              </w:rPr>
            </w:pPr>
          </w:p>
        </w:tc>
        <w:tc>
          <w:tcPr>
            <w:tcW w:w="4784" w:type="pct"/>
            <w:gridSpan w:val="10"/>
            <w:noWrap w:val="0"/>
            <w:vAlign w:val="center"/>
          </w:tcPr>
          <w:p>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15" w:type="pct"/>
            <w:noWrap w:val="0"/>
            <w:vAlign w:val="center"/>
          </w:tcPr>
          <w:p>
            <w:pPr>
              <w:rPr>
                <w:rFonts w:hint="eastAsia" w:ascii="宋体" w:hAnsi="宋体" w:cs="宋体"/>
                <w:color w:val="000000"/>
                <w:sz w:val="21"/>
                <w:szCs w:val="18"/>
              </w:rPr>
            </w:pPr>
          </w:p>
        </w:tc>
        <w:tc>
          <w:tcPr>
            <w:tcW w:w="4784" w:type="pct"/>
            <w:gridSpan w:val="10"/>
            <w:noWrap w:val="0"/>
            <w:vAlign w:val="center"/>
          </w:tcPr>
          <w:p>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pPr>
              <w:rPr>
                <w:rFonts w:hint="eastAsia" w:ascii="宋体" w:hAnsi="宋体" w:cs="宋体"/>
                <w:color w:val="000000"/>
                <w:sz w:val="21"/>
                <w:szCs w:val="18"/>
              </w:rPr>
            </w:pPr>
          </w:p>
        </w:tc>
      </w:tr>
    </w:tbl>
    <w:p>
      <w:pPr>
        <w:ind w:firstLine="422" w:firstLineChars="200"/>
        <w:rPr>
          <w:rFonts w:hint="eastAsia" w:asciiTheme="minorEastAsia" w:hAnsiTheme="minorEastAsia" w:eastAsiaTheme="minorEastAsia" w:cstheme="minorEastAsia"/>
          <w:b/>
          <w:color w:val="FF0000"/>
          <w:sz w:val="21"/>
          <w:szCs w:val="21"/>
        </w:rPr>
      </w:pPr>
    </w:p>
    <w:p>
      <w:pPr>
        <w:ind w:firstLine="422" w:firstLineChars="200"/>
        <w:rPr>
          <w:rFonts w:hint="eastAsia" w:asciiTheme="minorEastAsia" w:hAnsiTheme="minorEastAsia" w:eastAsiaTheme="minorEastAsia" w:cstheme="minorEastAsia"/>
          <w:b/>
          <w:color w:val="FF0000"/>
          <w:sz w:val="21"/>
          <w:szCs w:val="21"/>
        </w:rPr>
      </w:pPr>
    </w:p>
    <w:p>
      <w:pPr>
        <w:ind w:firstLine="422" w:firstLineChars="200"/>
        <w:rPr>
          <w:rFonts w:hint="eastAsia" w:asciiTheme="minorEastAsia" w:hAnsiTheme="minorEastAsia" w:eastAsiaTheme="minorEastAsia" w:cstheme="minorEastAsia"/>
          <w:b/>
          <w:color w:val="FF0000"/>
          <w:sz w:val="21"/>
          <w:szCs w:val="21"/>
        </w:rPr>
      </w:pPr>
    </w:p>
    <w:p>
      <w:pPr>
        <w:pStyle w:val="6"/>
        <w:ind w:firstLine="0" w:firstLineChars="0"/>
        <w:rPr>
          <w:rFonts w:hint="eastAsia" w:asciiTheme="minorEastAsia" w:hAnsiTheme="minorEastAsia" w:eastAsiaTheme="minorEastAsia" w:cstheme="minorEastAsia"/>
          <w:sz w:val="21"/>
          <w:szCs w:val="21"/>
        </w:rPr>
      </w:pPr>
    </w:p>
    <w:p>
      <w:pPr>
        <w:spacing w:line="420" w:lineRule="exact"/>
        <w:outlineLvl w:val="3"/>
        <w:rPr>
          <w:rFonts w:hint="eastAsia" w:asciiTheme="minorEastAsia" w:hAnsiTheme="minorEastAsia" w:cstheme="minorEastAsia"/>
          <w:b/>
          <w:sz w:val="21"/>
          <w:szCs w:val="21"/>
          <w:lang w:val="en-US" w:eastAsia="zh-CN"/>
        </w:rPr>
      </w:pPr>
      <w:bookmarkStart w:id="34" w:name="_Toc36971355"/>
      <w:bookmarkStart w:id="35" w:name="_Toc45995263"/>
      <w:bookmarkStart w:id="36" w:name="_Toc7167"/>
      <w:bookmarkStart w:id="37" w:name="_Hlk72257530"/>
    </w:p>
    <w:p>
      <w:pPr>
        <w:spacing w:line="420" w:lineRule="exact"/>
        <w:outlineLvl w:val="3"/>
        <w:rPr>
          <w:rFonts w:hint="eastAsia" w:asciiTheme="minorEastAsia" w:hAnsiTheme="minorEastAsia" w:cstheme="minorEastAsia"/>
          <w:b/>
          <w:sz w:val="21"/>
          <w:szCs w:val="21"/>
          <w:lang w:val="en-US" w:eastAsia="zh-CN"/>
        </w:rPr>
      </w:pPr>
    </w:p>
    <w:p>
      <w:pPr>
        <w:spacing w:line="420" w:lineRule="exact"/>
        <w:outlineLvl w:val="3"/>
        <w:rPr>
          <w:rFonts w:hint="eastAsia" w:asciiTheme="minorEastAsia" w:hAnsiTheme="minorEastAsia" w:cstheme="minorEastAsia"/>
          <w:b/>
          <w:sz w:val="21"/>
          <w:szCs w:val="21"/>
          <w:lang w:val="en-US" w:eastAsia="zh-CN"/>
        </w:rPr>
      </w:pPr>
    </w:p>
    <w:p>
      <w:pPr>
        <w:spacing w:line="420" w:lineRule="exact"/>
        <w:outlineLvl w:val="3"/>
        <w:rPr>
          <w:rFonts w:hint="eastAsia" w:asciiTheme="minorEastAsia" w:hAnsiTheme="minorEastAsia" w:cstheme="minorEastAsia"/>
          <w:b/>
          <w:sz w:val="21"/>
          <w:szCs w:val="21"/>
          <w:lang w:val="en-US" w:eastAsia="zh-CN"/>
        </w:rPr>
      </w:pPr>
    </w:p>
    <w:p>
      <w:pPr>
        <w:spacing w:line="420" w:lineRule="exact"/>
        <w:outlineLvl w:val="3"/>
        <w:rPr>
          <w:rFonts w:hint="eastAsia" w:asciiTheme="minorEastAsia" w:hAnsiTheme="minorEastAsia" w:cstheme="minorEastAsia"/>
          <w:b/>
          <w:sz w:val="21"/>
          <w:szCs w:val="21"/>
          <w:lang w:val="en-US" w:eastAsia="zh-CN"/>
        </w:rPr>
      </w:pPr>
    </w:p>
    <w:p>
      <w:pPr>
        <w:spacing w:line="420" w:lineRule="exact"/>
        <w:outlineLvl w:val="3"/>
        <w:rPr>
          <w:rFonts w:hint="eastAsia" w:asciiTheme="minorEastAsia" w:hAnsiTheme="minorEastAsia" w:cstheme="minorEastAsia"/>
          <w:b/>
          <w:sz w:val="21"/>
          <w:szCs w:val="21"/>
          <w:lang w:val="en-US" w:eastAsia="zh-CN"/>
        </w:rPr>
      </w:pPr>
    </w:p>
    <w:p>
      <w:pPr>
        <w:spacing w:line="420" w:lineRule="exact"/>
        <w:outlineLvl w:val="3"/>
        <w:rPr>
          <w:rFonts w:hint="eastAsia" w:asciiTheme="minorEastAsia" w:hAnsiTheme="minorEastAsia" w:cstheme="minorEastAsia"/>
          <w:b/>
          <w:sz w:val="21"/>
          <w:szCs w:val="21"/>
          <w:lang w:val="en-US" w:eastAsia="zh-CN"/>
        </w:rPr>
      </w:pPr>
    </w:p>
    <w:bookmarkEnd w:id="34"/>
    <w:bookmarkEnd w:id="35"/>
    <w:p>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36"/>
    </w:p>
    <w:tbl>
      <w:tblPr>
        <w:tblStyle w:val="25"/>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807"/>
        <w:gridCol w:w="2570"/>
        <w:gridCol w:w="1206"/>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0" w:type="pct"/>
            <w:vAlign w:val="center"/>
          </w:tcPr>
          <w:p>
            <w:pPr>
              <w:jc w:val="center"/>
              <w:rPr>
                <w:rFonts w:hint="eastAsia" w:ascii="宋体" w:hAnsi="宋体" w:cs="宋体"/>
                <w:b/>
                <w:bCs/>
                <w:kern w:val="0"/>
                <w:szCs w:val="21"/>
              </w:rPr>
            </w:pPr>
            <w:r>
              <w:rPr>
                <w:rFonts w:hint="eastAsia" w:ascii="宋体" w:hAnsi="宋体" w:cs="宋体"/>
                <w:b/>
                <w:bCs/>
                <w:kern w:val="0"/>
                <w:szCs w:val="21"/>
              </w:rPr>
              <w:t>招标文件条目号</w:t>
            </w:r>
          </w:p>
        </w:tc>
        <w:tc>
          <w:tcPr>
            <w:tcW w:w="1597" w:type="pct"/>
            <w:vAlign w:val="center"/>
          </w:tcPr>
          <w:p>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462" w:type="pct"/>
            <w:vAlign w:val="center"/>
          </w:tcPr>
          <w:p>
            <w:pPr>
              <w:jc w:val="center"/>
              <w:rPr>
                <w:rFonts w:ascii="宋体" w:hAnsi="宋体" w:cs="宋体"/>
                <w:b/>
                <w:szCs w:val="21"/>
              </w:rPr>
            </w:pPr>
            <w:r>
              <w:rPr>
                <w:rFonts w:hint="eastAsia" w:ascii="宋体" w:hAnsi="宋体" w:cs="宋体"/>
                <w:b/>
                <w:szCs w:val="21"/>
              </w:rPr>
              <w:t>投标响应</w:t>
            </w:r>
          </w:p>
          <w:p>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686" w:type="pct"/>
            <w:vAlign w:val="center"/>
          </w:tcPr>
          <w:p>
            <w:pPr>
              <w:jc w:val="center"/>
              <w:rPr>
                <w:rFonts w:ascii="宋体" w:hAnsi="宋体" w:cs="宋体"/>
                <w:b/>
                <w:szCs w:val="21"/>
              </w:rPr>
            </w:pPr>
            <w:r>
              <w:rPr>
                <w:rFonts w:hint="eastAsia" w:ascii="宋体" w:hAnsi="宋体" w:cs="宋体"/>
                <w:b/>
                <w:szCs w:val="21"/>
              </w:rPr>
              <w:t>偏离情况</w:t>
            </w:r>
          </w:p>
          <w:p>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792" w:type="pct"/>
            <w:vAlign w:val="center"/>
          </w:tcPr>
          <w:p>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Align w:val="center"/>
          </w:tcPr>
          <w:p>
            <w:pPr>
              <w:jc w:val="center"/>
              <w:rPr>
                <w:rFonts w:hint="eastAsia" w:ascii="宋体" w:hAnsi="宋体" w:cs="宋体"/>
                <w:b/>
                <w:bCs/>
                <w:kern w:val="0"/>
                <w:szCs w:val="21"/>
              </w:rPr>
            </w:pPr>
            <w:r>
              <w:rPr>
                <w:rFonts w:hint="eastAsia" w:ascii="宋体" w:hAnsi="宋体" w:cs="宋体"/>
                <w:b/>
                <w:bCs/>
                <w:kern w:val="0"/>
                <w:szCs w:val="21"/>
                <w:lang w:val="en-US" w:eastAsia="zh-CN"/>
              </w:rPr>
              <w:t>一、用途：</w:t>
            </w:r>
          </w:p>
        </w:tc>
        <w:tc>
          <w:tcPr>
            <w:tcW w:w="1597" w:type="pct"/>
            <w:vAlign w:val="center"/>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用于样本分析前对血液或其他体液的染色。</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restart"/>
            <w:vAlign w:val="center"/>
          </w:tcPr>
          <w:p>
            <w:pPr>
              <w:jc w:val="center"/>
              <w:rPr>
                <w:rFonts w:hint="eastAsia" w:ascii="宋体" w:hAnsi="宋体" w:cs="宋体"/>
                <w:b/>
                <w:bCs/>
                <w:kern w:val="0"/>
                <w:szCs w:val="21"/>
              </w:rPr>
            </w:pPr>
            <w:r>
              <w:rPr>
                <w:rFonts w:hint="eastAsia" w:ascii="宋体" w:hAnsi="宋体" w:cs="宋体"/>
                <w:b/>
                <w:bCs/>
                <w:kern w:val="0"/>
                <w:szCs w:val="21"/>
                <w:lang w:val="en-US" w:eastAsia="zh-CN"/>
              </w:rPr>
              <w:t>二、主要技术及系统要求：</w:t>
            </w: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1.设备用途：用于微生物涂片的自动化革兰氏染色和抗酸染色。</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2.▲染色模式：采用注液离心浸染方式，染液喷嘴口径大，避免堵孔。</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3.染色功能：二合一功能设计；采用经典四步法的革兰氏染色和抗酸染色（萋尼氏法/冷染法/荧光法、三选一），其中内置加热模块用于抗酸染色（萋尼氏法）。</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4.具有触摸屏显示。</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5.可设置中文操作界面。</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6.染色进度条可实时显示。</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7.染色程序可调节染液注入时间，染色等待时间。</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8.染色舱内玻片架采用镀层处理，确保玻片架不被染液侵蚀；</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9.每种试剂有单独输送管路，泵和喷嘴，避免交叉污染；</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10.染色完成时，染片已经过离心干燥，可直接用于镜检。</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11.▲具备水平仪设计，用于调整设备安装的水平位置，垂直位置。</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12.▲染片量：≥16张片/轮。</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13.▲染色速度：革兰氏染色≥80片/小时，抗酸染色（萋尼氏法）≥90片/小时，抗酸染色（冷染法）≥60片/小时，抗酸染色（荧光法）≥48片/小时。</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14.染色液用量：≤2mL/片。</w:t>
            </w:r>
          </w:p>
        </w:tc>
        <w:tc>
          <w:tcPr>
            <w:tcW w:w="1462" w:type="pct"/>
            <w:vAlign w:val="center"/>
          </w:tcPr>
          <w:p>
            <w:pPr>
              <w:pStyle w:val="24"/>
              <w:ind w:left="0" w:leftChars="0" w:firstLine="0" w:firstLineChars="0"/>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15.提供染色用标准玻片，用于仪器染色效果评估以及性能验证。</w:t>
            </w:r>
          </w:p>
        </w:tc>
        <w:tc>
          <w:tcPr>
            <w:tcW w:w="1462" w:type="pct"/>
            <w:vAlign w:val="center"/>
          </w:tcPr>
          <w:p>
            <w:pPr>
              <w:pStyle w:val="24"/>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4"/>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16.提供玻片处理仪，用于染色完成时玻片的干燥。</w:t>
            </w:r>
          </w:p>
        </w:tc>
        <w:tc>
          <w:tcPr>
            <w:tcW w:w="1462" w:type="pct"/>
            <w:vAlign w:val="center"/>
          </w:tcPr>
          <w:p>
            <w:pPr>
              <w:pStyle w:val="24"/>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4"/>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17.▲安全性能：只有盖子闭合时才能进行操作，仪器运行时自动开启电子锁。</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pStyle w:val="24"/>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4"/>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18.低速离心：0～400rpm，保证操作人员的安全。</w:t>
            </w:r>
          </w:p>
        </w:tc>
        <w:tc>
          <w:tcPr>
            <w:tcW w:w="1462" w:type="pct"/>
            <w:vAlign w:val="center"/>
          </w:tcPr>
          <w:p>
            <w:pPr>
              <w:pStyle w:val="24"/>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4"/>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19.日常维护：染色机带有自动清洗功能，无需人工清洗。</w:t>
            </w:r>
          </w:p>
        </w:tc>
        <w:tc>
          <w:tcPr>
            <w:tcW w:w="1462" w:type="pct"/>
            <w:vAlign w:val="center"/>
          </w:tcPr>
          <w:p>
            <w:pPr>
              <w:pStyle w:val="24"/>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4"/>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20.具备液量报警系统。</w:t>
            </w:r>
          </w:p>
        </w:tc>
        <w:tc>
          <w:tcPr>
            <w:tcW w:w="1462" w:type="pct"/>
            <w:vAlign w:val="center"/>
          </w:tcPr>
          <w:p>
            <w:pPr>
              <w:pStyle w:val="24"/>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4"/>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21.具备故障报警系统。</w:t>
            </w:r>
          </w:p>
        </w:tc>
        <w:tc>
          <w:tcPr>
            <w:tcW w:w="1462" w:type="pct"/>
            <w:vAlign w:val="center"/>
          </w:tcPr>
          <w:p>
            <w:pPr>
              <w:pStyle w:val="24"/>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Align w:val="center"/>
          </w:tcPr>
          <w:p>
            <w:pPr>
              <w:widowControl/>
              <w:jc w:val="center"/>
              <w:rPr>
                <w:rFonts w:ascii="宋体" w:hAnsi="宋体" w:cs="宋体"/>
                <w:b/>
                <w:bCs/>
                <w:kern w:val="0"/>
                <w:sz w:val="22"/>
              </w:rPr>
            </w:pPr>
            <w:r>
              <w:rPr>
                <w:rFonts w:hint="eastAsia" w:ascii="宋体" w:hAnsi="宋体" w:cs="宋体"/>
                <w:b/>
                <w:bCs/>
                <w:color w:val="FF0000"/>
                <w:kern w:val="0"/>
                <w:szCs w:val="21"/>
                <w:highlight w:val="none"/>
                <w:lang w:val="en-US" w:eastAsia="zh-CN"/>
              </w:rPr>
              <w:t>★</w:t>
            </w:r>
            <w:r>
              <w:rPr>
                <w:rFonts w:hint="eastAsia" w:ascii="宋体" w:hAnsi="宋体" w:cs="宋体"/>
                <w:b/>
                <w:bCs/>
                <w:kern w:val="0"/>
                <w:szCs w:val="21"/>
                <w:lang w:val="en-US" w:eastAsia="zh-CN"/>
              </w:rPr>
              <w:t>三、标准配置要求：</w:t>
            </w:r>
          </w:p>
        </w:tc>
        <w:tc>
          <w:tcPr>
            <w:tcW w:w="1597" w:type="pct"/>
            <w:vAlign w:val="center"/>
          </w:tcPr>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1.主机1台</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2.电源线1条</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3.备用保险丝3A1个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4.备用保险丝15A1个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5.废液管1根</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6.废液桶2个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7.清水瓶1个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8.试剂瓶座1个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9.试剂瓶盖及连接管5个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10.玻片处理器1个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11.染色用标准玻片1个</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p>
        </w:tc>
      </w:tr>
    </w:tbl>
    <w:p>
      <w:pPr>
        <w:rPr>
          <w:rFonts w:hint="eastAsia" w:asciiTheme="minorEastAsia" w:hAnsiTheme="minorEastAsia" w:eastAsiaTheme="minorEastAsia" w:cstheme="minorEastAsia"/>
          <w:b/>
          <w:color w:val="FF0000"/>
          <w:sz w:val="21"/>
          <w:szCs w:val="21"/>
        </w:rPr>
      </w:pPr>
      <w:bookmarkStart w:id="38" w:name="_Hlk72096176"/>
      <w:r>
        <w:rPr>
          <w:rFonts w:hint="eastAsia" w:asciiTheme="minorEastAsia" w:hAnsiTheme="minorEastAsia" w:eastAsiaTheme="minorEastAsia" w:cstheme="minorEastAsia"/>
          <w:b/>
          <w:color w:val="FF0000"/>
          <w:sz w:val="21"/>
          <w:szCs w:val="21"/>
        </w:rPr>
        <w:t>《技术要求偏离表》编制指引：</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39" w:name="_Hlk72094407"/>
      <w:r>
        <w:rPr>
          <w:rFonts w:hint="eastAsia" w:asciiTheme="minorEastAsia" w:hAnsiTheme="minorEastAsia" w:eastAsiaTheme="minorEastAsia" w:cstheme="minorEastAsia"/>
          <w:b/>
          <w:color w:val="FF0000"/>
          <w:sz w:val="21"/>
          <w:szCs w:val="21"/>
        </w:rPr>
        <w:t>对应“用户需求书”中的“技术要求”章节</w:t>
      </w:r>
      <w:bookmarkEnd w:id="39"/>
      <w:r>
        <w:rPr>
          <w:rFonts w:hint="eastAsia" w:asciiTheme="minorEastAsia" w:hAnsiTheme="minorEastAsia" w:eastAsiaTheme="minorEastAsia" w:cstheme="minorEastAsia"/>
          <w:b/>
          <w:color w:val="FF0000"/>
          <w:sz w:val="21"/>
          <w:szCs w:val="21"/>
        </w:rPr>
        <w:t>相关内容。</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40" w:name="_Hlk72158270"/>
      <w:r>
        <w:rPr>
          <w:rFonts w:hint="eastAsia" w:asciiTheme="minorEastAsia" w:hAnsiTheme="minorEastAsia" w:eastAsiaTheme="minorEastAsia" w:cstheme="minorEastAsia"/>
          <w:b/>
          <w:color w:val="FF0000"/>
          <w:sz w:val="21"/>
          <w:szCs w:val="21"/>
        </w:rPr>
        <w:t>“偏离情况”</w:t>
      </w:r>
      <w:bookmarkEnd w:id="40"/>
      <w:r>
        <w:rPr>
          <w:rFonts w:hint="eastAsia" w:asciiTheme="minorEastAsia" w:hAnsiTheme="minorEastAsia" w:eastAsiaTheme="minorEastAsia" w:cstheme="minorEastAsia"/>
          <w:b/>
          <w:color w:val="FF0000"/>
          <w:sz w:val="21"/>
          <w:szCs w:val="21"/>
        </w:rPr>
        <w:t>一栏填写如实填写“正偏离”、“负偏离”或“无偏离”，其中：</w:t>
      </w:r>
      <w:bookmarkStart w:id="41"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41"/>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42" w:name="_Hlk72096106"/>
      <w:r>
        <w:rPr>
          <w:rFonts w:hint="eastAsia" w:asciiTheme="minorEastAsia" w:hAnsiTheme="minorEastAsia" w:eastAsiaTheme="minorEastAsia" w:cstheme="minorEastAsia"/>
          <w:b/>
          <w:color w:val="FF0000"/>
          <w:sz w:val="21"/>
          <w:szCs w:val="21"/>
        </w:rPr>
        <w:t>证明资料条款响应要求</w:t>
      </w:r>
      <w:bookmarkEnd w:id="42"/>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43"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43"/>
      <w:bookmarkEnd w:id="44"/>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38"/>
      <w:r>
        <w:rPr>
          <w:rFonts w:hint="eastAsia" w:asciiTheme="minorEastAsia" w:hAnsiTheme="minorEastAsia" w:eastAsiaTheme="minorEastAsia" w:cstheme="minorEastAsia"/>
          <w:b/>
          <w:color w:val="FF0000"/>
          <w:sz w:val="21"/>
          <w:szCs w:val="21"/>
        </w:rPr>
        <w:t>：</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pPr>
        <w:spacing w:line="420" w:lineRule="exact"/>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证明材料：</w:t>
      </w:r>
    </w:p>
    <w:bookmarkEnd w:id="37"/>
    <w:p>
      <w:pPr>
        <w:rPr>
          <w:rFonts w:hint="eastAsia" w:asciiTheme="minorEastAsia" w:hAnsiTheme="minorEastAsia" w:eastAsiaTheme="minorEastAsia" w:cstheme="minorEastAsia"/>
          <w:b/>
          <w:kern w:val="2"/>
          <w:sz w:val="21"/>
          <w:szCs w:val="21"/>
        </w:rPr>
      </w:pPr>
      <w:bookmarkStart w:id="45" w:name="_Hlk72260530"/>
      <w:bookmarkStart w:id="46" w:name="_Hlk72092499"/>
    </w:p>
    <w:p>
      <w:pPr>
        <w:rPr>
          <w:rFonts w:hint="eastAsia" w:asciiTheme="minorEastAsia" w:hAnsiTheme="minorEastAsia" w:cstheme="minorEastAsia"/>
          <w:b/>
          <w:sz w:val="24"/>
          <w:szCs w:val="24"/>
          <w:lang w:val="en-US" w:eastAsia="zh-CN"/>
        </w:rPr>
      </w:pPr>
      <w:bookmarkStart w:id="47" w:name="_Toc9255"/>
      <w:r>
        <w:rPr>
          <w:rFonts w:hint="eastAsia" w:asciiTheme="minorEastAsia" w:hAnsiTheme="minorEastAsia" w:cstheme="minorEastAsia"/>
          <w:b/>
          <w:sz w:val="24"/>
          <w:szCs w:val="24"/>
          <w:lang w:val="en-US" w:eastAsia="zh-CN"/>
        </w:rPr>
        <w:br w:type="page"/>
      </w:r>
    </w:p>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sz w:val="24"/>
          <w:szCs w:val="24"/>
          <w:lang w:val="en-US" w:eastAsia="zh-CN"/>
        </w:rPr>
        <w:t>九、</w:t>
      </w:r>
      <w:r>
        <w:rPr>
          <w:rFonts w:hint="eastAsia" w:asciiTheme="minorEastAsia" w:hAnsiTheme="minorEastAsia" w:eastAsiaTheme="minorEastAsia" w:cstheme="minorEastAsia"/>
          <w:b/>
          <w:sz w:val="24"/>
          <w:szCs w:val="24"/>
          <w:lang w:val="en-US" w:eastAsia="zh-CN"/>
        </w:rPr>
        <w:t>商务</w:t>
      </w:r>
      <w:r>
        <w:rPr>
          <w:rFonts w:hint="eastAsia" w:asciiTheme="minorEastAsia" w:hAnsiTheme="minorEastAsia" w:eastAsiaTheme="minorEastAsia" w:cstheme="minorEastAsia"/>
          <w:b/>
          <w:bCs/>
          <w:sz w:val="24"/>
          <w:szCs w:val="24"/>
          <w:lang w:val="en-US" w:eastAsia="zh-CN"/>
        </w:rPr>
        <w:t>要求偏离表</w:t>
      </w:r>
    </w:p>
    <w:tbl>
      <w:tblPr>
        <w:tblStyle w:val="25"/>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43"/>
        <w:gridCol w:w="2153"/>
        <w:gridCol w:w="1993"/>
        <w:gridCol w:w="157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338" w:type="pct"/>
            <w:tcBorders>
              <w:top w:val="single" w:color="auto" w:sz="4" w:space="0"/>
            </w:tcBorders>
            <w:vAlign w:val="center"/>
          </w:tcPr>
          <w:p>
            <w:pPr>
              <w:snapToGrid w:val="0"/>
              <w:jc w:val="center"/>
              <w:rPr>
                <w:rFonts w:ascii="宋体" w:hAnsi="宋体" w:cs="宋体"/>
                <w:b/>
                <w:bCs/>
                <w:kern w:val="0"/>
                <w:szCs w:val="21"/>
                <w:u w:val="single"/>
              </w:rPr>
            </w:pPr>
            <w:r>
              <w:rPr>
                <w:rFonts w:hint="eastAsia" w:ascii="宋体" w:hAnsi="宋体" w:cs="宋体"/>
                <w:b/>
                <w:bCs/>
                <w:kern w:val="0"/>
                <w:sz w:val="22"/>
              </w:rPr>
              <w:t>招标文件条目号</w:t>
            </w:r>
          </w:p>
        </w:tc>
        <w:tc>
          <w:tcPr>
            <w:tcW w:w="1891" w:type="pct"/>
            <w:gridSpan w:val="2"/>
            <w:tcBorders>
              <w:top w:val="single" w:color="auto" w:sz="4" w:space="0"/>
            </w:tcBorders>
            <w:vAlign w:val="center"/>
          </w:tcPr>
          <w:p>
            <w:pPr>
              <w:snapToGrid w:val="0"/>
              <w:jc w:val="center"/>
              <w:rPr>
                <w:rFonts w:ascii="宋体" w:hAnsi="宋体" w:cs="宋体"/>
                <w:b/>
                <w:bCs/>
              </w:rPr>
            </w:pPr>
            <w:r>
              <w:rPr>
                <w:rFonts w:hint="eastAsia" w:ascii="宋体" w:hAnsi="宋体" w:cs="宋体"/>
                <w:b/>
                <w:bCs/>
              </w:rPr>
              <w:t>商务需求</w:t>
            </w:r>
          </w:p>
        </w:tc>
        <w:tc>
          <w:tcPr>
            <w:tcW w:w="1143" w:type="pct"/>
            <w:tcBorders>
              <w:top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投标响应</w:t>
            </w:r>
          </w:p>
          <w:p>
            <w:pPr>
              <w:snapToGrid w:val="0"/>
              <w:jc w:val="center"/>
              <w:rPr>
                <w:rFonts w:hint="eastAsia" w:ascii="宋体" w:hAnsi="宋体" w:eastAsia="宋体" w:cs="宋体"/>
                <w:b/>
                <w:szCs w:val="21"/>
                <w:lang w:eastAsia="zh-CN"/>
              </w:rPr>
            </w:pPr>
            <w:r>
              <w:rPr>
                <w:rFonts w:hint="eastAsia" w:ascii="宋体" w:hAnsi="宋体" w:cs="宋体"/>
                <w:b/>
                <w:szCs w:val="21"/>
                <w:lang w:eastAsia="zh-CN"/>
              </w:rPr>
              <w:t>（</w:t>
            </w:r>
            <w:r>
              <w:rPr>
                <w:rFonts w:hint="eastAsia" w:ascii="宋体" w:hAnsi="宋体" w:cs="宋体"/>
                <w:b/>
                <w:bCs/>
                <w:kern w:val="0"/>
                <w:szCs w:val="21"/>
              </w:rPr>
              <w:t>投标人根据实际情况在此列进行响应</w:t>
            </w:r>
            <w:r>
              <w:rPr>
                <w:rFonts w:hint="eastAsia" w:ascii="宋体" w:hAnsi="宋体" w:cs="宋体"/>
                <w:b/>
                <w:szCs w:val="21"/>
                <w:lang w:eastAsia="zh-CN"/>
              </w:rPr>
              <w:t>）</w:t>
            </w:r>
          </w:p>
        </w:tc>
        <w:tc>
          <w:tcPr>
            <w:tcW w:w="901" w:type="pct"/>
            <w:tcBorders>
              <w:top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偏离情况</w:t>
            </w:r>
          </w:p>
          <w:p>
            <w:pPr>
              <w:snapToGrid w:val="0"/>
              <w:jc w:val="center"/>
              <w:rPr>
                <w:rFonts w:ascii="宋体" w:hAnsi="宋体" w:cs="宋体"/>
                <w:b/>
                <w:bCs/>
                <w:kern w:val="0"/>
                <w:szCs w:val="21"/>
              </w:rPr>
            </w:pPr>
            <w:r>
              <w:rPr>
                <w:rFonts w:hint="eastAsia" w:ascii="宋体" w:hAnsi="宋体" w:cs="宋体"/>
                <w:b/>
                <w:szCs w:val="21"/>
                <w:lang w:eastAsia="zh-CN"/>
              </w:rPr>
              <w:t>（</w:t>
            </w:r>
            <w:r>
              <w:rPr>
                <w:rFonts w:hint="eastAsia" w:ascii="宋体" w:hAnsi="宋体" w:cs="宋体"/>
                <w:b/>
                <w:bCs/>
                <w:kern w:val="0"/>
                <w:szCs w:val="21"/>
              </w:rPr>
              <w:t>填“正偏离”</w:t>
            </w:r>
          </w:p>
          <w:p>
            <w:pPr>
              <w:snapToGrid w:val="0"/>
              <w:jc w:val="center"/>
              <w:rPr>
                <w:rFonts w:ascii="宋体" w:hAnsi="宋体" w:cs="宋体"/>
                <w:b/>
                <w:bCs/>
                <w:kern w:val="0"/>
                <w:szCs w:val="21"/>
              </w:rPr>
            </w:pPr>
            <w:r>
              <w:rPr>
                <w:rFonts w:hint="eastAsia" w:ascii="宋体" w:hAnsi="宋体" w:cs="宋体"/>
                <w:b/>
                <w:bCs/>
                <w:kern w:val="0"/>
                <w:szCs w:val="21"/>
              </w:rPr>
              <w:t>或“无偏离”</w:t>
            </w:r>
          </w:p>
          <w:p>
            <w:pPr>
              <w:snapToGrid w:val="0"/>
              <w:jc w:val="center"/>
              <w:rPr>
                <w:rFonts w:hint="eastAsia" w:ascii="宋体" w:hAnsi="宋体" w:eastAsia="宋体" w:cs="宋体"/>
                <w:b/>
                <w:szCs w:val="21"/>
                <w:lang w:eastAsia="zh-CN"/>
              </w:rPr>
            </w:pPr>
            <w:r>
              <w:rPr>
                <w:rFonts w:hint="eastAsia" w:ascii="宋体" w:hAnsi="宋体" w:cs="宋体"/>
                <w:b/>
                <w:bCs/>
                <w:kern w:val="0"/>
                <w:szCs w:val="21"/>
              </w:rPr>
              <w:t>或“负偏离”</w:t>
            </w:r>
            <w:r>
              <w:rPr>
                <w:rFonts w:hint="eastAsia" w:ascii="宋体" w:hAnsi="宋体" w:cs="宋体"/>
                <w:b/>
                <w:szCs w:val="21"/>
                <w:lang w:eastAsia="zh-CN"/>
              </w:rPr>
              <w:t>）</w:t>
            </w:r>
          </w:p>
        </w:tc>
        <w:tc>
          <w:tcPr>
            <w:tcW w:w="724" w:type="pct"/>
            <w:tcBorders>
              <w:top w:val="single" w:color="auto" w:sz="4" w:space="0"/>
            </w:tcBorders>
            <w:vAlign w:val="center"/>
          </w:tcPr>
          <w:p>
            <w:pPr>
              <w:snapToGrid w:val="0"/>
              <w:jc w:val="center"/>
              <w:rPr>
                <w:rFonts w:ascii="宋体" w:hAnsi="宋体" w:cs="宋体"/>
                <w:b/>
                <w:szCs w:val="21"/>
              </w:rPr>
            </w:pPr>
            <w:r>
              <w:rPr>
                <w:rFonts w:hint="eastAsia" w:asciiTheme="minorEastAsia" w:hAnsiTheme="minorEastAsia" w:cstheme="minorEastAsia"/>
                <w:b/>
                <w:bCs/>
                <w:sz w:val="21"/>
                <w:szCs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cs="宋体"/>
                <w:b/>
                <w:szCs w:val="21"/>
                <w:lang w:eastAsia="zh-CN"/>
              </w:rPr>
              <w:t>）</w:t>
            </w:r>
          </w:p>
        </w:tc>
        <w:tc>
          <w:tcPr>
            <w:tcW w:w="655" w:type="pct"/>
            <w:vAlign w:val="center"/>
          </w:tcPr>
          <w:p>
            <w:pPr>
              <w:snapToGrid w:val="0"/>
              <w:spacing w:line="460" w:lineRule="exact"/>
              <w:jc w:val="center"/>
              <w:rPr>
                <w:b/>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报价</w:t>
            </w:r>
          </w:p>
        </w:tc>
        <w:tc>
          <w:tcPr>
            <w:tcW w:w="1235" w:type="pct"/>
          </w:tcPr>
          <w:p>
            <w:pPr>
              <w:pStyle w:val="31"/>
              <w:keepNext w:val="0"/>
              <w:keepLines w:val="0"/>
              <w:pageBreakBefore w:val="0"/>
              <w:numPr>
                <w:ilvl w:val="0"/>
                <w:numId w:val="0"/>
              </w:numPr>
              <w:overflowPunct/>
              <w:topLinePunct w:val="0"/>
              <w:bidi w:val="0"/>
              <w:spacing w:before="0" w:after="0" w:line="240" w:lineRule="auto"/>
              <w:rPr>
                <w:rFonts w:hint="eastAsia" w:ascii="宋体" w:hAnsi="宋体" w:eastAsia="宋体" w:cs="宋体"/>
                <w:sz w:val="21"/>
                <w:szCs w:val="21"/>
              </w:rPr>
            </w:pPr>
            <w:r>
              <w:rPr>
                <w:rFonts w:hint="eastAsia" w:asciiTheme="minorEastAsia" w:hAnsiTheme="minorEastAsia" w:eastAsiaTheme="minorEastAsia" w:cstheme="minorEastAsia"/>
                <w:b w:val="0"/>
                <w:bCs w:val="0"/>
                <w:color w:val="10243F" w:themeColor="text2" w:themeShade="80"/>
                <w:sz w:val="21"/>
                <w:szCs w:val="21"/>
                <w:highlight w:val="none"/>
              </w:rPr>
              <w:t>人民币报价</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二</w:t>
            </w:r>
            <w:r>
              <w:rPr>
                <w:rFonts w:hint="eastAsia" w:ascii="宋体" w:hAnsi="宋体" w:cs="宋体"/>
                <w:b/>
                <w:color w:val="000000"/>
                <w:kern w:val="0"/>
                <w:szCs w:val="21"/>
                <w:lang w:eastAsia="zh-CN"/>
              </w:rPr>
              <w:t>）</w:t>
            </w:r>
          </w:p>
        </w:tc>
        <w:tc>
          <w:tcPr>
            <w:tcW w:w="655" w:type="pct"/>
            <w:vAlign w:val="center"/>
          </w:tcPr>
          <w:p>
            <w:pPr>
              <w:pStyle w:val="43"/>
              <w:keepNext w:val="0"/>
              <w:keepLines w:val="0"/>
              <w:pageBreakBefore w:val="0"/>
              <w:widowControl w:val="0"/>
              <w:numPr>
                <w:ilvl w:val="0"/>
                <w:numId w:val="0"/>
              </w:numPr>
              <w:kinsoku/>
              <w:wordWrap/>
              <w:overflowPunct/>
              <w:topLinePunct w:val="0"/>
              <w:autoSpaceDE/>
              <w:autoSpaceDN/>
              <w:bidi w:val="0"/>
              <w:spacing w:line="460" w:lineRule="atLeast"/>
              <w:jc w:val="center"/>
              <w:textAlignment w:val="auto"/>
              <w:rPr>
                <w:b/>
              </w:rPr>
            </w:pPr>
            <w:r>
              <w:rPr>
                <w:rFonts w:hint="eastAsia" w:ascii="宋体" w:hAnsi="宋体" w:cs="宋体"/>
                <w:color w:val="FF0000"/>
                <w:kern w:val="0"/>
                <w:szCs w:val="21"/>
                <w:highlight w:val="yellow"/>
              </w:rPr>
              <w:t>★</w:t>
            </w:r>
            <w:r>
              <w:rPr>
                <w:rFonts w:hint="eastAsia" w:ascii="宋体" w:hAnsi="宋体" w:cs="宋体"/>
                <w:b/>
                <w:szCs w:val="21"/>
                <w:highlight w:val="yellow"/>
                <w:lang w:eastAsia="zh-CN"/>
              </w:rPr>
              <w:t>交货地点</w:t>
            </w:r>
            <w:r>
              <w:rPr>
                <w:rFonts w:hint="eastAsia" w:ascii="宋体" w:hAnsi="宋体" w:cs="宋体"/>
                <w:b/>
                <w:szCs w:val="21"/>
                <w:highlight w:val="yellow"/>
              </w:rPr>
              <w:t>：</w:t>
            </w: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sz w:val="21"/>
                <w:szCs w:val="21"/>
              </w:rPr>
            </w:pPr>
            <w:r>
              <w:rPr>
                <w:rFonts w:hint="eastAsia" w:asciiTheme="minorEastAsia" w:hAnsiTheme="minorEastAsia" w:eastAsiaTheme="minorEastAsia" w:cstheme="minorEastAsia"/>
                <w:b w:val="0"/>
                <w:bCs w:val="0"/>
                <w:color w:val="10243F" w:themeColor="text2" w:themeShade="80"/>
                <w:spacing w:val="10"/>
                <w:sz w:val="21"/>
                <w:szCs w:val="21"/>
                <w:highlight w:val="none"/>
                <w:lang w:val="en-US" w:eastAsia="zh-CN" w:bidi="ar-SA"/>
              </w:rPr>
              <w:t>采购人指定位置（深圳市龙岗区龙城街道黄阁路186号）</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三</w:t>
            </w:r>
            <w:r>
              <w:rPr>
                <w:rFonts w:hint="eastAsia" w:ascii="宋体" w:hAnsi="宋体" w:cs="宋体"/>
                <w:b/>
                <w:color w:val="000000"/>
                <w:kern w:val="0"/>
                <w:szCs w:val="21"/>
                <w:lang w:eastAsia="zh-CN"/>
              </w:rPr>
              <w:t>）</w:t>
            </w:r>
          </w:p>
        </w:tc>
        <w:tc>
          <w:tcPr>
            <w:tcW w:w="655" w:type="pct"/>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center"/>
              <w:textAlignment w:val="auto"/>
              <w:rPr>
                <w:b/>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交货期</w:t>
            </w:r>
          </w:p>
        </w:tc>
        <w:tc>
          <w:tcPr>
            <w:tcW w:w="1235" w:type="pct"/>
            <w:vAlign w:val="center"/>
          </w:tcPr>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sz w:val="21"/>
                <w:szCs w:val="21"/>
              </w:rPr>
            </w:pPr>
            <w:r>
              <w:rPr>
                <w:rFonts w:hint="eastAsia" w:asciiTheme="minorEastAsia" w:hAnsiTheme="minorEastAsia" w:eastAsiaTheme="minorEastAsia" w:cstheme="minorEastAsia"/>
                <w:b w:val="0"/>
                <w:bCs w:val="0"/>
                <w:color w:val="10243F" w:themeColor="text2" w:themeShade="80"/>
                <w:spacing w:val="10"/>
                <w:sz w:val="21"/>
                <w:szCs w:val="21"/>
                <w:highlight w:val="yellow"/>
                <w:lang w:val="en-US" w:eastAsia="zh-CN" w:bidi="ar-SA"/>
              </w:rPr>
              <w:t>合同签订后30个日历日内完成交货。</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四</w:t>
            </w:r>
            <w:r>
              <w:rPr>
                <w:rFonts w:hint="eastAsia" w:ascii="宋体" w:hAnsi="宋体" w:cs="宋体"/>
                <w:b/>
                <w:color w:val="000000"/>
                <w:kern w:val="0"/>
                <w:szCs w:val="21"/>
                <w:lang w:eastAsia="zh-CN"/>
              </w:rPr>
              <w:t>）</w:t>
            </w:r>
          </w:p>
        </w:tc>
        <w:tc>
          <w:tcPr>
            <w:tcW w:w="655" w:type="pct"/>
            <w:vMerge w:val="restart"/>
            <w:vAlign w:val="center"/>
          </w:tcPr>
          <w:p>
            <w:pPr>
              <w:snapToGrid w:val="0"/>
              <w:spacing w:line="460" w:lineRule="exact"/>
              <w:jc w:val="center"/>
              <w:rPr>
                <w:b/>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付款方式</w:t>
            </w:r>
            <w:r>
              <w:rPr>
                <w:rFonts w:hint="eastAsia" w:ascii="宋体" w:hAnsi="宋体" w:cs="宋体"/>
                <w:b/>
                <w:sz w:val="22"/>
                <w:szCs w:val="20"/>
                <w:highlight w:val="yellow"/>
              </w:rPr>
              <w:t>：</w:t>
            </w:r>
          </w:p>
        </w:tc>
        <w:tc>
          <w:tcPr>
            <w:tcW w:w="1235" w:type="pct"/>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yellow"/>
                <w:lang w:eastAsia="zh-CN"/>
              </w:rPr>
            </w:pPr>
            <w:r>
              <w:rPr>
                <w:rFonts w:hint="eastAsia" w:asciiTheme="minorEastAsia" w:hAnsiTheme="minorEastAsia" w:eastAsiaTheme="minorEastAsia" w:cstheme="minorEastAsia"/>
                <w:b w:val="0"/>
                <w:bCs w:val="0"/>
                <w:color w:val="10243F" w:themeColor="text2" w:themeShade="80"/>
                <w:sz w:val="21"/>
                <w:szCs w:val="21"/>
                <w:highlight w:val="yellow"/>
                <w:lang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95</w:t>
            </w:r>
            <w:r>
              <w:rPr>
                <w:rFonts w:hint="eastAsia" w:asciiTheme="minorEastAsia" w:hAnsiTheme="minorEastAsia" w:eastAsiaTheme="minorEastAsia" w:cstheme="minorEastAsia"/>
                <w:b w:val="0"/>
                <w:bCs w:val="0"/>
                <w:color w:val="10243F" w:themeColor="text2" w:themeShade="80"/>
                <w:sz w:val="21"/>
                <w:szCs w:val="21"/>
                <w:highlight w:val="yellow"/>
                <w:lang w:eastAsia="zh-CN"/>
              </w:rPr>
              <w:t>%货款；③设备验收合格、财政资金到位按照相应规定支付中标人剩余货款。当采购人本年度的资金预算不足以支付项目款项时，则需顺延至下年度支付。</w:t>
            </w:r>
          </w:p>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签订合同时</w:t>
            </w:r>
            <w:r>
              <w:rPr>
                <w:rFonts w:hint="eastAsia" w:asciiTheme="minorEastAsia" w:hAnsiTheme="minorEastAsia" w:eastAsiaTheme="minorEastAsia" w:cstheme="minorEastAsia"/>
                <w:b w:val="0"/>
                <w:bCs w:val="0"/>
                <w:color w:val="10243F" w:themeColor="text2" w:themeShade="80"/>
                <w:sz w:val="21"/>
                <w:szCs w:val="21"/>
                <w:highlight w:val="none"/>
                <w:lang w:eastAsia="zh-CN"/>
              </w:rPr>
              <w:t>需提交厂家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出具的</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3年</w:t>
            </w:r>
            <w:r>
              <w:rPr>
                <w:rFonts w:hint="eastAsia" w:asciiTheme="minorEastAsia" w:hAnsiTheme="minorEastAsia" w:eastAsiaTheme="minorEastAsia" w:cstheme="minorEastAsia"/>
                <w:b w:val="0"/>
                <w:bCs w:val="0"/>
                <w:color w:val="10243F" w:themeColor="text2" w:themeShade="80"/>
                <w:sz w:val="21"/>
                <w:szCs w:val="21"/>
                <w:highlight w:val="none"/>
                <w:lang w:eastAsia="zh-CN"/>
              </w:rPr>
              <w:t>质保售后服务</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承诺书</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p>
        </w:tc>
        <w:tc>
          <w:tcPr>
            <w:tcW w:w="1143" w:type="pct"/>
            <w:vAlign w:val="top"/>
          </w:tcPr>
          <w:p>
            <w:pPr>
              <w:numPr>
                <w:ilvl w:val="0"/>
                <w:numId w:val="0"/>
              </w:numPr>
              <w:ind w:left="0" w:leftChars="0" w:firstLine="0" w:firstLineChars="0"/>
              <w:rPr>
                <w:rFonts w:hint="eastAsia" w:ascii="宋体" w:hAnsi="宋体" w:eastAsia="宋体" w:cs="宋体"/>
                <w:sz w:val="24"/>
                <w:szCs w:val="24"/>
                <w:highlight w:val="none"/>
                <w:lang w:val="en-US" w:eastAsia="zh-CN" w:bidi="ar-SA"/>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vAlign w:val="center"/>
          </w:tcPr>
          <w:p>
            <w:pPr>
              <w:snapToGrid w:val="0"/>
              <w:spacing w:line="460" w:lineRule="exact"/>
              <w:jc w:val="center"/>
            </w:pPr>
          </w:p>
        </w:tc>
        <w:tc>
          <w:tcPr>
            <w:tcW w:w="1235" w:type="pct"/>
          </w:tcPr>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）中标人提供的产品不合格，或产品存在瑕疵、缺陷，采购人有权暂停支付中标人项目相应到期应付货款，且不视为采购人违约，直到双方正式处理完不合格产品为止。</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pPr>
              <w:pStyle w:val="31"/>
              <w:keepNext w:val="0"/>
              <w:keepLines w:val="0"/>
              <w:pageBreakBefore w:val="0"/>
              <w:widowControl/>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Cs/>
                <w:color w:val="auto"/>
                <w:sz w:val="21"/>
                <w:szCs w:val="21"/>
                <w:highlight w:val="none"/>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）采购人在规定时间向支付部门提出支付申请，如因财政支付部门审核时间导致无法按期支付的，采购人不承担违约责任。</w:t>
            </w:r>
          </w:p>
        </w:tc>
        <w:tc>
          <w:tcPr>
            <w:tcW w:w="1143" w:type="pct"/>
            <w:vAlign w:val="top"/>
          </w:tcPr>
          <w:p>
            <w:pPr>
              <w:pStyle w:val="24"/>
              <w:ind w:left="0" w:leftChars="0" w:firstLine="0" w:firstLineChars="0"/>
              <w:rPr>
                <w:rFonts w:hint="default" w:ascii="Times New Roman" w:hAnsi="Times New Roman" w:cs="Times New Roman" w:eastAsiaTheme="minorEastAsia"/>
                <w:sz w:val="24"/>
                <w:szCs w:val="24"/>
                <w:lang w:val="en-US" w:eastAsia="zh-CN" w:bidi="ar-SA"/>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五</w:t>
            </w:r>
            <w:r>
              <w:rPr>
                <w:rFonts w:hint="eastAsia" w:ascii="宋体" w:hAnsi="宋体" w:cs="宋体"/>
                <w:b/>
                <w:color w:val="000000"/>
                <w:kern w:val="0"/>
                <w:szCs w:val="21"/>
                <w:lang w:eastAsia="zh-CN"/>
              </w:rPr>
              <w:t>）</w:t>
            </w:r>
          </w:p>
        </w:tc>
        <w:tc>
          <w:tcPr>
            <w:tcW w:w="655" w:type="pct"/>
            <w:vMerge w:val="restart"/>
            <w:vAlign w:val="center"/>
          </w:tcPr>
          <w:p>
            <w:pPr>
              <w:snapToGrid w:val="0"/>
              <w:spacing w:line="460" w:lineRule="exact"/>
              <w:jc w:val="center"/>
              <w:rPr>
                <w:b/>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验收方式</w:t>
            </w:r>
            <w:r>
              <w:rPr>
                <w:rFonts w:hint="eastAsia" w:ascii="宋体" w:hAnsi="宋体" w:cs="宋体"/>
                <w:b/>
                <w:sz w:val="22"/>
                <w:szCs w:val="20"/>
                <w:highlight w:val="yellow"/>
              </w:rPr>
              <w:t>：</w:t>
            </w: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1、货到安装，现场验收。供应商应派有经验的技术人员到现场进行安装、调试，直到设备正常使用。</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color w:val="FF0000"/>
                <w:kern w:val="0"/>
                <w:sz w:val="22"/>
                <w:szCs w:val="20"/>
                <w:highlight w:val="yellow"/>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2、交货后30个日历日内完成安装、调试、交付使用，由采购人使用科室、设备科、中标人等代表在场进行验收。</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在本</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项目</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产品质量和安装调试检验标准遵照国家相关规定和最新标准执行。提供的货物必须为全新、经检验合格的产品，且</w:t>
            </w:r>
            <w:r>
              <w:rPr>
                <w:rFonts w:hint="eastAsia" w:ascii="宋体" w:hAnsi="宋体"/>
                <w:szCs w:val="21"/>
                <w:highlight w:val="none"/>
              </w:rPr>
              <w:t>产品生产日期应为验收日期一年内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当满足以下条件时，采购人才向中标人签发货物验收报告：</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A.设备出厂日期≤1年；</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B.中标人按合同要求如期交货；</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C.中标人已按照合同规定提供了全部产品及完整的技术资料；</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D.货物符合招标文件技术规格书的要求，性能满足要求；</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E.提供货物中文说明书；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F.提供维修手册、与厂家签订的3年质保售后服务协议；</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G.进口设备必须提供正常有效的报关证明（报关单、海关增值税发票）及合法有效的商检合格证明</w:t>
            </w:r>
            <w:r>
              <w:rPr>
                <w:rFonts w:hint="eastAsia" w:asciiTheme="minorEastAsia" w:hAnsiTheme="minorEastAsia" w:cstheme="minorEastAsia"/>
                <w:b w:val="0"/>
                <w:bCs w:val="0"/>
                <w:color w:val="10243F" w:themeColor="text2" w:themeShade="80"/>
                <w:sz w:val="21"/>
                <w:szCs w:val="21"/>
                <w:highlight w:val="none"/>
                <w:lang w:val="en-US" w:eastAsia="zh-CN"/>
              </w:rPr>
              <w:t>。</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31"/>
              <w:keepNext w:val="0"/>
              <w:keepLines w:val="0"/>
              <w:pageBreakBefore w:val="0"/>
              <w:numPr>
                <w:ilvl w:val="0"/>
                <w:numId w:val="0"/>
              </w:numPr>
              <w:overflowPunct/>
              <w:topLinePunct w:val="0"/>
              <w:bidi w:val="0"/>
              <w:spacing w:before="0" w:after="0" w:line="240" w:lineRule="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宋体" w:hAnsi="宋体" w:eastAsia="宋体" w:cs="宋体"/>
                <w:bCs/>
                <w:color w:val="auto"/>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31"/>
              <w:keepNext w:val="0"/>
              <w:keepLines w:val="0"/>
              <w:pageBreakBefore w:val="0"/>
              <w:numPr>
                <w:ilvl w:val="0"/>
                <w:numId w:val="0"/>
              </w:numPr>
              <w:overflowPunct/>
              <w:topLinePunct w:val="0"/>
              <w:bidi w:val="0"/>
              <w:spacing w:before="0" w:after="0" w:line="240" w:lineRule="auto"/>
              <w:rPr>
                <w:rFonts w:hint="eastAsia" w:asciiTheme="minorEastAsia" w:hAnsiTheme="minorEastAsia" w:cstheme="minorEastAsia"/>
                <w:b w:val="0"/>
                <w:bCs w:val="0"/>
                <w:color w:val="10243F" w:themeColor="text2" w:themeShade="80"/>
                <w:sz w:val="21"/>
                <w:szCs w:val="21"/>
                <w:highlight w:val="none"/>
                <w:lang w:val="en-US" w:eastAsia="zh-CN"/>
              </w:rPr>
            </w:pP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31"/>
              <w:keepNext w:val="0"/>
              <w:keepLines w:val="0"/>
              <w:pageBreakBefore w:val="0"/>
              <w:numPr>
                <w:ilvl w:val="0"/>
                <w:numId w:val="0"/>
              </w:numPr>
              <w:overflowPunct/>
              <w:topLinePunct w:val="0"/>
              <w:bidi w:val="0"/>
              <w:spacing w:before="0" w:after="0" w:line="240" w:lineRule="auto"/>
              <w:rPr>
                <w:rFonts w:hint="eastAsia" w:asciiTheme="minorEastAsia" w:hAnsi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7、</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验收时，中标人须按采购人要求提供中标验货验收所需要的其他资料。</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b/>
                <w:color w:val="000000"/>
                <w:kern w:val="0"/>
                <w:szCs w:val="21"/>
                <w:lang w:eastAsia="zh-CN"/>
              </w:rPr>
              <w:t>（六）</w:t>
            </w:r>
          </w:p>
        </w:tc>
        <w:tc>
          <w:tcPr>
            <w:tcW w:w="655" w:type="pc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包装及运输要求</w:t>
            </w:r>
            <w:r>
              <w:rPr>
                <w:rFonts w:hint="eastAsia" w:ascii="宋体" w:hAnsi="宋体" w:cs="宋体"/>
                <w:b/>
                <w:sz w:val="22"/>
                <w:szCs w:val="20"/>
                <w:highlight w:val="yellow"/>
              </w:rPr>
              <w:t>：</w:t>
            </w: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ascii="宋体" w:hAnsi="宋体" w:cs="宋体"/>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七</w:t>
            </w:r>
            <w:r>
              <w:rPr>
                <w:rFonts w:hint="eastAsia" w:ascii="宋体" w:hAnsi="宋体" w:cs="宋体"/>
                <w:b/>
                <w:color w:val="000000"/>
                <w:kern w:val="0"/>
                <w:szCs w:val="21"/>
                <w:lang w:eastAsia="zh-CN"/>
              </w:rPr>
              <w:t>）</w:t>
            </w:r>
          </w:p>
        </w:tc>
        <w:tc>
          <w:tcPr>
            <w:tcW w:w="655" w:type="pct"/>
            <w:vMerge w:val="restart"/>
            <w:vAlign w:val="center"/>
          </w:tcPr>
          <w:p>
            <w:pPr>
              <w:snapToGrid w:val="0"/>
              <w:spacing w:line="460" w:lineRule="exact"/>
              <w:jc w:val="cente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售后服务要求</w:t>
            </w:r>
            <w:r>
              <w:rPr>
                <w:rFonts w:hint="eastAsia" w:ascii="宋体" w:hAnsi="宋体" w:cs="宋体"/>
                <w:b/>
                <w:sz w:val="22"/>
                <w:szCs w:val="20"/>
                <w:highlight w:val="yellow"/>
              </w:rPr>
              <w:t>：</w:t>
            </w: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乙方对所提供的设备(包括零配件)提供</w:t>
            </w:r>
            <w:r>
              <w:rPr>
                <w:rFonts w:hint="eastAsia" w:asciiTheme="minorEastAsia" w:hAnsiTheme="minorEastAsia" w:eastAsiaTheme="minorEastAsia" w:cstheme="minorEastAsia"/>
                <w:b w:val="0"/>
                <w:bCs w:val="0"/>
                <w:color w:val="10243F" w:themeColor="text2" w:themeShade="80"/>
                <w:sz w:val="21"/>
                <w:szCs w:val="21"/>
                <w:highlight w:val="yellow"/>
                <w:lang w:eastAsia="zh-CN"/>
              </w:rPr>
              <w:t>免费保修期</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 xml:space="preserve"> 3 </w:t>
            </w:r>
            <w:r>
              <w:rPr>
                <w:rFonts w:hint="eastAsia" w:asciiTheme="minorEastAsia" w:hAnsiTheme="minorEastAsia" w:eastAsiaTheme="minorEastAsia" w:cstheme="minorEastAsia"/>
                <w:b w:val="0"/>
                <w:bCs w:val="0"/>
                <w:color w:val="10243F" w:themeColor="text2" w:themeShade="80"/>
                <w:sz w:val="21"/>
                <w:szCs w:val="21"/>
                <w:highlight w:val="yellow"/>
                <w:lang w:eastAsia="zh-CN"/>
              </w:rPr>
              <w:t>年</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。(免费保修期时间自最终验收合格并交付使用之日起计算)，在免费保修期，</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需</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提供原装的零配件及其维修，终身负责维修，储备足够的零配件备库并保证十年以上维修配件；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一</w:t>
            </w:r>
            <w:r>
              <w:rPr>
                <w:rFonts w:hint="eastAsia" w:asciiTheme="minorEastAsia" w:hAnsiTheme="minorEastAsia" w:eastAsiaTheme="minorEastAsia" w:cstheme="minorEastAsia"/>
                <w:b w:val="0"/>
                <w:bCs w:val="0"/>
                <w:color w:val="10243F" w:themeColor="text2" w:themeShade="80"/>
                <w:sz w:val="21"/>
                <w:szCs w:val="21"/>
                <w:highlight w:val="none"/>
                <w:lang w:eastAsia="zh-CN"/>
              </w:rPr>
              <w:t>年需对设备进行维护四次（每季度一次），不额外收费。免费保修期内出现的质量问题,由乙方负责,乙方负责包修、包换或者包退,并承担修理、调换或退货的实际费用。免费保修期外，乙方负责提供原装配件并免费维修更换，不额外收费，甲方只需支付更换的零配件费用。乙方负责该套设备软件的免费安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软件终身</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免费升级维护、备份。</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免费保修期内，乙方应对产品因质量出现的问题修复，在</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内响应，</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24小时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内到达现场维修，</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48小时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内消除故障(不可抗力情况除外)，消耗品/零配件供应及时；若在48小时内不能及时排除故障的，乙方应在</w:t>
            </w:r>
            <w:r>
              <w:rPr>
                <w:rFonts w:hint="eastAsia" w:asciiTheme="minorEastAsia" w:hAnsiTheme="minorEastAsia" w:eastAsiaTheme="minorEastAsia" w:cstheme="minorEastAsia"/>
                <w:b w:val="0"/>
                <w:bCs w:val="0"/>
                <w:color w:val="10243F" w:themeColor="text2" w:themeShade="80"/>
                <w:sz w:val="21"/>
                <w:szCs w:val="21"/>
                <w:highlight w:val="yellow"/>
                <w:lang w:eastAsia="zh-CN"/>
              </w:rPr>
              <w:t>10个日历日内向甲方提供不低故障设备规格型号档次的备用设备使用</w:t>
            </w:r>
            <w:r>
              <w:rPr>
                <w:rFonts w:hint="eastAsia" w:asciiTheme="minorEastAsia" w:hAnsiTheme="minorEastAsia" w:eastAsiaTheme="minorEastAsia" w:cstheme="minorEastAsia"/>
                <w:b w:val="0"/>
                <w:bCs w:val="0"/>
                <w:color w:val="10243F" w:themeColor="text2" w:themeShade="80"/>
                <w:sz w:val="21"/>
                <w:szCs w:val="21"/>
                <w:highlight w:val="none"/>
                <w:lang w:eastAsia="zh-CN"/>
              </w:rPr>
              <w:t>，直至故障修复为止。由此产生的包括但不限于运输费、安装费、搬运费、替换产品的损耗费、零部件费、调试费等全部费用由乙方承担。</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甲方的直接经济损失和间接经济损失，以上费用均已包含在洽谈报价中。【注：年开机率=（365-停机天数）/365】</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提供工程师电话和技术维修力量情况和维修的详细地址及联系方式。</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负责安装、调试、提供技术咨询、软件升级及人员培训，以保证采购人工作人员掌握设备各种使用操作，不额外收费。</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如场地迁移，需要移机时，乙方需提供设备拆装服务（包括但不限于本次招标的设备）并提供技术支持，且确保机器的正常使用，不额外收费。</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restar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八</w:t>
            </w:r>
            <w:r>
              <w:rPr>
                <w:rFonts w:hint="eastAsia" w:ascii="宋体" w:hAnsi="宋体" w:cs="宋体"/>
                <w:b/>
                <w:szCs w:val="21"/>
                <w:highlight w:val="none"/>
                <w:lang w:eastAsia="zh-CN"/>
              </w:rPr>
              <w:t>）</w:t>
            </w:r>
          </w:p>
        </w:tc>
        <w:tc>
          <w:tcPr>
            <w:tcW w:w="655" w:type="pct"/>
            <w:vMerge w:val="restart"/>
            <w:vAlign w:val="center"/>
          </w:tcPr>
          <w:p>
            <w:pPr>
              <w:snapToGrid w:val="0"/>
              <w:spacing w:line="460" w:lineRule="exact"/>
              <w:jc w:val="center"/>
              <w:rPr>
                <w:rFonts w:hint="eastAsia" w:ascii="宋体" w:hAnsi="宋体" w:cs="宋体"/>
                <w:b/>
                <w:szCs w:val="21"/>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val="en-US" w:eastAsia="zh-CN"/>
              </w:rPr>
              <w:t>违约责任</w:t>
            </w:r>
            <w:r>
              <w:rPr>
                <w:rFonts w:hint="eastAsia" w:ascii="宋体" w:hAnsi="宋体" w:cs="宋体"/>
                <w:b/>
                <w:sz w:val="22"/>
                <w:szCs w:val="20"/>
                <w:highlight w:val="yellow"/>
              </w:rPr>
              <w:t>：</w:t>
            </w: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所交的设备品种、规格、型号、质量等任何一项不符合同规定标准的，采购人有权拒绝收货，中标人向采购人支付本合同总金额百分之二十的违约金，并需在采购人指定期限内重新提供，否则采购人有权解除合同。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中标人若逾期30日以上不能交付设备，采购人有权选择解除合同并且中标人应向采购人支付本合同总金额百分之二十的违约金。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中标人逾期交付设备或安装调试，中标人向采购人每日支付本合同总金额万分之五的违约金。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如中标人未按照本合同的约定提供售后服务，中标人向采购人支付本合同总金额百分之二十的违约金，给采购人造成损失的，中标人应承担全部赔偿责任。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中标人所供设备因质量、缺陷、技术标准等问题，给采购人或实际使用人造成损害的，中标人接到采购人通知后立即到现场配合采购人处理事故，一切赔偿责任及法律责任由中标人承担。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中标人如交付假冒伪劣、以旧充新、以不合格冒充合格产品，一经发现，采购人有权选择解除合同并且中标人应向采购人支付本合同总金额百分之二十的违约金，给采购人造成损失的，中标人应承担全部赔偿责任。</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Align w:val="center"/>
          </w:tcPr>
          <w:p>
            <w:pPr>
              <w:snapToGrid w:val="0"/>
              <w:spacing w:line="460" w:lineRule="exact"/>
              <w:jc w:val="center"/>
              <w:rPr>
                <w:rFonts w:hint="eastAsia" w:ascii="宋体" w:hAnsi="宋体" w:cs="宋体"/>
                <w:b/>
                <w:color w:val="000000"/>
                <w:kern w:val="0"/>
                <w:szCs w:val="21"/>
                <w:lang w:eastAsia="zh-CN"/>
              </w:rPr>
            </w:pPr>
          </w:p>
        </w:tc>
        <w:tc>
          <w:tcPr>
            <w:tcW w:w="655" w:type="pct"/>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8、如果采购人对中标人提供的产品有质量异议的，可以视具体情况暂时中止支付争议款项或其他相关款项，直到争议解除，采购人不因此承担延期付款的违约责任。</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Align w:val="center"/>
          </w:tcPr>
          <w:p>
            <w:pPr>
              <w:snapToGrid w:val="0"/>
              <w:spacing w:line="460" w:lineRule="exact"/>
              <w:jc w:val="center"/>
              <w:rPr>
                <w:rFonts w:hint="eastAsia" w:ascii="宋体" w:hAnsi="宋体" w:cs="宋体"/>
                <w:b/>
                <w:color w:val="000000"/>
                <w:kern w:val="0"/>
                <w:szCs w:val="21"/>
                <w:lang w:eastAsia="zh-CN"/>
              </w:rPr>
            </w:pPr>
          </w:p>
        </w:tc>
        <w:tc>
          <w:tcPr>
            <w:tcW w:w="655" w:type="pct"/>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9、</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中标人提供的产品不合格，或产品存在瑕疵、缺陷，采购人有权暂停支付中标人项下相应到期应付货款，且不视为采购人违约，直到双方正式处理完不合格产品为止。</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九</w:t>
            </w:r>
            <w:r>
              <w:rPr>
                <w:rFonts w:hint="eastAsia" w:ascii="宋体" w:hAnsi="宋体" w:cs="宋体"/>
                <w:b/>
                <w:szCs w:val="21"/>
                <w:highlight w:val="none"/>
                <w:lang w:eastAsia="zh-CN"/>
              </w:rPr>
              <w:t>）</w:t>
            </w:r>
          </w:p>
        </w:tc>
        <w:tc>
          <w:tcPr>
            <w:tcW w:w="655" w:type="pct"/>
            <w:vMerge w:val="restart"/>
            <w:vAlign w:val="center"/>
          </w:tcPr>
          <w:p>
            <w:pPr>
              <w:pStyle w:val="43"/>
              <w:keepNext w:val="0"/>
              <w:keepLines w:val="0"/>
              <w:pageBreakBefore w:val="0"/>
              <w:widowControl w:val="0"/>
              <w:numPr>
                <w:ilvl w:val="0"/>
                <w:numId w:val="0"/>
              </w:numPr>
              <w:kinsoku/>
              <w:wordWrap/>
              <w:overflowPunct/>
              <w:topLinePunct w:val="0"/>
              <w:autoSpaceDE/>
              <w:autoSpaceDN/>
              <w:bidi w:val="0"/>
              <w:spacing w:line="460" w:lineRule="atLeast"/>
              <w:jc w:val="center"/>
              <w:textAlignment w:val="auto"/>
              <w:rPr>
                <w:rFonts w:hint="eastAsia" w:ascii="宋体" w:hAnsi="宋体" w:cs="宋体"/>
                <w:b/>
                <w:szCs w:val="21"/>
              </w:rPr>
            </w:pPr>
            <w:r>
              <w:rPr>
                <w:rFonts w:hint="eastAsia" w:ascii="宋体" w:hAnsi="宋体" w:cs="宋体"/>
                <w:color w:val="FF0000"/>
                <w:kern w:val="0"/>
                <w:szCs w:val="21"/>
                <w:highlight w:val="yellow"/>
              </w:rPr>
              <w:t>★</w:t>
            </w:r>
            <w:r>
              <w:rPr>
                <w:rFonts w:hint="eastAsia" w:ascii="宋体" w:hAnsi="宋体" w:cs="宋体"/>
                <w:b/>
                <w:szCs w:val="21"/>
                <w:highlight w:val="yellow"/>
                <w:lang w:eastAsia="zh-CN"/>
              </w:rPr>
              <w:t>其他要求</w:t>
            </w:r>
            <w:r>
              <w:rPr>
                <w:rFonts w:hint="eastAsia" w:ascii="宋体" w:hAnsi="宋体" w:cs="宋体"/>
                <w:b/>
                <w:szCs w:val="21"/>
                <w:highlight w:val="yellow"/>
              </w:rPr>
              <w:t>：</w:t>
            </w: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本项目中如有涉及水、电、气设备安装及调试、室外高空作业等项目的中标人应使用具有国家认可资质的操作人员（资质证书仍在有效期内）实施，否则由此造成的后果由中标人负责。</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本项目所要求的硬件、软件，中标人要配备给采购人，并保证采购人能正常使用，不需要另外增加其他附件和其他费用。</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软件应用的设备，中标人和厂家应配合采购人智慧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投标机型的硬件及软件配置均须是注册证或官方白皮书所描述的，且在不同的应用领域（临床、科研）新技术改进、更新的产品。</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31"/>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设备使用期间，发生产品召回事件，中标人提供替代或赔偿方案。</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bl>
    <w:p>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《商务要求偏离表》编制指引：</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1、商务要求偏离表的序号、招标商务要求等栏目对应“用户需求书”中的“商务要求”章节相关内容。</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2、“投标商务响应”一栏必须一一对照“招标商务要求”，</w:t>
      </w:r>
      <w:r>
        <w:rPr>
          <w:rFonts w:hint="eastAsia" w:asciiTheme="minorEastAsia" w:hAnsiTheme="minorEastAsia" w:eastAsiaTheme="minorEastAsia" w:cstheme="minorEastAsia"/>
          <w:b/>
          <w:color w:val="0070C0"/>
          <w:sz w:val="21"/>
          <w:szCs w:val="21"/>
        </w:rPr>
        <w:t>详细填写自身响应情况，而不能不合理照搬照抄招标文件的商务要求，</w:t>
      </w:r>
      <w:r>
        <w:rPr>
          <w:rFonts w:hint="eastAsia" w:asciiTheme="minorEastAsia" w:hAnsiTheme="minorEastAsia" w:eastAsiaTheme="minorEastAsia" w:cstheme="minorEastAsia"/>
          <w:b/>
          <w:color w:val="FF0000"/>
          <w:sz w:val="21"/>
          <w:szCs w:val="21"/>
        </w:rPr>
        <w:t>以体现具体响应情况。</w:t>
      </w:r>
    </w:p>
    <w:p>
      <w:pPr>
        <w:ind w:firstLine="422"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b/>
          <w:color w:val="FF0000"/>
          <w:sz w:val="21"/>
          <w:szCs w:val="21"/>
        </w:rPr>
        <w:t>3、“偏离情况”一栏填写如实填写“正偏离”、“负偏离”或“无偏离”，其中：“正偏离”表示“投标响应优于招标商务要求”，“负偏离”表示“投标响应不满足招标商务要求”，“无偏离”表示“投标响应与招标商务要求一致”。</w:t>
      </w:r>
    </w:p>
    <w:p>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“投标商务响应”对比“招标商务要求”存在响应不全（包括未响应整项招标商务要求或者未响应一项招标商务要求的部分内容），均视为“负偏离”。</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带★号条款为不可偏离条款，如未响应或出现负偏离的，将作投标无效处理。</w:t>
      </w:r>
      <w:bookmarkEnd w:id="47"/>
      <w:bookmarkStart w:id="48" w:name="_Toc5476"/>
    </w:p>
    <w:p>
      <w:pPr>
        <w:ind w:firstLine="422" w:firstLineChars="200"/>
        <w:rPr>
          <w:rFonts w:hint="eastAsia" w:asciiTheme="minorEastAsia" w:hAnsiTheme="minorEastAsia" w:eastAsiaTheme="minorEastAsia" w:cstheme="minorEastAsia"/>
          <w:b/>
          <w:color w:val="FF0000"/>
          <w:sz w:val="21"/>
          <w:szCs w:val="21"/>
          <w:lang w:val="en-US" w:eastAsia="zh-CN"/>
        </w:rPr>
      </w:pPr>
    </w:p>
    <w:p>
      <w:pPr>
        <w:keepNext/>
        <w:keepLines/>
        <w:widowControl w:val="0"/>
        <w:spacing w:line="360" w:lineRule="auto"/>
        <w:jc w:val="both"/>
        <w:outlineLvl w:val="3"/>
        <w:rPr>
          <w:rFonts w:hint="default" w:asciiTheme="minorEastAsia" w:hAnsiTheme="minorEastAsia" w:eastAsiaTheme="minorEastAsia" w:cstheme="minorEastAsia"/>
          <w:b/>
          <w:bCs/>
          <w:kern w:val="2"/>
          <w:sz w:val="21"/>
          <w:szCs w:val="21"/>
          <w:lang w:val="en-US" w:eastAsia="zh-CN"/>
        </w:rPr>
      </w:pPr>
      <w:r>
        <w:rPr>
          <w:rFonts w:hint="eastAsia" w:asciiTheme="minorEastAsia" w:hAnsiTheme="minorEastAsia" w:cstheme="minorEastAsia"/>
          <w:b/>
          <w:bCs/>
          <w:kern w:val="2"/>
          <w:sz w:val="21"/>
          <w:szCs w:val="21"/>
          <w:lang w:val="en-US" w:eastAsia="zh-CN"/>
        </w:rPr>
        <w:t>证明材料：</w:t>
      </w:r>
    </w:p>
    <w:p>
      <w:pPr>
        <w:keepNext/>
        <w:keepLines/>
        <w:widowControl w:val="0"/>
        <w:spacing w:line="360" w:lineRule="auto"/>
        <w:jc w:val="both"/>
        <w:outlineLvl w:val="3"/>
        <w:rPr>
          <w:rFonts w:hint="eastAsia" w:asciiTheme="minorEastAsia" w:hAnsiTheme="minorEastAsia" w:eastAsiaTheme="minorEastAsia" w:cstheme="minorEastAsia"/>
          <w:b/>
          <w:bCs/>
          <w:kern w:val="2"/>
          <w:sz w:val="21"/>
          <w:szCs w:val="21"/>
          <w:lang w:val="en-US" w:eastAsia="zh-CN"/>
        </w:rPr>
      </w:pPr>
    </w:p>
    <w:p>
      <w:pPr>
        <w:keepNext/>
        <w:keepLines/>
        <w:widowControl w:val="0"/>
        <w:spacing w:line="360" w:lineRule="auto"/>
        <w:jc w:val="both"/>
        <w:outlineLvl w:val="3"/>
        <w:rPr>
          <w:rFonts w:hint="eastAsia" w:asciiTheme="minorEastAsia" w:hAnsiTheme="minorEastAsia" w:eastAsiaTheme="minorEastAsia" w:cstheme="minorEastAsia"/>
          <w:b/>
          <w:bCs/>
          <w:kern w:val="2"/>
          <w:sz w:val="21"/>
          <w:szCs w:val="21"/>
          <w:lang w:val="en-US" w:eastAsia="zh-CN"/>
        </w:rPr>
      </w:pPr>
    </w:p>
    <w:p>
      <w:pPr>
        <w:keepNext/>
        <w:keepLines/>
        <w:widowControl w:val="0"/>
        <w:spacing w:line="360" w:lineRule="auto"/>
        <w:jc w:val="both"/>
        <w:outlineLvl w:val="3"/>
        <w:rPr>
          <w:rFonts w:hint="eastAsia" w:asciiTheme="minorEastAsia" w:hAnsiTheme="minorEastAsia" w:cstheme="minorEastAsia"/>
          <w:b/>
          <w:bCs/>
          <w:kern w:val="2"/>
          <w:sz w:val="21"/>
          <w:szCs w:val="21"/>
          <w:lang w:val="en-US" w:eastAsia="zh-CN"/>
        </w:rPr>
        <w:sectPr>
          <w:headerReference r:id="rId3" w:type="default"/>
          <w:pgSz w:w="11906" w:h="16838"/>
          <w:pgMar w:top="1440" w:right="1800" w:bottom="1440" w:left="1800" w:header="720" w:footer="720" w:gutter="0"/>
          <w:cols w:space="720" w:num="1"/>
        </w:sectPr>
      </w:pPr>
    </w:p>
    <w:p>
      <w:pPr>
        <w:keepNext/>
        <w:keepLines/>
        <w:widowControl w:val="0"/>
        <w:spacing w:line="360" w:lineRule="auto"/>
        <w:jc w:val="both"/>
        <w:outlineLvl w:val="3"/>
        <w:rPr>
          <w:rFonts w:hint="eastAsia" w:asciiTheme="minorEastAsia" w:hAnsiTheme="minorEastAsia" w:cstheme="minorEastAsia"/>
          <w:b/>
          <w:bCs/>
          <w:kern w:val="2"/>
          <w:sz w:val="24"/>
          <w:szCs w:val="24"/>
          <w:lang w:val="en-US" w:eastAsia="zh-CN"/>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bookmarkEnd w:id="48"/>
      <w:r>
        <w:rPr>
          <w:rFonts w:hint="eastAsia" w:asciiTheme="minorEastAsia" w:hAnsiTheme="minorEastAsia" w:cstheme="minorEastAsia"/>
          <w:b/>
          <w:bCs/>
          <w:kern w:val="2"/>
          <w:sz w:val="24"/>
          <w:szCs w:val="24"/>
          <w:lang w:val="en-US" w:eastAsia="zh-CN"/>
        </w:rPr>
        <w:t>其他响应评分的内容及佐证材料（如业绩等）</w:t>
      </w:r>
    </w:p>
    <w:p>
      <w:pPr>
        <w:pStyle w:val="24"/>
        <w:ind w:left="0" w:leftChars="0" w:firstLine="0" w:firstLineChars="0"/>
        <w:rPr>
          <w:rFonts w:hint="eastAsia" w:asciiTheme="minorEastAsia" w:hAnsiTheme="minorEastAsia" w:cstheme="minorEastAsia"/>
          <w:b/>
          <w:bCs/>
          <w:kern w:val="2"/>
          <w:sz w:val="24"/>
          <w:szCs w:val="24"/>
          <w:lang w:val="en-US" w:eastAsia="zh-CN"/>
        </w:rPr>
      </w:pPr>
    </w:p>
    <w:p>
      <w:pPr>
        <w:pStyle w:val="24"/>
        <w:ind w:left="0" w:leftChars="0" w:firstLine="0" w:firstLineChars="0"/>
        <w:rPr>
          <w:rFonts w:hint="eastAsia" w:asciiTheme="minorEastAsia" w:hAnsiTheme="minorEastAsia" w:cstheme="minorEastAsia"/>
          <w:b/>
          <w:bCs/>
          <w:kern w:val="2"/>
          <w:sz w:val="24"/>
          <w:szCs w:val="24"/>
          <w:lang w:val="en-US" w:eastAsia="zh-CN"/>
        </w:rPr>
      </w:pPr>
    </w:p>
    <w:p>
      <w:pPr>
        <w:pStyle w:val="24"/>
        <w:ind w:left="0" w:leftChars="0" w:firstLine="0" w:firstLineChars="0"/>
        <w:rPr>
          <w:rFonts w:hint="eastAsia" w:asciiTheme="minorEastAsia" w:hAnsiTheme="minorEastAsia" w:cstheme="minorEastAsia"/>
          <w:b/>
          <w:bCs/>
          <w:kern w:val="2"/>
          <w:sz w:val="24"/>
          <w:szCs w:val="2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right="0" w:rightChars="0"/>
        <w:jc w:val="both"/>
        <w:textAlignment w:val="auto"/>
        <w:rPr>
          <w:rFonts w:hint="default"/>
          <w:sz w:val="24"/>
          <w:szCs w:val="24"/>
          <w:lang w:val="en-US" w:eastAsia="zh-CN"/>
        </w:rPr>
      </w:pPr>
      <w:r>
        <w:rPr>
          <w:rFonts w:hint="eastAsia" w:asciiTheme="minorEastAsia" w:hAnsiTheme="minorEastAsia" w:cstheme="minorEastAsia"/>
          <w:b/>
          <w:bCs/>
          <w:kern w:val="2"/>
          <w:sz w:val="24"/>
          <w:szCs w:val="24"/>
          <w:lang w:val="en-US" w:eastAsia="zh-CN" w:bidi="ar-SA"/>
        </w:rPr>
        <w:t>十一、</w:t>
      </w:r>
      <w:r>
        <w:rPr>
          <w:rFonts w:hint="eastAsia" w:asciiTheme="minorEastAsia" w:hAnsiTheme="minorEastAsia" w:eastAsiaTheme="minorEastAsia" w:cstheme="minorEastAsia"/>
          <w:b/>
          <w:bCs/>
          <w:kern w:val="2"/>
          <w:sz w:val="24"/>
          <w:szCs w:val="24"/>
          <w:lang w:val="en-US" w:eastAsia="zh-CN" w:bidi="ar-SA"/>
        </w:rPr>
        <w:t>产品的保障措施</w:t>
      </w:r>
    </w:p>
    <w:p>
      <w:pPr>
        <w:pStyle w:val="24"/>
        <w:numPr>
          <w:ilvl w:val="0"/>
          <w:numId w:val="0"/>
        </w:numPr>
        <w:rPr>
          <w:rFonts w:hint="eastAsia"/>
          <w:sz w:val="24"/>
          <w:szCs w:val="24"/>
          <w:lang w:val="en-US" w:eastAsia="zh-CN"/>
        </w:rPr>
      </w:pPr>
    </w:p>
    <w:p>
      <w:pPr>
        <w:keepNext/>
        <w:keepLines/>
        <w:widowControl w:val="0"/>
        <w:spacing w:line="360" w:lineRule="auto"/>
        <w:jc w:val="both"/>
        <w:outlineLvl w:val="3"/>
        <w:rPr>
          <w:rFonts w:hint="eastAsia" w:asciiTheme="minorEastAsia" w:hAnsiTheme="minorEastAsia" w:cstheme="minorEastAsia"/>
          <w:b/>
          <w:bCs/>
          <w:kern w:val="2"/>
          <w:sz w:val="21"/>
          <w:szCs w:val="21"/>
          <w:lang w:val="en-US" w:eastAsia="zh-CN"/>
        </w:rPr>
      </w:pPr>
    </w:p>
    <w:p>
      <w:pPr>
        <w:pStyle w:val="18"/>
        <w:spacing w:line="420" w:lineRule="exact"/>
        <w:rPr>
          <w:rFonts w:hint="eastAsia" w:asciiTheme="minorEastAsia" w:hAnsiTheme="minorEastAsia" w:eastAsiaTheme="minorEastAsia" w:cstheme="minorEastAsia"/>
          <w:sz w:val="21"/>
          <w:szCs w:val="21"/>
        </w:rPr>
      </w:pPr>
    </w:p>
    <w:p>
      <w:pPr>
        <w:pStyle w:val="14"/>
        <w:spacing w:line="420" w:lineRule="exact"/>
        <w:ind w:left="0" w:firstLine="0"/>
        <w:rPr>
          <w:rFonts w:hint="eastAsia" w:asciiTheme="minorEastAsia" w:hAnsiTheme="minorEastAsia" w:eastAsiaTheme="minorEastAsia" w:cstheme="minorEastAsia"/>
          <w:b/>
          <w:kern w:val="2"/>
          <w:sz w:val="21"/>
          <w:szCs w:val="21"/>
        </w:rPr>
      </w:pPr>
    </w:p>
    <w:bookmarkEnd w:id="45"/>
    <w:bookmarkEnd w:id="46"/>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pStyle w:val="31"/>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rPr>
          <w:rFonts w:hint="eastAsia" w:asciiTheme="minorEastAsia" w:hAnsiTheme="minorEastAsia" w:eastAsiaTheme="minorEastAsia" w:cstheme="minorEastAsia"/>
          <w:bCs/>
          <w:sz w:val="21"/>
          <w:szCs w:val="21"/>
        </w:rPr>
      </w:pPr>
    </w:p>
    <w:sect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126E1"/>
    <w:multiLevelType w:val="singleLevel"/>
    <w:tmpl w:val="C1D126E1"/>
    <w:lvl w:ilvl="0" w:tentative="0">
      <w:start w:val="2"/>
      <w:numFmt w:val="chineseCounting"/>
      <w:suff w:val="nothing"/>
      <w:lvlText w:val="%1、"/>
      <w:lvlJc w:val="left"/>
      <w:rPr>
        <w:rFonts w:hint="eastAsia"/>
      </w:rPr>
    </w:lvl>
  </w:abstractNum>
  <w:abstractNum w:abstractNumId="1">
    <w:nsid w:val="08B39CBD"/>
    <w:multiLevelType w:val="singleLevel"/>
    <w:tmpl w:val="08B39CBD"/>
    <w:lvl w:ilvl="0" w:tentative="0">
      <w:start w:val="1"/>
      <w:numFmt w:val="decimal"/>
      <w:suff w:val="nothing"/>
      <w:lvlText w:val="%1、"/>
      <w:lvlJc w:val="left"/>
    </w:lvl>
  </w:abstractNum>
  <w:abstractNum w:abstractNumId="2">
    <w:nsid w:val="2E30D166"/>
    <w:multiLevelType w:val="singleLevel"/>
    <w:tmpl w:val="2E30D166"/>
    <w:lvl w:ilvl="0" w:tentative="0">
      <w:start w:val="3"/>
      <w:numFmt w:val="decimal"/>
      <w:lvlText w:val="%1."/>
      <w:lvlJc w:val="left"/>
      <w:pPr>
        <w:tabs>
          <w:tab w:val="left" w:pos="312"/>
        </w:tabs>
      </w:pPr>
    </w:lvl>
  </w:abstractNum>
  <w:abstractNum w:abstractNumId="3">
    <w:nsid w:val="355E9718"/>
    <w:multiLevelType w:val="singleLevel"/>
    <w:tmpl w:val="355E971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A5739"/>
    <w:rsid w:val="001B0AA5"/>
    <w:rsid w:val="001B64D0"/>
    <w:rsid w:val="001C523E"/>
    <w:rsid w:val="001C5E54"/>
    <w:rsid w:val="001D66BE"/>
    <w:rsid w:val="001D7B18"/>
    <w:rsid w:val="00200D84"/>
    <w:rsid w:val="0020733E"/>
    <w:rsid w:val="002079BC"/>
    <w:rsid w:val="00210947"/>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646FB"/>
    <w:rsid w:val="007712D1"/>
    <w:rsid w:val="00772B68"/>
    <w:rsid w:val="00782EEF"/>
    <w:rsid w:val="00784158"/>
    <w:rsid w:val="00786850"/>
    <w:rsid w:val="00787C73"/>
    <w:rsid w:val="007909CA"/>
    <w:rsid w:val="00793554"/>
    <w:rsid w:val="00795A72"/>
    <w:rsid w:val="0079670A"/>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76388"/>
    <w:rsid w:val="00992494"/>
    <w:rsid w:val="009A30F1"/>
    <w:rsid w:val="009A67A7"/>
    <w:rsid w:val="009B3F84"/>
    <w:rsid w:val="009D2005"/>
    <w:rsid w:val="009F0303"/>
    <w:rsid w:val="009F5F48"/>
    <w:rsid w:val="00A03AEE"/>
    <w:rsid w:val="00A0467D"/>
    <w:rsid w:val="00A10D22"/>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B02B42"/>
    <w:rsid w:val="00B07DA7"/>
    <w:rsid w:val="00B110CA"/>
    <w:rsid w:val="00B23D8D"/>
    <w:rsid w:val="00B31987"/>
    <w:rsid w:val="00B3481D"/>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E4A"/>
    <w:rsid w:val="00EC09BA"/>
    <w:rsid w:val="00EC23FE"/>
    <w:rsid w:val="00EC56F0"/>
    <w:rsid w:val="00EC7CB9"/>
    <w:rsid w:val="00EE02F7"/>
    <w:rsid w:val="00EE0B0C"/>
    <w:rsid w:val="00EE3AD7"/>
    <w:rsid w:val="00EE669A"/>
    <w:rsid w:val="00EE7BE5"/>
    <w:rsid w:val="00F065D5"/>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034EC1"/>
    <w:rsid w:val="01137ECF"/>
    <w:rsid w:val="013C5B0D"/>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C7E4D"/>
    <w:rsid w:val="01FD4788"/>
    <w:rsid w:val="02246E13"/>
    <w:rsid w:val="02273395"/>
    <w:rsid w:val="022B7710"/>
    <w:rsid w:val="023B31B5"/>
    <w:rsid w:val="025509AB"/>
    <w:rsid w:val="026268F8"/>
    <w:rsid w:val="02680801"/>
    <w:rsid w:val="0273635F"/>
    <w:rsid w:val="029403CC"/>
    <w:rsid w:val="029F7205"/>
    <w:rsid w:val="02B212F1"/>
    <w:rsid w:val="02B475FB"/>
    <w:rsid w:val="02B93A83"/>
    <w:rsid w:val="02BD5D0D"/>
    <w:rsid w:val="02BE1E79"/>
    <w:rsid w:val="02E3014B"/>
    <w:rsid w:val="02E57645"/>
    <w:rsid w:val="02EE4C27"/>
    <w:rsid w:val="02FC0103"/>
    <w:rsid w:val="02FD60F2"/>
    <w:rsid w:val="030A5E0C"/>
    <w:rsid w:val="030C130F"/>
    <w:rsid w:val="03123218"/>
    <w:rsid w:val="03190625"/>
    <w:rsid w:val="032875BA"/>
    <w:rsid w:val="032A1207"/>
    <w:rsid w:val="035B4911"/>
    <w:rsid w:val="035E7A94"/>
    <w:rsid w:val="035F375B"/>
    <w:rsid w:val="03610A19"/>
    <w:rsid w:val="03660724"/>
    <w:rsid w:val="0378371F"/>
    <w:rsid w:val="038257E6"/>
    <w:rsid w:val="03911568"/>
    <w:rsid w:val="039649B8"/>
    <w:rsid w:val="039659F0"/>
    <w:rsid w:val="03A055CA"/>
    <w:rsid w:val="03A638A0"/>
    <w:rsid w:val="03D21FD2"/>
    <w:rsid w:val="03D32EE8"/>
    <w:rsid w:val="03E5328D"/>
    <w:rsid w:val="04036024"/>
    <w:rsid w:val="041C6F4E"/>
    <w:rsid w:val="04351B1E"/>
    <w:rsid w:val="043A06FC"/>
    <w:rsid w:val="045D0C58"/>
    <w:rsid w:val="04943480"/>
    <w:rsid w:val="04B638C9"/>
    <w:rsid w:val="04C75D62"/>
    <w:rsid w:val="04EF6F26"/>
    <w:rsid w:val="05120F59"/>
    <w:rsid w:val="05195B6C"/>
    <w:rsid w:val="056B42F1"/>
    <w:rsid w:val="057C1322"/>
    <w:rsid w:val="058A7125"/>
    <w:rsid w:val="05952F37"/>
    <w:rsid w:val="059C28C2"/>
    <w:rsid w:val="05A11AF2"/>
    <w:rsid w:val="05A247CB"/>
    <w:rsid w:val="05CB3411"/>
    <w:rsid w:val="05D25A0A"/>
    <w:rsid w:val="05E3301A"/>
    <w:rsid w:val="05F1023E"/>
    <w:rsid w:val="060F7F31"/>
    <w:rsid w:val="06187C8D"/>
    <w:rsid w:val="0620091D"/>
    <w:rsid w:val="06212B1B"/>
    <w:rsid w:val="06473D8B"/>
    <w:rsid w:val="065751F3"/>
    <w:rsid w:val="06626E08"/>
    <w:rsid w:val="066C6927"/>
    <w:rsid w:val="0685283F"/>
    <w:rsid w:val="068A3342"/>
    <w:rsid w:val="068F312F"/>
    <w:rsid w:val="06963DDF"/>
    <w:rsid w:val="06BC4A49"/>
    <w:rsid w:val="06CC02D8"/>
    <w:rsid w:val="06E02487"/>
    <w:rsid w:val="06E155DE"/>
    <w:rsid w:val="06EA7FE5"/>
    <w:rsid w:val="06F430C9"/>
    <w:rsid w:val="06F5180B"/>
    <w:rsid w:val="06F950DC"/>
    <w:rsid w:val="06FC3783"/>
    <w:rsid w:val="07017C0B"/>
    <w:rsid w:val="072E5257"/>
    <w:rsid w:val="07682F5C"/>
    <w:rsid w:val="076D0BCD"/>
    <w:rsid w:val="07802062"/>
    <w:rsid w:val="078B414B"/>
    <w:rsid w:val="078C55F0"/>
    <w:rsid w:val="07B05960"/>
    <w:rsid w:val="07B509B3"/>
    <w:rsid w:val="07BD176D"/>
    <w:rsid w:val="07BF421F"/>
    <w:rsid w:val="07C07B32"/>
    <w:rsid w:val="07DB289C"/>
    <w:rsid w:val="07DC0503"/>
    <w:rsid w:val="07F649DB"/>
    <w:rsid w:val="08005083"/>
    <w:rsid w:val="08007BBD"/>
    <w:rsid w:val="08150A61"/>
    <w:rsid w:val="08162D8B"/>
    <w:rsid w:val="081D70DE"/>
    <w:rsid w:val="084837A5"/>
    <w:rsid w:val="08533F11"/>
    <w:rsid w:val="08835DB9"/>
    <w:rsid w:val="08DA2C94"/>
    <w:rsid w:val="08E1269F"/>
    <w:rsid w:val="08E9552D"/>
    <w:rsid w:val="08F42600"/>
    <w:rsid w:val="08FC0CCA"/>
    <w:rsid w:val="090076D0"/>
    <w:rsid w:val="091927F9"/>
    <w:rsid w:val="0919607C"/>
    <w:rsid w:val="091B157F"/>
    <w:rsid w:val="091B64E9"/>
    <w:rsid w:val="094A684B"/>
    <w:rsid w:val="09837CAA"/>
    <w:rsid w:val="098562E3"/>
    <w:rsid w:val="09860C2E"/>
    <w:rsid w:val="099334E6"/>
    <w:rsid w:val="09957BC4"/>
    <w:rsid w:val="09A24CDB"/>
    <w:rsid w:val="09A6526C"/>
    <w:rsid w:val="09BC05EC"/>
    <w:rsid w:val="09BC1108"/>
    <w:rsid w:val="09DD5198"/>
    <w:rsid w:val="09DE4B40"/>
    <w:rsid w:val="09E50C48"/>
    <w:rsid w:val="09F4422A"/>
    <w:rsid w:val="09FB4292"/>
    <w:rsid w:val="09FF5075"/>
    <w:rsid w:val="0A1B1122"/>
    <w:rsid w:val="0A2D0142"/>
    <w:rsid w:val="0A2E381F"/>
    <w:rsid w:val="0A48676E"/>
    <w:rsid w:val="0A4D1589"/>
    <w:rsid w:val="0A644A1B"/>
    <w:rsid w:val="0A73514E"/>
    <w:rsid w:val="0A8B4C59"/>
    <w:rsid w:val="0A8C50AC"/>
    <w:rsid w:val="0A9A26C8"/>
    <w:rsid w:val="0AAD6492"/>
    <w:rsid w:val="0AB74823"/>
    <w:rsid w:val="0AC17331"/>
    <w:rsid w:val="0AED6546"/>
    <w:rsid w:val="0B042E7A"/>
    <w:rsid w:val="0B14713B"/>
    <w:rsid w:val="0B154BBD"/>
    <w:rsid w:val="0B401BBC"/>
    <w:rsid w:val="0B446AEB"/>
    <w:rsid w:val="0B47088F"/>
    <w:rsid w:val="0B494045"/>
    <w:rsid w:val="0B6423BD"/>
    <w:rsid w:val="0B6E6550"/>
    <w:rsid w:val="0B8A25FD"/>
    <w:rsid w:val="0B9A2898"/>
    <w:rsid w:val="0BA50C29"/>
    <w:rsid w:val="0BAA3F58"/>
    <w:rsid w:val="0BB124BD"/>
    <w:rsid w:val="0BB8447D"/>
    <w:rsid w:val="0BCA507B"/>
    <w:rsid w:val="0C0C18D2"/>
    <w:rsid w:val="0C1A6669"/>
    <w:rsid w:val="0C25527A"/>
    <w:rsid w:val="0C564901"/>
    <w:rsid w:val="0C610FDC"/>
    <w:rsid w:val="0C7C5409"/>
    <w:rsid w:val="0C9A2041"/>
    <w:rsid w:val="0C9C53A2"/>
    <w:rsid w:val="0CAA4C53"/>
    <w:rsid w:val="0CB50A66"/>
    <w:rsid w:val="0CC07F2E"/>
    <w:rsid w:val="0CD914B5"/>
    <w:rsid w:val="0D003464"/>
    <w:rsid w:val="0D015662"/>
    <w:rsid w:val="0D205F17"/>
    <w:rsid w:val="0D460355"/>
    <w:rsid w:val="0D4E0FE4"/>
    <w:rsid w:val="0D6C7CF1"/>
    <w:rsid w:val="0D79097F"/>
    <w:rsid w:val="0D7B2DAD"/>
    <w:rsid w:val="0DA0368C"/>
    <w:rsid w:val="0DB20D09"/>
    <w:rsid w:val="0DB47DA7"/>
    <w:rsid w:val="0DBF259D"/>
    <w:rsid w:val="0DCF199B"/>
    <w:rsid w:val="0DDA7D20"/>
    <w:rsid w:val="0DF46AF0"/>
    <w:rsid w:val="0DFA10FD"/>
    <w:rsid w:val="0E107158"/>
    <w:rsid w:val="0E1C48E9"/>
    <w:rsid w:val="0E2224DB"/>
    <w:rsid w:val="0E236E8B"/>
    <w:rsid w:val="0E2F02D2"/>
    <w:rsid w:val="0E347FDD"/>
    <w:rsid w:val="0E455AFE"/>
    <w:rsid w:val="0E465388"/>
    <w:rsid w:val="0E6D5BB9"/>
    <w:rsid w:val="0E706B3D"/>
    <w:rsid w:val="0E920377"/>
    <w:rsid w:val="0E94233C"/>
    <w:rsid w:val="0E963A0F"/>
    <w:rsid w:val="0E9B0D11"/>
    <w:rsid w:val="0EAC615B"/>
    <w:rsid w:val="0EB3632D"/>
    <w:rsid w:val="0EB93673"/>
    <w:rsid w:val="0EC92D8B"/>
    <w:rsid w:val="0EDB14DB"/>
    <w:rsid w:val="0EE17BF8"/>
    <w:rsid w:val="0EE27660"/>
    <w:rsid w:val="0EEC778C"/>
    <w:rsid w:val="0EFB2DE2"/>
    <w:rsid w:val="0F073DDF"/>
    <w:rsid w:val="0F100C45"/>
    <w:rsid w:val="0F1E5E33"/>
    <w:rsid w:val="0F316BFB"/>
    <w:rsid w:val="0F355602"/>
    <w:rsid w:val="0F473373"/>
    <w:rsid w:val="0F4E552B"/>
    <w:rsid w:val="0F6A0D0D"/>
    <w:rsid w:val="0F6E58A0"/>
    <w:rsid w:val="0F7D081D"/>
    <w:rsid w:val="0F841B59"/>
    <w:rsid w:val="0F976DDE"/>
    <w:rsid w:val="0FB3297C"/>
    <w:rsid w:val="0FB82358"/>
    <w:rsid w:val="0FBC0D5E"/>
    <w:rsid w:val="0FBF5566"/>
    <w:rsid w:val="0FC90073"/>
    <w:rsid w:val="0FCE1079"/>
    <w:rsid w:val="0FED72D5"/>
    <w:rsid w:val="0FFF2ACC"/>
    <w:rsid w:val="100833DB"/>
    <w:rsid w:val="100E53EF"/>
    <w:rsid w:val="10406DB9"/>
    <w:rsid w:val="104344BA"/>
    <w:rsid w:val="104963C3"/>
    <w:rsid w:val="104F3B50"/>
    <w:rsid w:val="104F6162"/>
    <w:rsid w:val="1058445F"/>
    <w:rsid w:val="10AC0666"/>
    <w:rsid w:val="10B25DF3"/>
    <w:rsid w:val="10B74479"/>
    <w:rsid w:val="10CB6DDE"/>
    <w:rsid w:val="10DE213A"/>
    <w:rsid w:val="10ED1235"/>
    <w:rsid w:val="110E4E87"/>
    <w:rsid w:val="11254CC9"/>
    <w:rsid w:val="1133639C"/>
    <w:rsid w:val="11394082"/>
    <w:rsid w:val="11452DE3"/>
    <w:rsid w:val="115668B9"/>
    <w:rsid w:val="115A7505"/>
    <w:rsid w:val="115C2A08"/>
    <w:rsid w:val="11616F26"/>
    <w:rsid w:val="1168209E"/>
    <w:rsid w:val="11731ED8"/>
    <w:rsid w:val="117A00E2"/>
    <w:rsid w:val="1184614B"/>
    <w:rsid w:val="11930964"/>
    <w:rsid w:val="11BB284B"/>
    <w:rsid w:val="11E06E41"/>
    <w:rsid w:val="120B5FD1"/>
    <w:rsid w:val="12126CB4"/>
    <w:rsid w:val="121F6D3E"/>
    <w:rsid w:val="122733D6"/>
    <w:rsid w:val="122A435A"/>
    <w:rsid w:val="122B0A47"/>
    <w:rsid w:val="1236016D"/>
    <w:rsid w:val="12542FA0"/>
    <w:rsid w:val="1259088B"/>
    <w:rsid w:val="127534D5"/>
    <w:rsid w:val="127F7506"/>
    <w:rsid w:val="128959F9"/>
    <w:rsid w:val="128A347A"/>
    <w:rsid w:val="128D0B7C"/>
    <w:rsid w:val="12A82A2A"/>
    <w:rsid w:val="12B75243"/>
    <w:rsid w:val="12BB03C6"/>
    <w:rsid w:val="12F450A8"/>
    <w:rsid w:val="12FA11B0"/>
    <w:rsid w:val="12FC46B3"/>
    <w:rsid w:val="12FD5C9E"/>
    <w:rsid w:val="13045342"/>
    <w:rsid w:val="13141D5A"/>
    <w:rsid w:val="131C12E8"/>
    <w:rsid w:val="131E5EEC"/>
    <w:rsid w:val="132809FA"/>
    <w:rsid w:val="13397BCE"/>
    <w:rsid w:val="133A3258"/>
    <w:rsid w:val="136E36ED"/>
    <w:rsid w:val="13872098"/>
    <w:rsid w:val="138E1A23"/>
    <w:rsid w:val="13A051C1"/>
    <w:rsid w:val="13AB3BAB"/>
    <w:rsid w:val="13B860EB"/>
    <w:rsid w:val="13BC015C"/>
    <w:rsid w:val="13C733C8"/>
    <w:rsid w:val="13D54396"/>
    <w:rsid w:val="13D57C19"/>
    <w:rsid w:val="13DF0529"/>
    <w:rsid w:val="13ED53DF"/>
    <w:rsid w:val="140053B6"/>
    <w:rsid w:val="140337F8"/>
    <w:rsid w:val="140E57F5"/>
    <w:rsid w:val="1431319F"/>
    <w:rsid w:val="1449010B"/>
    <w:rsid w:val="144C30DB"/>
    <w:rsid w:val="14640782"/>
    <w:rsid w:val="14784A9B"/>
    <w:rsid w:val="14871C3B"/>
    <w:rsid w:val="148F28CB"/>
    <w:rsid w:val="149547D4"/>
    <w:rsid w:val="149D101A"/>
    <w:rsid w:val="14AF7204"/>
    <w:rsid w:val="14BA1191"/>
    <w:rsid w:val="14D72CBF"/>
    <w:rsid w:val="14EA24B1"/>
    <w:rsid w:val="14EB1960"/>
    <w:rsid w:val="14FA0E93"/>
    <w:rsid w:val="15097B50"/>
    <w:rsid w:val="151A227A"/>
    <w:rsid w:val="1524753B"/>
    <w:rsid w:val="15254FBD"/>
    <w:rsid w:val="152E75FA"/>
    <w:rsid w:val="153E0A4F"/>
    <w:rsid w:val="15445ABC"/>
    <w:rsid w:val="1553054F"/>
    <w:rsid w:val="156328A3"/>
    <w:rsid w:val="15633AC4"/>
    <w:rsid w:val="15691205"/>
    <w:rsid w:val="157B3F10"/>
    <w:rsid w:val="158278D5"/>
    <w:rsid w:val="158540DD"/>
    <w:rsid w:val="158D422C"/>
    <w:rsid w:val="158D6F6A"/>
    <w:rsid w:val="15907EEF"/>
    <w:rsid w:val="159B4676"/>
    <w:rsid w:val="15AD20D5"/>
    <w:rsid w:val="15B04DE0"/>
    <w:rsid w:val="15B23D16"/>
    <w:rsid w:val="15C301DF"/>
    <w:rsid w:val="15D140F8"/>
    <w:rsid w:val="16022814"/>
    <w:rsid w:val="16025167"/>
    <w:rsid w:val="161A5018"/>
    <w:rsid w:val="161C2B3E"/>
    <w:rsid w:val="16296DE9"/>
    <w:rsid w:val="162D573E"/>
    <w:rsid w:val="163B5754"/>
    <w:rsid w:val="1650578E"/>
    <w:rsid w:val="167304E2"/>
    <w:rsid w:val="167E55A7"/>
    <w:rsid w:val="16822CFB"/>
    <w:rsid w:val="16861701"/>
    <w:rsid w:val="16BD2F72"/>
    <w:rsid w:val="16C36211"/>
    <w:rsid w:val="16C759ED"/>
    <w:rsid w:val="16C93880"/>
    <w:rsid w:val="16CB5FD8"/>
    <w:rsid w:val="16E6367D"/>
    <w:rsid w:val="16F46A2C"/>
    <w:rsid w:val="170A3CDB"/>
    <w:rsid w:val="1716356E"/>
    <w:rsid w:val="171A4173"/>
    <w:rsid w:val="171F05FA"/>
    <w:rsid w:val="17204729"/>
    <w:rsid w:val="174A659D"/>
    <w:rsid w:val="174E114A"/>
    <w:rsid w:val="176432ED"/>
    <w:rsid w:val="17697775"/>
    <w:rsid w:val="17707100"/>
    <w:rsid w:val="17725E86"/>
    <w:rsid w:val="177E790E"/>
    <w:rsid w:val="17967340"/>
    <w:rsid w:val="17977695"/>
    <w:rsid w:val="17A10E21"/>
    <w:rsid w:val="17AB72E5"/>
    <w:rsid w:val="17C164DE"/>
    <w:rsid w:val="17D13CA1"/>
    <w:rsid w:val="17E26A66"/>
    <w:rsid w:val="17E603C4"/>
    <w:rsid w:val="17EA7578"/>
    <w:rsid w:val="17EE3251"/>
    <w:rsid w:val="17F0491D"/>
    <w:rsid w:val="1816603C"/>
    <w:rsid w:val="18191B17"/>
    <w:rsid w:val="181A777C"/>
    <w:rsid w:val="185A24B2"/>
    <w:rsid w:val="18791A18"/>
    <w:rsid w:val="18823AC5"/>
    <w:rsid w:val="18904044"/>
    <w:rsid w:val="18B72C9A"/>
    <w:rsid w:val="18C7749D"/>
    <w:rsid w:val="18CD4E3E"/>
    <w:rsid w:val="18E01A75"/>
    <w:rsid w:val="1917583F"/>
    <w:rsid w:val="1922234A"/>
    <w:rsid w:val="192F7B79"/>
    <w:rsid w:val="193A4695"/>
    <w:rsid w:val="193A762E"/>
    <w:rsid w:val="193F0D7D"/>
    <w:rsid w:val="194B53F3"/>
    <w:rsid w:val="1963339F"/>
    <w:rsid w:val="197874D5"/>
    <w:rsid w:val="19794F57"/>
    <w:rsid w:val="197A5962"/>
    <w:rsid w:val="19A07438"/>
    <w:rsid w:val="19A44EA1"/>
    <w:rsid w:val="19BF56CB"/>
    <w:rsid w:val="19C553D6"/>
    <w:rsid w:val="19E44606"/>
    <w:rsid w:val="19F710A8"/>
    <w:rsid w:val="19FB7274"/>
    <w:rsid w:val="1A141D7E"/>
    <w:rsid w:val="1A16565C"/>
    <w:rsid w:val="1A364410"/>
    <w:rsid w:val="1A404921"/>
    <w:rsid w:val="1A49562F"/>
    <w:rsid w:val="1A555BBE"/>
    <w:rsid w:val="1A7154EF"/>
    <w:rsid w:val="1A79037D"/>
    <w:rsid w:val="1A7B6CA6"/>
    <w:rsid w:val="1A865494"/>
    <w:rsid w:val="1AA17AB6"/>
    <w:rsid w:val="1AAA269E"/>
    <w:rsid w:val="1AB84DFF"/>
    <w:rsid w:val="1AB866A6"/>
    <w:rsid w:val="1AD93C19"/>
    <w:rsid w:val="1ADC4B9E"/>
    <w:rsid w:val="1AE63BBE"/>
    <w:rsid w:val="1AEA51B8"/>
    <w:rsid w:val="1AF40E27"/>
    <w:rsid w:val="1AF76A4D"/>
    <w:rsid w:val="1AF82F96"/>
    <w:rsid w:val="1AF92B8F"/>
    <w:rsid w:val="1AFA47A5"/>
    <w:rsid w:val="1B151F36"/>
    <w:rsid w:val="1B3874B6"/>
    <w:rsid w:val="1B3B043B"/>
    <w:rsid w:val="1B3D71C1"/>
    <w:rsid w:val="1B467412"/>
    <w:rsid w:val="1B4817B1"/>
    <w:rsid w:val="1B485552"/>
    <w:rsid w:val="1B682203"/>
    <w:rsid w:val="1B707610"/>
    <w:rsid w:val="1B761519"/>
    <w:rsid w:val="1B776AFB"/>
    <w:rsid w:val="1B8309E7"/>
    <w:rsid w:val="1B8575B5"/>
    <w:rsid w:val="1B924C7F"/>
    <w:rsid w:val="1BA24AAA"/>
    <w:rsid w:val="1BBA662D"/>
    <w:rsid w:val="1BBD2F92"/>
    <w:rsid w:val="1BBE5191"/>
    <w:rsid w:val="1BC5531A"/>
    <w:rsid w:val="1BC9121C"/>
    <w:rsid w:val="1BD359E4"/>
    <w:rsid w:val="1BD529DB"/>
    <w:rsid w:val="1BD6394C"/>
    <w:rsid w:val="1BE240CC"/>
    <w:rsid w:val="1BF57910"/>
    <w:rsid w:val="1BF91AF2"/>
    <w:rsid w:val="1BF91D70"/>
    <w:rsid w:val="1C037E84"/>
    <w:rsid w:val="1C04167F"/>
    <w:rsid w:val="1C0F7519"/>
    <w:rsid w:val="1C172A17"/>
    <w:rsid w:val="1C174926"/>
    <w:rsid w:val="1C2F6749"/>
    <w:rsid w:val="1C3276CE"/>
    <w:rsid w:val="1C34594F"/>
    <w:rsid w:val="1C3D55BC"/>
    <w:rsid w:val="1C441279"/>
    <w:rsid w:val="1C4D79EE"/>
    <w:rsid w:val="1C592E11"/>
    <w:rsid w:val="1C5E6101"/>
    <w:rsid w:val="1C643B19"/>
    <w:rsid w:val="1C7958C4"/>
    <w:rsid w:val="1C9526F9"/>
    <w:rsid w:val="1C9551F4"/>
    <w:rsid w:val="1CA76EDA"/>
    <w:rsid w:val="1CB67927"/>
    <w:rsid w:val="1CC34A3E"/>
    <w:rsid w:val="1CDB20E5"/>
    <w:rsid w:val="1CE60476"/>
    <w:rsid w:val="1CF77E61"/>
    <w:rsid w:val="1D0609AB"/>
    <w:rsid w:val="1D0E51AB"/>
    <w:rsid w:val="1D165353"/>
    <w:rsid w:val="1D3E218A"/>
    <w:rsid w:val="1D477E44"/>
    <w:rsid w:val="1D5774B0"/>
    <w:rsid w:val="1D9C08F7"/>
    <w:rsid w:val="1DB146C7"/>
    <w:rsid w:val="1DC47E64"/>
    <w:rsid w:val="1DCC31FE"/>
    <w:rsid w:val="1DE70AB5"/>
    <w:rsid w:val="1E085F02"/>
    <w:rsid w:val="1E112162"/>
    <w:rsid w:val="1E161E6D"/>
    <w:rsid w:val="1E251E5D"/>
    <w:rsid w:val="1E436FA9"/>
    <w:rsid w:val="1E4829FC"/>
    <w:rsid w:val="1E48483A"/>
    <w:rsid w:val="1E746983"/>
    <w:rsid w:val="1E9E304B"/>
    <w:rsid w:val="1EAF0D67"/>
    <w:rsid w:val="1EDB5833"/>
    <w:rsid w:val="1EED7DAE"/>
    <w:rsid w:val="1F0D1100"/>
    <w:rsid w:val="1F0E32FE"/>
    <w:rsid w:val="1F1115FD"/>
    <w:rsid w:val="1F167376"/>
    <w:rsid w:val="1F1D139B"/>
    <w:rsid w:val="1F271DA9"/>
    <w:rsid w:val="1F33353E"/>
    <w:rsid w:val="1F3E16E6"/>
    <w:rsid w:val="1F543A73"/>
    <w:rsid w:val="1F59377E"/>
    <w:rsid w:val="1F5B7EF1"/>
    <w:rsid w:val="1F764083"/>
    <w:rsid w:val="1F7A3CB3"/>
    <w:rsid w:val="1F8158E7"/>
    <w:rsid w:val="1F973891"/>
    <w:rsid w:val="1F9C4DBA"/>
    <w:rsid w:val="1FC11BEB"/>
    <w:rsid w:val="1FCD5CBB"/>
    <w:rsid w:val="1FD06C40"/>
    <w:rsid w:val="1FD93CCC"/>
    <w:rsid w:val="1FEA6B0D"/>
    <w:rsid w:val="20045E15"/>
    <w:rsid w:val="201400DE"/>
    <w:rsid w:val="202E4A5B"/>
    <w:rsid w:val="203159E0"/>
    <w:rsid w:val="203676F3"/>
    <w:rsid w:val="20427E78"/>
    <w:rsid w:val="20485605"/>
    <w:rsid w:val="2049323F"/>
    <w:rsid w:val="204C2272"/>
    <w:rsid w:val="20517769"/>
    <w:rsid w:val="20597DBD"/>
    <w:rsid w:val="205C39BF"/>
    <w:rsid w:val="20672C08"/>
    <w:rsid w:val="207167C9"/>
    <w:rsid w:val="20727497"/>
    <w:rsid w:val="207B4B5A"/>
    <w:rsid w:val="208C2876"/>
    <w:rsid w:val="20902332"/>
    <w:rsid w:val="20A200E4"/>
    <w:rsid w:val="20A47F1D"/>
    <w:rsid w:val="20C73955"/>
    <w:rsid w:val="20D067E3"/>
    <w:rsid w:val="20E06A7D"/>
    <w:rsid w:val="20F437A8"/>
    <w:rsid w:val="21012835"/>
    <w:rsid w:val="21245BCA"/>
    <w:rsid w:val="2152522B"/>
    <w:rsid w:val="215315CA"/>
    <w:rsid w:val="21644AD8"/>
    <w:rsid w:val="21697719"/>
    <w:rsid w:val="216F3FEE"/>
    <w:rsid w:val="217C217E"/>
    <w:rsid w:val="218E2416"/>
    <w:rsid w:val="21962D28"/>
    <w:rsid w:val="21B26DD5"/>
    <w:rsid w:val="21B34857"/>
    <w:rsid w:val="21B45B5C"/>
    <w:rsid w:val="21B76AE0"/>
    <w:rsid w:val="21D249F9"/>
    <w:rsid w:val="21ED1AE9"/>
    <w:rsid w:val="221B6805"/>
    <w:rsid w:val="22336391"/>
    <w:rsid w:val="223A3836"/>
    <w:rsid w:val="223B12B8"/>
    <w:rsid w:val="2250761E"/>
    <w:rsid w:val="22633D4D"/>
    <w:rsid w:val="22734C95"/>
    <w:rsid w:val="227B42A0"/>
    <w:rsid w:val="22806203"/>
    <w:rsid w:val="228F3315"/>
    <w:rsid w:val="229473C8"/>
    <w:rsid w:val="229576F2"/>
    <w:rsid w:val="22977147"/>
    <w:rsid w:val="229C47D4"/>
    <w:rsid w:val="22B84105"/>
    <w:rsid w:val="22B95F4E"/>
    <w:rsid w:val="22D24CAE"/>
    <w:rsid w:val="22D514B6"/>
    <w:rsid w:val="22DC4FC9"/>
    <w:rsid w:val="22ED1D00"/>
    <w:rsid w:val="22F872D1"/>
    <w:rsid w:val="230279FC"/>
    <w:rsid w:val="232703F4"/>
    <w:rsid w:val="23312AC9"/>
    <w:rsid w:val="23412D64"/>
    <w:rsid w:val="236B742B"/>
    <w:rsid w:val="236C49D9"/>
    <w:rsid w:val="23761541"/>
    <w:rsid w:val="237A7227"/>
    <w:rsid w:val="238C6599"/>
    <w:rsid w:val="239C0544"/>
    <w:rsid w:val="23A115DB"/>
    <w:rsid w:val="23B87C1E"/>
    <w:rsid w:val="23C670E9"/>
    <w:rsid w:val="23CB2CC8"/>
    <w:rsid w:val="23D34A58"/>
    <w:rsid w:val="23E36EF8"/>
    <w:rsid w:val="23E37CE0"/>
    <w:rsid w:val="23E53872"/>
    <w:rsid w:val="24247062"/>
    <w:rsid w:val="242F29EC"/>
    <w:rsid w:val="24383C05"/>
    <w:rsid w:val="243865C5"/>
    <w:rsid w:val="24493596"/>
    <w:rsid w:val="244B2840"/>
    <w:rsid w:val="24535936"/>
    <w:rsid w:val="247F3A70"/>
    <w:rsid w:val="248217B5"/>
    <w:rsid w:val="2489657E"/>
    <w:rsid w:val="24AC5839"/>
    <w:rsid w:val="24B6415E"/>
    <w:rsid w:val="24BA5C95"/>
    <w:rsid w:val="24C56EC3"/>
    <w:rsid w:val="24CA4EA5"/>
    <w:rsid w:val="24D14774"/>
    <w:rsid w:val="24E25D13"/>
    <w:rsid w:val="24E53415"/>
    <w:rsid w:val="24E66D03"/>
    <w:rsid w:val="24F649B4"/>
    <w:rsid w:val="24F77CAD"/>
    <w:rsid w:val="25101CDA"/>
    <w:rsid w:val="25230CFB"/>
    <w:rsid w:val="25316CE6"/>
    <w:rsid w:val="253B6199"/>
    <w:rsid w:val="25496F5C"/>
    <w:rsid w:val="254D1B3F"/>
    <w:rsid w:val="255A6C57"/>
    <w:rsid w:val="257F27A2"/>
    <w:rsid w:val="258F28DF"/>
    <w:rsid w:val="259A54C2"/>
    <w:rsid w:val="25A073CB"/>
    <w:rsid w:val="25AC31DE"/>
    <w:rsid w:val="25B848FA"/>
    <w:rsid w:val="25BA46F2"/>
    <w:rsid w:val="25BF5294"/>
    <w:rsid w:val="25C118A5"/>
    <w:rsid w:val="25C27580"/>
    <w:rsid w:val="25C50504"/>
    <w:rsid w:val="25D41EFF"/>
    <w:rsid w:val="25D61ECE"/>
    <w:rsid w:val="25DB76D4"/>
    <w:rsid w:val="25F807A6"/>
    <w:rsid w:val="25FE74CB"/>
    <w:rsid w:val="2602389A"/>
    <w:rsid w:val="260F3A44"/>
    <w:rsid w:val="261455E0"/>
    <w:rsid w:val="26151588"/>
    <w:rsid w:val="261C0F13"/>
    <w:rsid w:val="261D101D"/>
    <w:rsid w:val="2620319C"/>
    <w:rsid w:val="262F7F34"/>
    <w:rsid w:val="2632693A"/>
    <w:rsid w:val="264473DF"/>
    <w:rsid w:val="264C0596"/>
    <w:rsid w:val="264D4F65"/>
    <w:rsid w:val="2651396B"/>
    <w:rsid w:val="265C403C"/>
    <w:rsid w:val="266A2317"/>
    <w:rsid w:val="267B25B1"/>
    <w:rsid w:val="267C0033"/>
    <w:rsid w:val="26886044"/>
    <w:rsid w:val="26914CE6"/>
    <w:rsid w:val="26B61111"/>
    <w:rsid w:val="26C83E3F"/>
    <w:rsid w:val="26D1527F"/>
    <w:rsid w:val="26F57CEA"/>
    <w:rsid w:val="27273128"/>
    <w:rsid w:val="27424579"/>
    <w:rsid w:val="27482BFF"/>
    <w:rsid w:val="275217AC"/>
    <w:rsid w:val="275B723E"/>
    <w:rsid w:val="277409BC"/>
    <w:rsid w:val="277B2154"/>
    <w:rsid w:val="279D1605"/>
    <w:rsid w:val="27A71D1F"/>
    <w:rsid w:val="27A97A2E"/>
    <w:rsid w:val="27CB0185"/>
    <w:rsid w:val="27DD6975"/>
    <w:rsid w:val="27FC39A7"/>
    <w:rsid w:val="28030DB3"/>
    <w:rsid w:val="280520B8"/>
    <w:rsid w:val="280B5827"/>
    <w:rsid w:val="282B77EA"/>
    <w:rsid w:val="28322124"/>
    <w:rsid w:val="28327F9F"/>
    <w:rsid w:val="28362887"/>
    <w:rsid w:val="283B0F0D"/>
    <w:rsid w:val="284952E9"/>
    <w:rsid w:val="2855533A"/>
    <w:rsid w:val="285919D0"/>
    <w:rsid w:val="286272F3"/>
    <w:rsid w:val="287967F4"/>
    <w:rsid w:val="28797ED5"/>
    <w:rsid w:val="288325E6"/>
    <w:rsid w:val="28850088"/>
    <w:rsid w:val="289A5475"/>
    <w:rsid w:val="289F0C32"/>
    <w:rsid w:val="28C5217C"/>
    <w:rsid w:val="28D66B8D"/>
    <w:rsid w:val="28EB582E"/>
    <w:rsid w:val="28F364BD"/>
    <w:rsid w:val="28F57442"/>
    <w:rsid w:val="28F95E48"/>
    <w:rsid w:val="29076D93"/>
    <w:rsid w:val="291E0523"/>
    <w:rsid w:val="29220014"/>
    <w:rsid w:val="2925469F"/>
    <w:rsid w:val="292A6617"/>
    <w:rsid w:val="29315FA2"/>
    <w:rsid w:val="29334D29"/>
    <w:rsid w:val="294360C5"/>
    <w:rsid w:val="294E7AD1"/>
    <w:rsid w:val="295F6A17"/>
    <w:rsid w:val="29703508"/>
    <w:rsid w:val="298015A5"/>
    <w:rsid w:val="29817026"/>
    <w:rsid w:val="29963748"/>
    <w:rsid w:val="299C4C13"/>
    <w:rsid w:val="299C5BE6"/>
    <w:rsid w:val="29A504DF"/>
    <w:rsid w:val="29AC42AB"/>
    <w:rsid w:val="29C748CC"/>
    <w:rsid w:val="29D57ECD"/>
    <w:rsid w:val="29E14AC1"/>
    <w:rsid w:val="29F36631"/>
    <w:rsid w:val="2A151A98"/>
    <w:rsid w:val="2A305EC5"/>
    <w:rsid w:val="2A34234D"/>
    <w:rsid w:val="2A3C7759"/>
    <w:rsid w:val="2A423861"/>
    <w:rsid w:val="2A4312E2"/>
    <w:rsid w:val="2A4A6B02"/>
    <w:rsid w:val="2A5218FD"/>
    <w:rsid w:val="2A583806"/>
    <w:rsid w:val="2A63541A"/>
    <w:rsid w:val="2A756F04"/>
    <w:rsid w:val="2A8F1E79"/>
    <w:rsid w:val="2A923062"/>
    <w:rsid w:val="2A97058D"/>
    <w:rsid w:val="2A976370"/>
    <w:rsid w:val="2A9A147E"/>
    <w:rsid w:val="2AB70D19"/>
    <w:rsid w:val="2AC8733D"/>
    <w:rsid w:val="2AF23A05"/>
    <w:rsid w:val="2B09362A"/>
    <w:rsid w:val="2B0A10AB"/>
    <w:rsid w:val="2B105769"/>
    <w:rsid w:val="2B133F39"/>
    <w:rsid w:val="2B2431AE"/>
    <w:rsid w:val="2B3E27FF"/>
    <w:rsid w:val="2B444708"/>
    <w:rsid w:val="2B444AC5"/>
    <w:rsid w:val="2B503984"/>
    <w:rsid w:val="2B604039"/>
    <w:rsid w:val="2B634FBD"/>
    <w:rsid w:val="2B785E5C"/>
    <w:rsid w:val="2B797161"/>
    <w:rsid w:val="2B954906"/>
    <w:rsid w:val="2BAD08B5"/>
    <w:rsid w:val="2BBA7F7A"/>
    <w:rsid w:val="2BE85216"/>
    <w:rsid w:val="2BE93407"/>
    <w:rsid w:val="2BFA63EA"/>
    <w:rsid w:val="2C144DE1"/>
    <w:rsid w:val="2C187F64"/>
    <w:rsid w:val="2C260614"/>
    <w:rsid w:val="2C2801FE"/>
    <w:rsid w:val="2C2C2488"/>
    <w:rsid w:val="2C463031"/>
    <w:rsid w:val="2C54324E"/>
    <w:rsid w:val="2C734DFA"/>
    <w:rsid w:val="2CA06BC3"/>
    <w:rsid w:val="2CAB07D7"/>
    <w:rsid w:val="2CBE79B0"/>
    <w:rsid w:val="2CC9360B"/>
    <w:rsid w:val="2CCE400E"/>
    <w:rsid w:val="2CCF2B66"/>
    <w:rsid w:val="2CD22C15"/>
    <w:rsid w:val="2CE0417A"/>
    <w:rsid w:val="2D36550B"/>
    <w:rsid w:val="2D3A0351"/>
    <w:rsid w:val="2D406CBA"/>
    <w:rsid w:val="2D4A15DA"/>
    <w:rsid w:val="2D534468"/>
    <w:rsid w:val="2D5D05FB"/>
    <w:rsid w:val="2D5E027B"/>
    <w:rsid w:val="2D687C78"/>
    <w:rsid w:val="2D6F5045"/>
    <w:rsid w:val="2D99286E"/>
    <w:rsid w:val="2DA40A5D"/>
    <w:rsid w:val="2DA509EF"/>
    <w:rsid w:val="2DAC5DFC"/>
    <w:rsid w:val="2DBC3E98"/>
    <w:rsid w:val="2DC72229"/>
    <w:rsid w:val="2DCD6330"/>
    <w:rsid w:val="2DEF7B6A"/>
    <w:rsid w:val="2DFF5C06"/>
    <w:rsid w:val="2DFF7E04"/>
    <w:rsid w:val="2E001109"/>
    <w:rsid w:val="2E0D711A"/>
    <w:rsid w:val="2E167A29"/>
    <w:rsid w:val="2E3063D5"/>
    <w:rsid w:val="2E3305CD"/>
    <w:rsid w:val="2E3D56EB"/>
    <w:rsid w:val="2E4F036D"/>
    <w:rsid w:val="2E545310"/>
    <w:rsid w:val="2E5A7219"/>
    <w:rsid w:val="2E5E5C1F"/>
    <w:rsid w:val="2E614626"/>
    <w:rsid w:val="2E8170D9"/>
    <w:rsid w:val="2E97127C"/>
    <w:rsid w:val="2EBE4A4B"/>
    <w:rsid w:val="2EC568C9"/>
    <w:rsid w:val="2ED7710B"/>
    <w:rsid w:val="2ED87007"/>
    <w:rsid w:val="2F145393"/>
    <w:rsid w:val="2F3F4E25"/>
    <w:rsid w:val="2F4538F3"/>
    <w:rsid w:val="2F5042AE"/>
    <w:rsid w:val="2F5177B1"/>
    <w:rsid w:val="2F58713C"/>
    <w:rsid w:val="2F594BBE"/>
    <w:rsid w:val="2F874408"/>
    <w:rsid w:val="2FBB2F70"/>
    <w:rsid w:val="2FEC0401"/>
    <w:rsid w:val="2FFF2FA2"/>
    <w:rsid w:val="300262D0"/>
    <w:rsid w:val="30077F63"/>
    <w:rsid w:val="300C557A"/>
    <w:rsid w:val="30146BDF"/>
    <w:rsid w:val="30336A9F"/>
    <w:rsid w:val="30460DFF"/>
    <w:rsid w:val="30484F83"/>
    <w:rsid w:val="306A5958"/>
    <w:rsid w:val="306C2C12"/>
    <w:rsid w:val="306F6904"/>
    <w:rsid w:val="30711E07"/>
    <w:rsid w:val="307F49A0"/>
    <w:rsid w:val="30812733"/>
    <w:rsid w:val="30840E28"/>
    <w:rsid w:val="308B29B1"/>
    <w:rsid w:val="308D1737"/>
    <w:rsid w:val="30AA3266"/>
    <w:rsid w:val="30BA5A7F"/>
    <w:rsid w:val="30C020F7"/>
    <w:rsid w:val="30C419B0"/>
    <w:rsid w:val="30CF21A1"/>
    <w:rsid w:val="30D540AA"/>
    <w:rsid w:val="30E97669"/>
    <w:rsid w:val="30F00157"/>
    <w:rsid w:val="31364F41"/>
    <w:rsid w:val="314865E7"/>
    <w:rsid w:val="31563212"/>
    <w:rsid w:val="31850FE1"/>
    <w:rsid w:val="318C2A3B"/>
    <w:rsid w:val="319121DA"/>
    <w:rsid w:val="319A7C78"/>
    <w:rsid w:val="31A2421C"/>
    <w:rsid w:val="31A93189"/>
    <w:rsid w:val="31B00595"/>
    <w:rsid w:val="31C11645"/>
    <w:rsid w:val="31D030AF"/>
    <w:rsid w:val="31D41A4F"/>
    <w:rsid w:val="31DE235E"/>
    <w:rsid w:val="322910CA"/>
    <w:rsid w:val="322E33E2"/>
    <w:rsid w:val="323971F4"/>
    <w:rsid w:val="3240775C"/>
    <w:rsid w:val="325D52DC"/>
    <w:rsid w:val="3265353C"/>
    <w:rsid w:val="327C3161"/>
    <w:rsid w:val="327E0AB0"/>
    <w:rsid w:val="32925305"/>
    <w:rsid w:val="32ED1692"/>
    <w:rsid w:val="32F00F21"/>
    <w:rsid w:val="32F37AFD"/>
    <w:rsid w:val="32F408C5"/>
    <w:rsid w:val="32FE20EF"/>
    <w:rsid w:val="33016EEC"/>
    <w:rsid w:val="33082D45"/>
    <w:rsid w:val="33432890"/>
    <w:rsid w:val="334A1E64"/>
    <w:rsid w:val="33576347"/>
    <w:rsid w:val="335D4118"/>
    <w:rsid w:val="335F3C12"/>
    <w:rsid w:val="336E17F0"/>
    <w:rsid w:val="337201F6"/>
    <w:rsid w:val="3390223F"/>
    <w:rsid w:val="339C6E3C"/>
    <w:rsid w:val="33A132C4"/>
    <w:rsid w:val="33AF47D8"/>
    <w:rsid w:val="33C62FE8"/>
    <w:rsid w:val="33CE508C"/>
    <w:rsid w:val="33CF2B0E"/>
    <w:rsid w:val="33D23A93"/>
    <w:rsid w:val="33D46F96"/>
    <w:rsid w:val="33F0352A"/>
    <w:rsid w:val="33F629CD"/>
    <w:rsid w:val="34041CE3"/>
    <w:rsid w:val="341A3182"/>
    <w:rsid w:val="341F5D90"/>
    <w:rsid w:val="34362916"/>
    <w:rsid w:val="34563CEC"/>
    <w:rsid w:val="345871EF"/>
    <w:rsid w:val="347D19AD"/>
    <w:rsid w:val="347F3B76"/>
    <w:rsid w:val="348070AE"/>
    <w:rsid w:val="348973F5"/>
    <w:rsid w:val="349537D0"/>
    <w:rsid w:val="34B51B07"/>
    <w:rsid w:val="34CE04B2"/>
    <w:rsid w:val="34D310B7"/>
    <w:rsid w:val="34D80DC2"/>
    <w:rsid w:val="34DB19BE"/>
    <w:rsid w:val="34E003CD"/>
    <w:rsid w:val="34F81471"/>
    <w:rsid w:val="34FA47FA"/>
    <w:rsid w:val="34FC60D3"/>
    <w:rsid w:val="35051814"/>
    <w:rsid w:val="35291AC6"/>
    <w:rsid w:val="35370DDB"/>
    <w:rsid w:val="35516825"/>
    <w:rsid w:val="35527407"/>
    <w:rsid w:val="355339D4"/>
    <w:rsid w:val="35534E88"/>
    <w:rsid w:val="355354B2"/>
    <w:rsid w:val="3554290A"/>
    <w:rsid w:val="355A0096"/>
    <w:rsid w:val="356660A7"/>
    <w:rsid w:val="357536E0"/>
    <w:rsid w:val="358463F8"/>
    <w:rsid w:val="358E17EA"/>
    <w:rsid w:val="358E213A"/>
    <w:rsid w:val="359B6AF0"/>
    <w:rsid w:val="35C36441"/>
    <w:rsid w:val="35CE0055"/>
    <w:rsid w:val="35CE23D7"/>
    <w:rsid w:val="35D703D8"/>
    <w:rsid w:val="35E16C66"/>
    <w:rsid w:val="36022C46"/>
    <w:rsid w:val="360714B4"/>
    <w:rsid w:val="361D1AD4"/>
    <w:rsid w:val="362B41A9"/>
    <w:rsid w:val="36316A75"/>
    <w:rsid w:val="363E3B8C"/>
    <w:rsid w:val="3640380C"/>
    <w:rsid w:val="368D5EF0"/>
    <w:rsid w:val="36A7140B"/>
    <w:rsid w:val="36AB4524"/>
    <w:rsid w:val="36D71452"/>
    <w:rsid w:val="36DE5C94"/>
    <w:rsid w:val="36FB00F6"/>
    <w:rsid w:val="3729700D"/>
    <w:rsid w:val="373D1531"/>
    <w:rsid w:val="3748571E"/>
    <w:rsid w:val="37500442"/>
    <w:rsid w:val="3752526E"/>
    <w:rsid w:val="375955DE"/>
    <w:rsid w:val="37627D62"/>
    <w:rsid w:val="37645B6D"/>
    <w:rsid w:val="376B54F8"/>
    <w:rsid w:val="37745458"/>
    <w:rsid w:val="378673A6"/>
    <w:rsid w:val="379231B9"/>
    <w:rsid w:val="379C4FE6"/>
    <w:rsid w:val="379E284F"/>
    <w:rsid w:val="379E4667"/>
    <w:rsid w:val="37A46956"/>
    <w:rsid w:val="37CD7B1B"/>
    <w:rsid w:val="37DD5879"/>
    <w:rsid w:val="37FC68A5"/>
    <w:rsid w:val="38032517"/>
    <w:rsid w:val="380C2E83"/>
    <w:rsid w:val="38175C9E"/>
    <w:rsid w:val="38212C49"/>
    <w:rsid w:val="38253A2D"/>
    <w:rsid w:val="38300535"/>
    <w:rsid w:val="38303DA7"/>
    <w:rsid w:val="38440B86"/>
    <w:rsid w:val="384551E7"/>
    <w:rsid w:val="384719E3"/>
    <w:rsid w:val="384A4720"/>
    <w:rsid w:val="385A4B5D"/>
    <w:rsid w:val="38646D95"/>
    <w:rsid w:val="386E18A2"/>
    <w:rsid w:val="3872263A"/>
    <w:rsid w:val="389F1529"/>
    <w:rsid w:val="38A11087"/>
    <w:rsid w:val="38A327F3"/>
    <w:rsid w:val="38A7676F"/>
    <w:rsid w:val="38AB2183"/>
    <w:rsid w:val="38B35884"/>
    <w:rsid w:val="38C05E29"/>
    <w:rsid w:val="38CE513F"/>
    <w:rsid w:val="38D23B45"/>
    <w:rsid w:val="38D31755"/>
    <w:rsid w:val="38D76110"/>
    <w:rsid w:val="38D96D53"/>
    <w:rsid w:val="38DF7924"/>
    <w:rsid w:val="38E008DD"/>
    <w:rsid w:val="38E86591"/>
    <w:rsid w:val="390337A8"/>
    <w:rsid w:val="390C0398"/>
    <w:rsid w:val="392748D4"/>
    <w:rsid w:val="39282356"/>
    <w:rsid w:val="39321DBB"/>
    <w:rsid w:val="39340367"/>
    <w:rsid w:val="39386D6D"/>
    <w:rsid w:val="39390072"/>
    <w:rsid w:val="394E78F1"/>
    <w:rsid w:val="39530C1B"/>
    <w:rsid w:val="39565AB7"/>
    <w:rsid w:val="396024B0"/>
    <w:rsid w:val="3961212F"/>
    <w:rsid w:val="396607C6"/>
    <w:rsid w:val="39674039"/>
    <w:rsid w:val="397133C1"/>
    <w:rsid w:val="39902C7F"/>
    <w:rsid w:val="39957106"/>
    <w:rsid w:val="39986745"/>
    <w:rsid w:val="3999134E"/>
    <w:rsid w:val="399B4893"/>
    <w:rsid w:val="39A045B9"/>
    <w:rsid w:val="39D57E7A"/>
    <w:rsid w:val="39D83FF5"/>
    <w:rsid w:val="39F21DBF"/>
    <w:rsid w:val="39F871AB"/>
    <w:rsid w:val="39FA48AC"/>
    <w:rsid w:val="3A2B5076"/>
    <w:rsid w:val="3A2D057F"/>
    <w:rsid w:val="3A3623F3"/>
    <w:rsid w:val="3A487873"/>
    <w:rsid w:val="3A695E93"/>
    <w:rsid w:val="3A6F486B"/>
    <w:rsid w:val="3A6F51D2"/>
    <w:rsid w:val="3A7909FE"/>
    <w:rsid w:val="3A7B57A7"/>
    <w:rsid w:val="3A890CEF"/>
    <w:rsid w:val="3A892B6F"/>
    <w:rsid w:val="3A9331EC"/>
    <w:rsid w:val="3A9721AC"/>
    <w:rsid w:val="3A97523B"/>
    <w:rsid w:val="3A985A30"/>
    <w:rsid w:val="3AA008BD"/>
    <w:rsid w:val="3AA55634"/>
    <w:rsid w:val="3ABF5544"/>
    <w:rsid w:val="3AC10DF2"/>
    <w:rsid w:val="3AC41D77"/>
    <w:rsid w:val="3ACD0488"/>
    <w:rsid w:val="3ACE0108"/>
    <w:rsid w:val="3AD34590"/>
    <w:rsid w:val="3AD72F96"/>
    <w:rsid w:val="3ADB2271"/>
    <w:rsid w:val="3ADD069B"/>
    <w:rsid w:val="3AFB444F"/>
    <w:rsid w:val="3B110C09"/>
    <w:rsid w:val="3B1A4D04"/>
    <w:rsid w:val="3B1B679F"/>
    <w:rsid w:val="3B27789D"/>
    <w:rsid w:val="3B29564C"/>
    <w:rsid w:val="3B2F423E"/>
    <w:rsid w:val="3B3D61BD"/>
    <w:rsid w:val="3B414BC4"/>
    <w:rsid w:val="3B4772CF"/>
    <w:rsid w:val="3B4D6458"/>
    <w:rsid w:val="3B4E3ED9"/>
    <w:rsid w:val="3B512C60"/>
    <w:rsid w:val="3B6D0F0B"/>
    <w:rsid w:val="3B731E84"/>
    <w:rsid w:val="3B76761C"/>
    <w:rsid w:val="3B822519"/>
    <w:rsid w:val="3B8B5823"/>
    <w:rsid w:val="3B912DD7"/>
    <w:rsid w:val="3B962FD7"/>
    <w:rsid w:val="3BA50921"/>
    <w:rsid w:val="3BB83909"/>
    <w:rsid w:val="3BB9138A"/>
    <w:rsid w:val="3BCE7CAB"/>
    <w:rsid w:val="3BF14820"/>
    <w:rsid w:val="3BFF7A0B"/>
    <w:rsid w:val="3C0262C1"/>
    <w:rsid w:val="3C2D5AC6"/>
    <w:rsid w:val="3C69372C"/>
    <w:rsid w:val="3C7050E2"/>
    <w:rsid w:val="3C785F45"/>
    <w:rsid w:val="3C88075E"/>
    <w:rsid w:val="3C8B38E1"/>
    <w:rsid w:val="3CAA23A2"/>
    <w:rsid w:val="3CBF2E36"/>
    <w:rsid w:val="3CD157EA"/>
    <w:rsid w:val="3CE05DC4"/>
    <w:rsid w:val="3CF84295"/>
    <w:rsid w:val="3D076AAE"/>
    <w:rsid w:val="3D5358A8"/>
    <w:rsid w:val="3D5C3FB9"/>
    <w:rsid w:val="3D5F4F3E"/>
    <w:rsid w:val="3D623944"/>
    <w:rsid w:val="3D6C4254"/>
    <w:rsid w:val="3D6D6452"/>
    <w:rsid w:val="3DB94353"/>
    <w:rsid w:val="3DBD149D"/>
    <w:rsid w:val="3DCA3FA9"/>
    <w:rsid w:val="3DE07AF7"/>
    <w:rsid w:val="3DE35197"/>
    <w:rsid w:val="3DF876BB"/>
    <w:rsid w:val="3DFC02BF"/>
    <w:rsid w:val="3DFE15C4"/>
    <w:rsid w:val="3E0334CE"/>
    <w:rsid w:val="3E064452"/>
    <w:rsid w:val="3E091B54"/>
    <w:rsid w:val="3E18370D"/>
    <w:rsid w:val="3E1966D0"/>
    <w:rsid w:val="3E266F05"/>
    <w:rsid w:val="3E297D01"/>
    <w:rsid w:val="3E36391C"/>
    <w:rsid w:val="3E5D15DE"/>
    <w:rsid w:val="3E5D4E61"/>
    <w:rsid w:val="3E636D6A"/>
    <w:rsid w:val="3E860224"/>
    <w:rsid w:val="3EB86474"/>
    <w:rsid w:val="3EBB2C7C"/>
    <w:rsid w:val="3EC42287"/>
    <w:rsid w:val="3ED70E38"/>
    <w:rsid w:val="3ED76D29"/>
    <w:rsid w:val="3EE13DB5"/>
    <w:rsid w:val="3EEC59CA"/>
    <w:rsid w:val="3F054D10"/>
    <w:rsid w:val="3F1C6E5B"/>
    <w:rsid w:val="3F4150D3"/>
    <w:rsid w:val="3F5462F2"/>
    <w:rsid w:val="3F561F35"/>
    <w:rsid w:val="3F5B1501"/>
    <w:rsid w:val="3F605988"/>
    <w:rsid w:val="3F6767B8"/>
    <w:rsid w:val="3F92745C"/>
    <w:rsid w:val="3FB13A48"/>
    <w:rsid w:val="3FB1448E"/>
    <w:rsid w:val="3FD036BE"/>
    <w:rsid w:val="3FE24C5D"/>
    <w:rsid w:val="3FE34D15"/>
    <w:rsid w:val="3FE63663"/>
    <w:rsid w:val="3FEF1D74"/>
    <w:rsid w:val="401C3B3D"/>
    <w:rsid w:val="40321850"/>
    <w:rsid w:val="40456A90"/>
    <w:rsid w:val="40577D9B"/>
    <w:rsid w:val="406D6A2A"/>
    <w:rsid w:val="40877969"/>
    <w:rsid w:val="40900279"/>
    <w:rsid w:val="4093139F"/>
    <w:rsid w:val="409329CB"/>
    <w:rsid w:val="409D5390"/>
    <w:rsid w:val="40BA2742"/>
    <w:rsid w:val="40BB2DD0"/>
    <w:rsid w:val="40BE6BC7"/>
    <w:rsid w:val="40C761D4"/>
    <w:rsid w:val="40D83EF0"/>
    <w:rsid w:val="40E273FB"/>
    <w:rsid w:val="40E66A89"/>
    <w:rsid w:val="40E9418A"/>
    <w:rsid w:val="40ED2B91"/>
    <w:rsid w:val="41000B68"/>
    <w:rsid w:val="41012E6D"/>
    <w:rsid w:val="41052B1B"/>
    <w:rsid w:val="41061B71"/>
    <w:rsid w:val="41296F19"/>
    <w:rsid w:val="412A0477"/>
    <w:rsid w:val="4133683F"/>
    <w:rsid w:val="4136428A"/>
    <w:rsid w:val="414447B0"/>
    <w:rsid w:val="415F310E"/>
    <w:rsid w:val="4184568E"/>
    <w:rsid w:val="41932425"/>
    <w:rsid w:val="419B108E"/>
    <w:rsid w:val="41A05EB7"/>
    <w:rsid w:val="41B34C68"/>
    <w:rsid w:val="41B71360"/>
    <w:rsid w:val="41B900D4"/>
    <w:rsid w:val="41BE5467"/>
    <w:rsid w:val="41C44DF2"/>
    <w:rsid w:val="41CA3359"/>
    <w:rsid w:val="41F9564C"/>
    <w:rsid w:val="42012A59"/>
    <w:rsid w:val="42021713"/>
    <w:rsid w:val="420C25B0"/>
    <w:rsid w:val="421538F8"/>
    <w:rsid w:val="421A58D4"/>
    <w:rsid w:val="42212F8E"/>
    <w:rsid w:val="42287095"/>
    <w:rsid w:val="42321352"/>
    <w:rsid w:val="428F35C1"/>
    <w:rsid w:val="42AB7105"/>
    <w:rsid w:val="42C86795"/>
    <w:rsid w:val="42D739B6"/>
    <w:rsid w:val="42E874D3"/>
    <w:rsid w:val="43145CBC"/>
    <w:rsid w:val="43183596"/>
    <w:rsid w:val="432664FB"/>
    <w:rsid w:val="43285D3E"/>
    <w:rsid w:val="4333084C"/>
    <w:rsid w:val="43361CB5"/>
    <w:rsid w:val="43367252"/>
    <w:rsid w:val="43496273"/>
    <w:rsid w:val="43656974"/>
    <w:rsid w:val="43690D26"/>
    <w:rsid w:val="43973DF4"/>
    <w:rsid w:val="439C24FA"/>
    <w:rsid w:val="43B42600"/>
    <w:rsid w:val="43B50AA2"/>
    <w:rsid w:val="43B655A2"/>
    <w:rsid w:val="43E9037B"/>
    <w:rsid w:val="43EC5A7C"/>
    <w:rsid w:val="43F17986"/>
    <w:rsid w:val="43F42822"/>
    <w:rsid w:val="440740A8"/>
    <w:rsid w:val="441062E1"/>
    <w:rsid w:val="44110F59"/>
    <w:rsid w:val="4447178A"/>
    <w:rsid w:val="444F1E34"/>
    <w:rsid w:val="445175A7"/>
    <w:rsid w:val="44570BF2"/>
    <w:rsid w:val="44572BAD"/>
    <w:rsid w:val="445B15B3"/>
    <w:rsid w:val="445D1FAF"/>
    <w:rsid w:val="44623F43"/>
    <w:rsid w:val="447514E8"/>
    <w:rsid w:val="448021A2"/>
    <w:rsid w:val="448434D9"/>
    <w:rsid w:val="44AB77A6"/>
    <w:rsid w:val="44B873D5"/>
    <w:rsid w:val="44B96AB4"/>
    <w:rsid w:val="44C61D43"/>
    <w:rsid w:val="44C81F67"/>
    <w:rsid w:val="44D437FB"/>
    <w:rsid w:val="44D46679"/>
    <w:rsid w:val="44D8697E"/>
    <w:rsid w:val="44DC74AB"/>
    <w:rsid w:val="44E1728E"/>
    <w:rsid w:val="44EA599F"/>
    <w:rsid w:val="44F25D9B"/>
    <w:rsid w:val="45200AF7"/>
    <w:rsid w:val="45230C1C"/>
    <w:rsid w:val="452B0D0C"/>
    <w:rsid w:val="453E29AE"/>
    <w:rsid w:val="454A2E71"/>
    <w:rsid w:val="454A6CBD"/>
    <w:rsid w:val="45512DC5"/>
    <w:rsid w:val="45553AA7"/>
    <w:rsid w:val="456B65BD"/>
    <w:rsid w:val="45871E15"/>
    <w:rsid w:val="459C48D4"/>
    <w:rsid w:val="45A10EB6"/>
    <w:rsid w:val="45A260E5"/>
    <w:rsid w:val="45A658D7"/>
    <w:rsid w:val="45A87057"/>
    <w:rsid w:val="45AD56DD"/>
    <w:rsid w:val="45C1250B"/>
    <w:rsid w:val="45D4339E"/>
    <w:rsid w:val="45DA6B58"/>
    <w:rsid w:val="45E43639"/>
    <w:rsid w:val="45EA3344"/>
    <w:rsid w:val="45EF19CA"/>
    <w:rsid w:val="45F33C53"/>
    <w:rsid w:val="46191B03"/>
    <w:rsid w:val="462369A1"/>
    <w:rsid w:val="46454957"/>
    <w:rsid w:val="4664740A"/>
    <w:rsid w:val="46691411"/>
    <w:rsid w:val="466C7C3C"/>
    <w:rsid w:val="46980B5E"/>
    <w:rsid w:val="46AF0327"/>
    <w:rsid w:val="46C655FF"/>
    <w:rsid w:val="46C661AA"/>
    <w:rsid w:val="46C76D34"/>
    <w:rsid w:val="46E577A2"/>
    <w:rsid w:val="46EB5526"/>
    <w:rsid w:val="46F843FA"/>
    <w:rsid w:val="47000990"/>
    <w:rsid w:val="470C435B"/>
    <w:rsid w:val="47157B32"/>
    <w:rsid w:val="473D3E13"/>
    <w:rsid w:val="474247EA"/>
    <w:rsid w:val="475E7622"/>
    <w:rsid w:val="476240E0"/>
    <w:rsid w:val="478D5F73"/>
    <w:rsid w:val="47960D7E"/>
    <w:rsid w:val="47A12BAB"/>
    <w:rsid w:val="47AC26D7"/>
    <w:rsid w:val="47B23597"/>
    <w:rsid w:val="47B3589F"/>
    <w:rsid w:val="47D61564"/>
    <w:rsid w:val="47E44403"/>
    <w:rsid w:val="47F46C1C"/>
    <w:rsid w:val="47F54E6A"/>
    <w:rsid w:val="480004B0"/>
    <w:rsid w:val="48046EB6"/>
    <w:rsid w:val="480858BC"/>
    <w:rsid w:val="481F31DA"/>
    <w:rsid w:val="482254E2"/>
    <w:rsid w:val="483D6FB4"/>
    <w:rsid w:val="48455675"/>
    <w:rsid w:val="48606BC0"/>
    <w:rsid w:val="4875266D"/>
    <w:rsid w:val="4889710F"/>
    <w:rsid w:val="48A50CBC"/>
    <w:rsid w:val="48B25ECA"/>
    <w:rsid w:val="48B60F0A"/>
    <w:rsid w:val="48CB107D"/>
    <w:rsid w:val="48F07DB8"/>
    <w:rsid w:val="48F232BB"/>
    <w:rsid w:val="48F30275"/>
    <w:rsid w:val="49023556"/>
    <w:rsid w:val="49041E4A"/>
    <w:rsid w:val="49102650"/>
    <w:rsid w:val="49275D14"/>
    <w:rsid w:val="493904D2"/>
    <w:rsid w:val="49403AFB"/>
    <w:rsid w:val="49495EC9"/>
    <w:rsid w:val="49503A71"/>
    <w:rsid w:val="49712D0A"/>
    <w:rsid w:val="49920446"/>
    <w:rsid w:val="49A90014"/>
    <w:rsid w:val="49B80E6C"/>
    <w:rsid w:val="49C04C0E"/>
    <w:rsid w:val="49C12AD9"/>
    <w:rsid w:val="49D12082"/>
    <w:rsid w:val="49DE5C2D"/>
    <w:rsid w:val="49E55C77"/>
    <w:rsid w:val="49F772E6"/>
    <w:rsid w:val="4A1E2A29"/>
    <w:rsid w:val="4A2B5447"/>
    <w:rsid w:val="4A342D95"/>
    <w:rsid w:val="4A3E54DC"/>
    <w:rsid w:val="4A47036A"/>
    <w:rsid w:val="4A5166FB"/>
    <w:rsid w:val="4A7316DB"/>
    <w:rsid w:val="4A7C4FC1"/>
    <w:rsid w:val="4A8536D2"/>
    <w:rsid w:val="4A9D584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9C0C9C"/>
    <w:rsid w:val="4BAF1EBA"/>
    <w:rsid w:val="4BBC0C9E"/>
    <w:rsid w:val="4BC92A64"/>
    <w:rsid w:val="4BCB2C12"/>
    <w:rsid w:val="4BD5286C"/>
    <w:rsid w:val="4BD82710"/>
    <w:rsid w:val="4BD8527D"/>
    <w:rsid w:val="4BE56B11"/>
    <w:rsid w:val="4BF23C29"/>
    <w:rsid w:val="4BF91035"/>
    <w:rsid w:val="4C07034B"/>
    <w:rsid w:val="4C0F5757"/>
    <w:rsid w:val="4C0F7955"/>
    <w:rsid w:val="4C15185F"/>
    <w:rsid w:val="4C1550E2"/>
    <w:rsid w:val="4C183B1D"/>
    <w:rsid w:val="4C207BF0"/>
    <w:rsid w:val="4C293D83"/>
    <w:rsid w:val="4C484637"/>
    <w:rsid w:val="4C501913"/>
    <w:rsid w:val="4C5061C1"/>
    <w:rsid w:val="4C5A4552"/>
    <w:rsid w:val="4C5B1004"/>
    <w:rsid w:val="4C601CDE"/>
    <w:rsid w:val="4C700C74"/>
    <w:rsid w:val="4C853452"/>
    <w:rsid w:val="4C87625C"/>
    <w:rsid w:val="4C93212D"/>
    <w:rsid w:val="4CAD655A"/>
    <w:rsid w:val="4CB53967"/>
    <w:rsid w:val="4CC4348E"/>
    <w:rsid w:val="4CC7692E"/>
    <w:rsid w:val="4CD4421B"/>
    <w:rsid w:val="4CD8739E"/>
    <w:rsid w:val="4CDC47FD"/>
    <w:rsid w:val="4CDE4B2B"/>
    <w:rsid w:val="4CE77681"/>
    <w:rsid w:val="4CF55DDD"/>
    <w:rsid w:val="4D2F582F"/>
    <w:rsid w:val="4D445EFB"/>
    <w:rsid w:val="4D49324E"/>
    <w:rsid w:val="4D755501"/>
    <w:rsid w:val="4D7D11B1"/>
    <w:rsid w:val="4D8A3B75"/>
    <w:rsid w:val="4D9819DB"/>
    <w:rsid w:val="4D9A4EDE"/>
    <w:rsid w:val="4D9C7AE5"/>
    <w:rsid w:val="4DA27D63"/>
    <w:rsid w:val="4DB30006"/>
    <w:rsid w:val="4DB72290"/>
    <w:rsid w:val="4DBF769C"/>
    <w:rsid w:val="4DCE26E9"/>
    <w:rsid w:val="4DD86643"/>
    <w:rsid w:val="4DE6755C"/>
    <w:rsid w:val="4DEE1B0A"/>
    <w:rsid w:val="4DEF5C6D"/>
    <w:rsid w:val="4DFC3C7E"/>
    <w:rsid w:val="4DFF171A"/>
    <w:rsid w:val="4E065CFD"/>
    <w:rsid w:val="4E0F0720"/>
    <w:rsid w:val="4E1600AB"/>
    <w:rsid w:val="4E1E499E"/>
    <w:rsid w:val="4E2373C0"/>
    <w:rsid w:val="4E324336"/>
    <w:rsid w:val="4E3B5550"/>
    <w:rsid w:val="4E46667C"/>
    <w:rsid w:val="4E4C0585"/>
    <w:rsid w:val="4E574397"/>
    <w:rsid w:val="4E776E4B"/>
    <w:rsid w:val="4E82509B"/>
    <w:rsid w:val="4E884B66"/>
    <w:rsid w:val="4E921BF3"/>
    <w:rsid w:val="4E9F4303"/>
    <w:rsid w:val="4EA40551"/>
    <w:rsid w:val="4EA81E93"/>
    <w:rsid w:val="4EBF442B"/>
    <w:rsid w:val="4EBF723F"/>
    <w:rsid w:val="4EC40427"/>
    <w:rsid w:val="4ECC4356"/>
    <w:rsid w:val="4ECD3DEF"/>
    <w:rsid w:val="4ED626E7"/>
    <w:rsid w:val="4ED93605"/>
    <w:rsid w:val="4ED94364"/>
    <w:rsid w:val="4EE33F7B"/>
    <w:rsid w:val="4EE670FE"/>
    <w:rsid w:val="4EFA5A91"/>
    <w:rsid w:val="4F195E9F"/>
    <w:rsid w:val="4F1B7656"/>
    <w:rsid w:val="4F1D3B0A"/>
    <w:rsid w:val="4F2449E5"/>
    <w:rsid w:val="4F416513"/>
    <w:rsid w:val="4F5E52D6"/>
    <w:rsid w:val="4F61484A"/>
    <w:rsid w:val="4F6232F8"/>
    <w:rsid w:val="4F874A89"/>
    <w:rsid w:val="4FAB39C4"/>
    <w:rsid w:val="4FAC4AEC"/>
    <w:rsid w:val="4FB12CC5"/>
    <w:rsid w:val="4FBD16E0"/>
    <w:rsid w:val="4FC15B68"/>
    <w:rsid w:val="4FC27D66"/>
    <w:rsid w:val="4FCC4C42"/>
    <w:rsid w:val="4FCE73FC"/>
    <w:rsid w:val="4FD64808"/>
    <w:rsid w:val="4FD7735B"/>
    <w:rsid w:val="4FE35224"/>
    <w:rsid w:val="4FF64D3D"/>
    <w:rsid w:val="4FFB4A48"/>
    <w:rsid w:val="500365D1"/>
    <w:rsid w:val="500A17DF"/>
    <w:rsid w:val="50193FF8"/>
    <w:rsid w:val="502226D6"/>
    <w:rsid w:val="50286811"/>
    <w:rsid w:val="50473D73"/>
    <w:rsid w:val="507C2A18"/>
    <w:rsid w:val="50834F8C"/>
    <w:rsid w:val="508A55B1"/>
    <w:rsid w:val="508C2093"/>
    <w:rsid w:val="50B8067E"/>
    <w:rsid w:val="50BA3B81"/>
    <w:rsid w:val="50C34A9C"/>
    <w:rsid w:val="50E161B2"/>
    <w:rsid w:val="50E87B49"/>
    <w:rsid w:val="511B709E"/>
    <w:rsid w:val="51261ADC"/>
    <w:rsid w:val="512D283B"/>
    <w:rsid w:val="51385D77"/>
    <w:rsid w:val="514172DE"/>
    <w:rsid w:val="51442461"/>
    <w:rsid w:val="51465964"/>
    <w:rsid w:val="515371F8"/>
    <w:rsid w:val="51571481"/>
    <w:rsid w:val="515D338B"/>
    <w:rsid w:val="51860510"/>
    <w:rsid w:val="518965D2"/>
    <w:rsid w:val="51904A15"/>
    <w:rsid w:val="51907920"/>
    <w:rsid w:val="5199796C"/>
    <w:rsid w:val="51BF4329"/>
    <w:rsid w:val="51C464A2"/>
    <w:rsid w:val="51CB39BF"/>
    <w:rsid w:val="51E31065"/>
    <w:rsid w:val="51ED2148"/>
    <w:rsid w:val="51F17CFE"/>
    <w:rsid w:val="520C7CAB"/>
    <w:rsid w:val="520E31AE"/>
    <w:rsid w:val="524349D3"/>
    <w:rsid w:val="524E6196"/>
    <w:rsid w:val="52622C38"/>
    <w:rsid w:val="52722ED3"/>
    <w:rsid w:val="527C37E2"/>
    <w:rsid w:val="528278EA"/>
    <w:rsid w:val="52884ADC"/>
    <w:rsid w:val="529A5966"/>
    <w:rsid w:val="52B52FF1"/>
    <w:rsid w:val="52B64958"/>
    <w:rsid w:val="52BA2DC0"/>
    <w:rsid w:val="52C12C52"/>
    <w:rsid w:val="52D15024"/>
    <w:rsid w:val="52E23187"/>
    <w:rsid w:val="52E26A0A"/>
    <w:rsid w:val="52FF2E29"/>
    <w:rsid w:val="53010C0B"/>
    <w:rsid w:val="530449C0"/>
    <w:rsid w:val="530A1B33"/>
    <w:rsid w:val="53117559"/>
    <w:rsid w:val="53416241"/>
    <w:rsid w:val="534F175F"/>
    <w:rsid w:val="535321C1"/>
    <w:rsid w:val="53697924"/>
    <w:rsid w:val="536D0121"/>
    <w:rsid w:val="53707572"/>
    <w:rsid w:val="53844015"/>
    <w:rsid w:val="53C02B75"/>
    <w:rsid w:val="53CA4C80"/>
    <w:rsid w:val="53EA66AD"/>
    <w:rsid w:val="53EE23BF"/>
    <w:rsid w:val="53F23262"/>
    <w:rsid w:val="53FD045B"/>
    <w:rsid w:val="53FD32A8"/>
    <w:rsid w:val="540A41A9"/>
    <w:rsid w:val="540D3A6F"/>
    <w:rsid w:val="54190C85"/>
    <w:rsid w:val="541F2B8E"/>
    <w:rsid w:val="54311BAF"/>
    <w:rsid w:val="545333E8"/>
    <w:rsid w:val="54560AEA"/>
    <w:rsid w:val="545D58DB"/>
    <w:rsid w:val="546148FC"/>
    <w:rsid w:val="547316D7"/>
    <w:rsid w:val="547F7301"/>
    <w:rsid w:val="548E44C7"/>
    <w:rsid w:val="549C125E"/>
    <w:rsid w:val="54AB3A77"/>
    <w:rsid w:val="54C65E82"/>
    <w:rsid w:val="54C75926"/>
    <w:rsid w:val="54D910C3"/>
    <w:rsid w:val="54FB72AA"/>
    <w:rsid w:val="55076432"/>
    <w:rsid w:val="550A3F74"/>
    <w:rsid w:val="551659DC"/>
    <w:rsid w:val="551940AB"/>
    <w:rsid w:val="551C085F"/>
    <w:rsid w:val="55243C05"/>
    <w:rsid w:val="55253741"/>
    <w:rsid w:val="552A4345"/>
    <w:rsid w:val="552B1DC7"/>
    <w:rsid w:val="55301DC2"/>
    <w:rsid w:val="55413F6A"/>
    <w:rsid w:val="55432CF1"/>
    <w:rsid w:val="554D59FE"/>
    <w:rsid w:val="55526D87"/>
    <w:rsid w:val="556C05F6"/>
    <w:rsid w:val="557B66CE"/>
    <w:rsid w:val="557D1554"/>
    <w:rsid w:val="55990DAE"/>
    <w:rsid w:val="559B0682"/>
    <w:rsid w:val="55BB5C2C"/>
    <w:rsid w:val="55BE109B"/>
    <w:rsid w:val="55D75763"/>
    <w:rsid w:val="55D86806"/>
    <w:rsid w:val="55DD7548"/>
    <w:rsid w:val="55E0078B"/>
    <w:rsid w:val="55E8012F"/>
    <w:rsid w:val="55EC1E85"/>
    <w:rsid w:val="55EF668D"/>
    <w:rsid w:val="55F67FAE"/>
    <w:rsid w:val="561F4AB6"/>
    <w:rsid w:val="5640190F"/>
    <w:rsid w:val="564415CA"/>
    <w:rsid w:val="564505F2"/>
    <w:rsid w:val="564C5721"/>
    <w:rsid w:val="566F67D3"/>
    <w:rsid w:val="56885586"/>
    <w:rsid w:val="568F4307"/>
    <w:rsid w:val="569F0646"/>
    <w:rsid w:val="56AE57C6"/>
    <w:rsid w:val="56B965B7"/>
    <w:rsid w:val="56DE0514"/>
    <w:rsid w:val="570C52FA"/>
    <w:rsid w:val="571C7AA4"/>
    <w:rsid w:val="572341DD"/>
    <w:rsid w:val="57245405"/>
    <w:rsid w:val="5738206B"/>
    <w:rsid w:val="575171CD"/>
    <w:rsid w:val="575A58DF"/>
    <w:rsid w:val="576C1A3B"/>
    <w:rsid w:val="57782C90"/>
    <w:rsid w:val="57B0086C"/>
    <w:rsid w:val="57B204EC"/>
    <w:rsid w:val="57BA337A"/>
    <w:rsid w:val="57BD3902"/>
    <w:rsid w:val="57D577A7"/>
    <w:rsid w:val="57D73F48"/>
    <w:rsid w:val="57E3453E"/>
    <w:rsid w:val="57F36E25"/>
    <w:rsid w:val="57F80C60"/>
    <w:rsid w:val="57FC7666"/>
    <w:rsid w:val="58013AEE"/>
    <w:rsid w:val="581140DE"/>
    <w:rsid w:val="58117561"/>
    <w:rsid w:val="5818245E"/>
    <w:rsid w:val="581E561D"/>
    <w:rsid w:val="58406E56"/>
    <w:rsid w:val="58466FCB"/>
    <w:rsid w:val="58470002"/>
    <w:rsid w:val="585039A6"/>
    <w:rsid w:val="58692219"/>
    <w:rsid w:val="586B571C"/>
    <w:rsid w:val="58791557"/>
    <w:rsid w:val="587A7F35"/>
    <w:rsid w:val="5885480C"/>
    <w:rsid w:val="588675CA"/>
    <w:rsid w:val="58A310F9"/>
    <w:rsid w:val="58B00C60"/>
    <w:rsid w:val="58BA45A1"/>
    <w:rsid w:val="58C70034"/>
    <w:rsid w:val="58CE0838"/>
    <w:rsid w:val="58CF5440"/>
    <w:rsid w:val="58E74D32"/>
    <w:rsid w:val="58F16C7A"/>
    <w:rsid w:val="58F84874"/>
    <w:rsid w:val="58FF3A11"/>
    <w:rsid w:val="5906339C"/>
    <w:rsid w:val="59103CAB"/>
    <w:rsid w:val="59260BAB"/>
    <w:rsid w:val="592E6ADF"/>
    <w:rsid w:val="593A7614"/>
    <w:rsid w:val="593B00D4"/>
    <w:rsid w:val="59440C82"/>
    <w:rsid w:val="595C4851"/>
    <w:rsid w:val="597F010F"/>
    <w:rsid w:val="59A90346"/>
    <w:rsid w:val="59B07FB1"/>
    <w:rsid w:val="59BC7647"/>
    <w:rsid w:val="59DA3A14"/>
    <w:rsid w:val="59DD7B7C"/>
    <w:rsid w:val="59F2429E"/>
    <w:rsid w:val="59FC4B45"/>
    <w:rsid w:val="5A1631D9"/>
    <w:rsid w:val="5A1B5462"/>
    <w:rsid w:val="5A465698"/>
    <w:rsid w:val="5A47527D"/>
    <w:rsid w:val="5A5020B9"/>
    <w:rsid w:val="5A555911"/>
    <w:rsid w:val="5A5C174F"/>
    <w:rsid w:val="5A65689F"/>
    <w:rsid w:val="5A906A56"/>
    <w:rsid w:val="5A916423"/>
    <w:rsid w:val="5A9C7455"/>
    <w:rsid w:val="5A9E5903"/>
    <w:rsid w:val="5AA66C55"/>
    <w:rsid w:val="5AA80549"/>
    <w:rsid w:val="5AB1123A"/>
    <w:rsid w:val="5AB6785F"/>
    <w:rsid w:val="5ABE04EF"/>
    <w:rsid w:val="5AD563E4"/>
    <w:rsid w:val="5AD65B96"/>
    <w:rsid w:val="5ADA679A"/>
    <w:rsid w:val="5AED57BB"/>
    <w:rsid w:val="5B1769FD"/>
    <w:rsid w:val="5B372B47"/>
    <w:rsid w:val="5B5154DF"/>
    <w:rsid w:val="5B554648"/>
    <w:rsid w:val="5B7B6323"/>
    <w:rsid w:val="5B8C73EB"/>
    <w:rsid w:val="5BA25B21"/>
    <w:rsid w:val="5BAB1071"/>
    <w:rsid w:val="5BB9748C"/>
    <w:rsid w:val="5BD60FBC"/>
    <w:rsid w:val="5BE61256"/>
    <w:rsid w:val="5BF501EB"/>
    <w:rsid w:val="5BFE5E0F"/>
    <w:rsid w:val="5C0351D3"/>
    <w:rsid w:val="5C0F5926"/>
    <w:rsid w:val="5C187076"/>
    <w:rsid w:val="5C235838"/>
    <w:rsid w:val="5C3E76E6"/>
    <w:rsid w:val="5C4B69FC"/>
    <w:rsid w:val="5C576F8B"/>
    <w:rsid w:val="5C5B40AC"/>
    <w:rsid w:val="5C646D60"/>
    <w:rsid w:val="5C6F2ADC"/>
    <w:rsid w:val="5C741646"/>
    <w:rsid w:val="5C793BE9"/>
    <w:rsid w:val="5C9761B3"/>
    <w:rsid w:val="5C981DBF"/>
    <w:rsid w:val="5C9E261E"/>
    <w:rsid w:val="5CB318A3"/>
    <w:rsid w:val="5CB85D2B"/>
    <w:rsid w:val="5CBE7C34"/>
    <w:rsid w:val="5CF3268D"/>
    <w:rsid w:val="5D184E4B"/>
    <w:rsid w:val="5D236900"/>
    <w:rsid w:val="5D290C69"/>
    <w:rsid w:val="5D2B3334"/>
    <w:rsid w:val="5D466894"/>
    <w:rsid w:val="5D5635A3"/>
    <w:rsid w:val="5D69550A"/>
    <w:rsid w:val="5D6E1FD6"/>
    <w:rsid w:val="5D7A3F1A"/>
    <w:rsid w:val="5D8F4F70"/>
    <w:rsid w:val="5DC42740"/>
    <w:rsid w:val="5DD2339B"/>
    <w:rsid w:val="5DD970EE"/>
    <w:rsid w:val="5DF04B2E"/>
    <w:rsid w:val="5DF53121"/>
    <w:rsid w:val="5E0324CA"/>
    <w:rsid w:val="5E3929A4"/>
    <w:rsid w:val="5E3A63DF"/>
    <w:rsid w:val="5E3C172A"/>
    <w:rsid w:val="5E702CD8"/>
    <w:rsid w:val="5E9F014A"/>
    <w:rsid w:val="5E9F7A2D"/>
    <w:rsid w:val="5EB55B71"/>
    <w:rsid w:val="5ED75D25"/>
    <w:rsid w:val="5F0955FB"/>
    <w:rsid w:val="5F0977F9"/>
    <w:rsid w:val="5F0D497A"/>
    <w:rsid w:val="5F164911"/>
    <w:rsid w:val="5F1C681A"/>
    <w:rsid w:val="5F2D4A41"/>
    <w:rsid w:val="5F343EC1"/>
    <w:rsid w:val="5F3E69CE"/>
    <w:rsid w:val="5F482B61"/>
    <w:rsid w:val="5F4B3119"/>
    <w:rsid w:val="5F7E116D"/>
    <w:rsid w:val="5F802CBB"/>
    <w:rsid w:val="5F9D03B8"/>
    <w:rsid w:val="5FAA3AFF"/>
    <w:rsid w:val="5FB41813"/>
    <w:rsid w:val="5FBD5066"/>
    <w:rsid w:val="5FBE05A1"/>
    <w:rsid w:val="5FCC21F2"/>
    <w:rsid w:val="5FDA6A4F"/>
    <w:rsid w:val="5FEF4354"/>
    <w:rsid w:val="5FF2368F"/>
    <w:rsid w:val="60052F14"/>
    <w:rsid w:val="600A2140"/>
    <w:rsid w:val="601644B3"/>
    <w:rsid w:val="601B3C4D"/>
    <w:rsid w:val="6025124B"/>
    <w:rsid w:val="60513B15"/>
    <w:rsid w:val="605A0420"/>
    <w:rsid w:val="60624F0A"/>
    <w:rsid w:val="60705E47"/>
    <w:rsid w:val="60760CBF"/>
    <w:rsid w:val="607B1C59"/>
    <w:rsid w:val="60852569"/>
    <w:rsid w:val="60991209"/>
    <w:rsid w:val="60C51BD4"/>
    <w:rsid w:val="60E173FF"/>
    <w:rsid w:val="610F0176"/>
    <w:rsid w:val="611565D4"/>
    <w:rsid w:val="61171AD8"/>
    <w:rsid w:val="611778D9"/>
    <w:rsid w:val="61205F8C"/>
    <w:rsid w:val="61246BCA"/>
    <w:rsid w:val="61377E0E"/>
    <w:rsid w:val="613F1004"/>
    <w:rsid w:val="61496783"/>
    <w:rsid w:val="614D672E"/>
    <w:rsid w:val="61774636"/>
    <w:rsid w:val="61786679"/>
    <w:rsid w:val="61850EBD"/>
    <w:rsid w:val="61931421"/>
    <w:rsid w:val="61B16453"/>
    <w:rsid w:val="61B73BDF"/>
    <w:rsid w:val="61D71F16"/>
    <w:rsid w:val="61DF7322"/>
    <w:rsid w:val="61FB637A"/>
    <w:rsid w:val="62094494"/>
    <w:rsid w:val="62441245"/>
    <w:rsid w:val="62543D0E"/>
    <w:rsid w:val="62584F92"/>
    <w:rsid w:val="625933C2"/>
    <w:rsid w:val="626A7D5A"/>
    <w:rsid w:val="627A00A5"/>
    <w:rsid w:val="62CA2770"/>
    <w:rsid w:val="62D068AA"/>
    <w:rsid w:val="62D81AB9"/>
    <w:rsid w:val="63016CD4"/>
    <w:rsid w:val="630B320C"/>
    <w:rsid w:val="632154C1"/>
    <w:rsid w:val="63251BB8"/>
    <w:rsid w:val="63290E9E"/>
    <w:rsid w:val="632C3741"/>
    <w:rsid w:val="63303AED"/>
    <w:rsid w:val="63351E52"/>
    <w:rsid w:val="633B5E47"/>
    <w:rsid w:val="63421168"/>
    <w:rsid w:val="6346317D"/>
    <w:rsid w:val="635725D8"/>
    <w:rsid w:val="63976673"/>
    <w:rsid w:val="63A67B74"/>
    <w:rsid w:val="63AC7EFE"/>
    <w:rsid w:val="63E279EC"/>
    <w:rsid w:val="63ED1601"/>
    <w:rsid w:val="63F25A88"/>
    <w:rsid w:val="63F31B65"/>
    <w:rsid w:val="63FD6018"/>
    <w:rsid w:val="63FF02CC"/>
    <w:rsid w:val="641E2DB0"/>
    <w:rsid w:val="64265F03"/>
    <w:rsid w:val="642B5C08"/>
    <w:rsid w:val="642B7743"/>
    <w:rsid w:val="642D103F"/>
    <w:rsid w:val="642E7707"/>
    <w:rsid w:val="64307322"/>
    <w:rsid w:val="64351345"/>
    <w:rsid w:val="64561F2A"/>
    <w:rsid w:val="64585286"/>
    <w:rsid w:val="647C5B23"/>
    <w:rsid w:val="64A66831"/>
    <w:rsid w:val="64B76868"/>
    <w:rsid w:val="64BA30F6"/>
    <w:rsid w:val="64BD0615"/>
    <w:rsid w:val="64DC00B7"/>
    <w:rsid w:val="64E23953"/>
    <w:rsid w:val="64ED6639"/>
    <w:rsid w:val="64EE0B37"/>
    <w:rsid w:val="64FF6124"/>
    <w:rsid w:val="650755D0"/>
    <w:rsid w:val="650E0E71"/>
    <w:rsid w:val="65146E65"/>
    <w:rsid w:val="65177DE9"/>
    <w:rsid w:val="65453DB0"/>
    <w:rsid w:val="655353B2"/>
    <w:rsid w:val="655F20AD"/>
    <w:rsid w:val="65B975F2"/>
    <w:rsid w:val="65C533DA"/>
    <w:rsid w:val="65C60736"/>
    <w:rsid w:val="65DF7832"/>
    <w:rsid w:val="65EA7DC1"/>
    <w:rsid w:val="65EB5843"/>
    <w:rsid w:val="65F20792"/>
    <w:rsid w:val="65F23134"/>
    <w:rsid w:val="65F47E78"/>
    <w:rsid w:val="66063E6E"/>
    <w:rsid w:val="660B1322"/>
    <w:rsid w:val="66293129"/>
    <w:rsid w:val="662F72F1"/>
    <w:rsid w:val="66377FD0"/>
    <w:rsid w:val="66421AD5"/>
    <w:rsid w:val="66647A8B"/>
    <w:rsid w:val="66672A19"/>
    <w:rsid w:val="66782EA9"/>
    <w:rsid w:val="66880F45"/>
    <w:rsid w:val="66A40875"/>
    <w:rsid w:val="66A42A73"/>
    <w:rsid w:val="66AA0200"/>
    <w:rsid w:val="66B87515"/>
    <w:rsid w:val="66D1263E"/>
    <w:rsid w:val="66E04E56"/>
    <w:rsid w:val="66E910CF"/>
    <w:rsid w:val="6700790A"/>
    <w:rsid w:val="67010066"/>
    <w:rsid w:val="672023BD"/>
    <w:rsid w:val="672305F4"/>
    <w:rsid w:val="673832E7"/>
    <w:rsid w:val="67697339"/>
    <w:rsid w:val="676B34F8"/>
    <w:rsid w:val="677E3A5B"/>
    <w:rsid w:val="67953680"/>
    <w:rsid w:val="679C7788"/>
    <w:rsid w:val="67AA451F"/>
    <w:rsid w:val="67C71B3D"/>
    <w:rsid w:val="67E50E81"/>
    <w:rsid w:val="67E74384"/>
    <w:rsid w:val="67E91E7A"/>
    <w:rsid w:val="67EA0B8C"/>
    <w:rsid w:val="68064677"/>
    <w:rsid w:val="680B7043"/>
    <w:rsid w:val="680C3831"/>
    <w:rsid w:val="680E4244"/>
    <w:rsid w:val="68133F4F"/>
    <w:rsid w:val="681A693D"/>
    <w:rsid w:val="684C637D"/>
    <w:rsid w:val="68523A33"/>
    <w:rsid w:val="6857237B"/>
    <w:rsid w:val="686626D4"/>
    <w:rsid w:val="689D062F"/>
    <w:rsid w:val="689F44B1"/>
    <w:rsid w:val="68B40255"/>
    <w:rsid w:val="68B867D3"/>
    <w:rsid w:val="68BA215E"/>
    <w:rsid w:val="68BE7DE7"/>
    <w:rsid w:val="68C92778"/>
    <w:rsid w:val="68CB7E7A"/>
    <w:rsid w:val="68ED3A9E"/>
    <w:rsid w:val="68EE7135"/>
    <w:rsid w:val="68EF4BB6"/>
    <w:rsid w:val="68F9484C"/>
    <w:rsid w:val="68FC1011"/>
    <w:rsid w:val="6908763F"/>
    <w:rsid w:val="6910451E"/>
    <w:rsid w:val="694C74CE"/>
    <w:rsid w:val="695348DB"/>
    <w:rsid w:val="69692B1A"/>
    <w:rsid w:val="69794A5B"/>
    <w:rsid w:val="69987B6E"/>
    <w:rsid w:val="699E3A55"/>
    <w:rsid w:val="69A27DD9"/>
    <w:rsid w:val="69C8489A"/>
    <w:rsid w:val="69D62B3D"/>
    <w:rsid w:val="69E676CD"/>
    <w:rsid w:val="69EA5D24"/>
    <w:rsid w:val="69F56662"/>
    <w:rsid w:val="69F76CC0"/>
    <w:rsid w:val="69FB3DEF"/>
    <w:rsid w:val="69FC3EFA"/>
    <w:rsid w:val="6A0B4089"/>
    <w:rsid w:val="6A0C6288"/>
    <w:rsid w:val="6A1F142A"/>
    <w:rsid w:val="6A2A10BB"/>
    <w:rsid w:val="6A2D1679"/>
    <w:rsid w:val="6A2E5B11"/>
    <w:rsid w:val="6A3A1355"/>
    <w:rsid w:val="6A470981"/>
    <w:rsid w:val="6A670F20"/>
    <w:rsid w:val="6A694D9B"/>
    <w:rsid w:val="6A696621"/>
    <w:rsid w:val="6A6F632C"/>
    <w:rsid w:val="6A7E0B45"/>
    <w:rsid w:val="6A806C6B"/>
    <w:rsid w:val="6A885221"/>
    <w:rsid w:val="6A9605C9"/>
    <w:rsid w:val="6AA40D85"/>
    <w:rsid w:val="6AC14AB2"/>
    <w:rsid w:val="6AC91EBE"/>
    <w:rsid w:val="6AC95741"/>
    <w:rsid w:val="6ACE11AA"/>
    <w:rsid w:val="6ACE6346"/>
    <w:rsid w:val="6AD92158"/>
    <w:rsid w:val="6AEF2B22"/>
    <w:rsid w:val="6B034323"/>
    <w:rsid w:val="6B152817"/>
    <w:rsid w:val="6B180D44"/>
    <w:rsid w:val="6B27494B"/>
    <w:rsid w:val="6B27568C"/>
    <w:rsid w:val="6B4E079F"/>
    <w:rsid w:val="6B5A722E"/>
    <w:rsid w:val="6B610944"/>
    <w:rsid w:val="6B680BAF"/>
    <w:rsid w:val="6B6C4F4A"/>
    <w:rsid w:val="6B8A4FC9"/>
    <w:rsid w:val="6B8A6D77"/>
    <w:rsid w:val="6B932C0C"/>
    <w:rsid w:val="6B937345"/>
    <w:rsid w:val="6BAC7F32"/>
    <w:rsid w:val="6BBD4C2A"/>
    <w:rsid w:val="6BBF1228"/>
    <w:rsid w:val="6BCA1579"/>
    <w:rsid w:val="6BD126F0"/>
    <w:rsid w:val="6BEC737B"/>
    <w:rsid w:val="6BF5162B"/>
    <w:rsid w:val="6BFA5AB3"/>
    <w:rsid w:val="6C0C1250"/>
    <w:rsid w:val="6C152AE5"/>
    <w:rsid w:val="6C3A7DF6"/>
    <w:rsid w:val="6C460131"/>
    <w:rsid w:val="6C5B6DD1"/>
    <w:rsid w:val="6C61675C"/>
    <w:rsid w:val="6C693B68"/>
    <w:rsid w:val="6C6A4E6D"/>
    <w:rsid w:val="6C7F5731"/>
    <w:rsid w:val="6CB13EDC"/>
    <w:rsid w:val="6CB716E9"/>
    <w:rsid w:val="6CB90E3A"/>
    <w:rsid w:val="6CD27D15"/>
    <w:rsid w:val="6CD66256"/>
    <w:rsid w:val="6CE54BAD"/>
    <w:rsid w:val="6CEF3D02"/>
    <w:rsid w:val="6CF02B48"/>
    <w:rsid w:val="6CF17718"/>
    <w:rsid w:val="6CF215BD"/>
    <w:rsid w:val="6CF57814"/>
    <w:rsid w:val="6D167504"/>
    <w:rsid w:val="6D2C4F2B"/>
    <w:rsid w:val="6D342B2B"/>
    <w:rsid w:val="6D4F0C03"/>
    <w:rsid w:val="6D523A87"/>
    <w:rsid w:val="6D7A2AAC"/>
    <w:rsid w:val="6D7D1C6D"/>
    <w:rsid w:val="6D812437"/>
    <w:rsid w:val="6D8D0DA1"/>
    <w:rsid w:val="6D8F1190"/>
    <w:rsid w:val="6D9C0A62"/>
    <w:rsid w:val="6DB22C06"/>
    <w:rsid w:val="6DC71E97"/>
    <w:rsid w:val="6DDF0252"/>
    <w:rsid w:val="6DFB65DD"/>
    <w:rsid w:val="6DFD3F7F"/>
    <w:rsid w:val="6DFE1A00"/>
    <w:rsid w:val="6E1D2124"/>
    <w:rsid w:val="6E447FE6"/>
    <w:rsid w:val="6E8354DD"/>
    <w:rsid w:val="6E8A4C37"/>
    <w:rsid w:val="6E981BFF"/>
    <w:rsid w:val="6E9F0000"/>
    <w:rsid w:val="6EB10C80"/>
    <w:rsid w:val="6EB87E27"/>
    <w:rsid w:val="6EE2146D"/>
    <w:rsid w:val="6EEC0CAE"/>
    <w:rsid w:val="6EEE4B8C"/>
    <w:rsid w:val="6F050034"/>
    <w:rsid w:val="6F0D763F"/>
    <w:rsid w:val="6F1005C4"/>
    <w:rsid w:val="6F162E82"/>
    <w:rsid w:val="6F2914EE"/>
    <w:rsid w:val="6F2C7EF4"/>
    <w:rsid w:val="6F376285"/>
    <w:rsid w:val="6F3F6524"/>
    <w:rsid w:val="6F407D0F"/>
    <w:rsid w:val="6F663551"/>
    <w:rsid w:val="6F674856"/>
    <w:rsid w:val="6F786CEE"/>
    <w:rsid w:val="6F8040FB"/>
    <w:rsid w:val="6F854425"/>
    <w:rsid w:val="6F893432"/>
    <w:rsid w:val="6F8F4715"/>
    <w:rsid w:val="6F9B278B"/>
    <w:rsid w:val="6FDA1311"/>
    <w:rsid w:val="6FE14660"/>
    <w:rsid w:val="6FF44D17"/>
    <w:rsid w:val="6FFFD95E"/>
    <w:rsid w:val="700F04E7"/>
    <w:rsid w:val="702E2F9A"/>
    <w:rsid w:val="70352925"/>
    <w:rsid w:val="703B647C"/>
    <w:rsid w:val="70550C5B"/>
    <w:rsid w:val="705A0172"/>
    <w:rsid w:val="706C4FFD"/>
    <w:rsid w:val="706D6302"/>
    <w:rsid w:val="707A385E"/>
    <w:rsid w:val="708364BB"/>
    <w:rsid w:val="708E6837"/>
    <w:rsid w:val="70974F48"/>
    <w:rsid w:val="70B51F79"/>
    <w:rsid w:val="70BC5C25"/>
    <w:rsid w:val="70C857AB"/>
    <w:rsid w:val="70D0347E"/>
    <w:rsid w:val="70D10D69"/>
    <w:rsid w:val="70ED2282"/>
    <w:rsid w:val="70EF3E1D"/>
    <w:rsid w:val="71306040"/>
    <w:rsid w:val="715560C8"/>
    <w:rsid w:val="716F71A9"/>
    <w:rsid w:val="717410B3"/>
    <w:rsid w:val="717E19C2"/>
    <w:rsid w:val="719921EC"/>
    <w:rsid w:val="719F7978"/>
    <w:rsid w:val="71A212BE"/>
    <w:rsid w:val="71A55FFE"/>
    <w:rsid w:val="71B0555E"/>
    <w:rsid w:val="71C468B3"/>
    <w:rsid w:val="71CC33DE"/>
    <w:rsid w:val="71E338E5"/>
    <w:rsid w:val="71F95A89"/>
    <w:rsid w:val="71FD448F"/>
    <w:rsid w:val="720555E9"/>
    <w:rsid w:val="722111CB"/>
    <w:rsid w:val="723D20B9"/>
    <w:rsid w:val="724A08F1"/>
    <w:rsid w:val="724F4299"/>
    <w:rsid w:val="72563C24"/>
    <w:rsid w:val="726915C0"/>
    <w:rsid w:val="726B2544"/>
    <w:rsid w:val="727D2CEA"/>
    <w:rsid w:val="728C6DF8"/>
    <w:rsid w:val="728E308E"/>
    <w:rsid w:val="729D2129"/>
    <w:rsid w:val="72C80E4A"/>
    <w:rsid w:val="72DF0A71"/>
    <w:rsid w:val="72E262D5"/>
    <w:rsid w:val="72E70F53"/>
    <w:rsid w:val="72F21DD2"/>
    <w:rsid w:val="72F230BB"/>
    <w:rsid w:val="73000839"/>
    <w:rsid w:val="7304045B"/>
    <w:rsid w:val="730A1149"/>
    <w:rsid w:val="730E1803"/>
    <w:rsid w:val="73106B62"/>
    <w:rsid w:val="73171C8B"/>
    <w:rsid w:val="731C6E4F"/>
    <w:rsid w:val="731D2368"/>
    <w:rsid w:val="73686A48"/>
    <w:rsid w:val="737230F7"/>
    <w:rsid w:val="73761E19"/>
    <w:rsid w:val="73795FF2"/>
    <w:rsid w:val="738C3CA1"/>
    <w:rsid w:val="739E0A22"/>
    <w:rsid w:val="73B10648"/>
    <w:rsid w:val="73C46FA3"/>
    <w:rsid w:val="73C70602"/>
    <w:rsid w:val="73CA1587"/>
    <w:rsid w:val="73DB035D"/>
    <w:rsid w:val="73FD72CB"/>
    <w:rsid w:val="73FF32F7"/>
    <w:rsid w:val="74034BE4"/>
    <w:rsid w:val="74080444"/>
    <w:rsid w:val="74213FF1"/>
    <w:rsid w:val="74361CD0"/>
    <w:rsid w:val="74416C47"/>
    <w:rsid w:val="7463285B"/>
    <w:rsid w:val="74666E87"/>
    <w:rsid w:val="74793BE8"/>
    <w:rsid w:val="74AC5FB0"/>
    <w:rsid w:val="74BD7896"/>
    <w:rsid w:val="74C35F1C"/>
    <w:rsid w:val="74D54F3C"/>
    <w:rsid w:val="74DC48C7"/>
    <w:rsid w:val="74F80974"/>
    <w:rsid w:val="750B0F29"/>
    <w:rsid w:val="752949C6"/>
    <w:rsid w:val="752D33CD"/>
    <w:rsid w:val="75336768"/>
    <w:rsid w:val="753C2362"/>
    <w:rsid w:val="754504E2"/>
    <w:rsid w:val="755425CC"/>
    <w:rsid w:val="75627117"/>
    <w:rsid w:val="75673072"/>
    <w:rsid w:val="75702BBC"/>
    <w:rsid w:val="758B0767"/>
    <w:rsid w:val="75926D85"/>
    <w:rsid w:val="759926FC"/>
    <w:rsid w:val="75C46DC3"/>
    <w:rsid w:val="75FD0222"/>
    <w:rsid w:val="760969FB"/>
    <w:rsid w:val="761852D5"/>
    <w:rsid w:val="76396C1E"/>
    <w:rsid w:val="763B364D"/>
    <w:rsid w:val="76400FDD"/>
    <w:rsid w:val="7649701C"/>
    <w:rsid w:val="764A0321"/>
    <w:rsid w:val="76504891"/>
    <w:rsid w:val="76564134"/>
    <w:rsid w:val="765A05BC"/>
    <w:rsid w:val="7684397E"/>
    <w:rsid w:val="768534B3"/>
    <w:rsid w:val="768F7791"/>
    <w:rsid w:val="769C48A8"/>
    <w:rsid w:val="76A16BE2"/>
    <w:rsid w:val="76AB383E"/>
    <w:rsid w:val="76AD6D41"/>
    <w:rsid w:val="76B55C2D"/>
    <w:rsid w:val="76BB3AD8"/>
    <w:rsid w:val="76C96671"/>
    <w:rsid w:val="76EF302D"/>
    <w:rsid w:val="76FA2174"/>
    <w:rsid w:val="7705602E"/>
    <w:rsid w:val="77185B7F"/>
    <w:rsid w:val="77230004"/>
    <w:rsid w:val="77281E9E"/>
    <w:rsid w:val="77345D20"/>
    <w:rsid w:val="77556255"/>
    <w:rsid w:val="775D6EE5"/>
    <w:rsid w:val="77792F92"/>
    <w:rsid w:val="777D2475"/>
    <w:rsid w:val="77904DB5"/>
    <w:rsid w:val="77A15B74"/>
    <w:rsid w:val="77AA0898"/>
    <w:rsid w:val="77B519B5"/>
    <w:rsid w:val="77BD4980"/>
    <w:rsid w:val="77C51D8C"/>
    <w:rsid w:val="77CA6C13"/>
    <w:rsid w:val="77E86AC9"/>
    <w:rsid w:val="77EF0E28"/>
    <w:rsid w:val="77FC65B3"/>
    <w:rsid w:val="77FE0C6C"/>
    <w:rsid w:val="780627F5"/>
    <w:rsid w:val="78104AA8"/>
    <w:rsid w:val="783720CB"/>
    <w:rsid w:val="78405B2D"/>
    <w:rsid w:val="78426C1C"/>
    <w:rsid w:val="78461060"/>
    <w:rsid w:val="78476634"/>
    <w:rsid w:val="785B3584"/>
    <w:rsid w:val="788E239D"/>
    <w:rsid w:val="7890275A"/>
    <w:rsid w:val="78904407"/>
    <w:rsid w:val="78A413FA"/>
    <w:rsid w:val="78A75C02"/>
    <w:rsid w:val="78BA6E21"/>
    <w:rsid w:val="78C63250"/>
    <w:rsid w:val="78EE0CC9"/>
    <w:rsid w:val="78FD40FE"/>
    <w:rsid w:val="79091BCB"/>
    <w:rsid w:val="790A315A"/>
    <w:rsid w:val="790B5926"/>
    <w:rsid w:val="790D55A6"/>
    <w:rsid w:val="791E10C4"/>
    <w:rsid w:val="791E4907"/>
    <w:rsid w:val="7921205A"/>
    <w:rsid w:val="792F5B3E"/>
    <w:rsid w:val="794318A0"/>
    <w:rsid w:val="79435A80"/>
    <w:rsid w:val="79447980"/>
    <w:rsid w:val="7955121E"/>
    <w:rsid w:val="7955532A"/>
    <w:rsid w:val="795617CC"/>
    <w:rsid w:val="7968023E"/>
    <w:rsid w:val="797C23F5"/>
    <w:rsid w:val="797D77E5"/>
    <w:rsid w:val="798F487B"/>
    <w:rsid w:val="79BF0649"/>
    <w:rsid w:val="79D030E6"/>
    <w:rsid w:val="79D31AEC"/>
    <w:rsid w:val="79D95FA0"/>
    <w:rsid w:val="79DA62F1"/>
    <w:rsid w:val="79E740F1"/>
    <w:rsid w:val="79F42021"/>
    <w:rsid w:val="79F76A42"/>
    <w:rsid w:val="7A003D09"/>
    <w:rsid w:val="7A0D4354"/>
    <w:rsid w:val="7A280B2F"/>
    <w:rsid w:val="7A2A5D7E"/>
    <w:rsid w:val="7A326F58"/>
    <w:rsid w:val="7A373D8F"/>
    <w:rsid w:val="7A6B1472"/>
    <w:rsid w:val="7A812F09"/>
    <w:rsid w:val="7AA67387"/>
    <w:rsid w:val="7ABC786B"/>
    <w:rsid w:val="7AC06271"/>
    <w:rsid w:val="7AC35E02"/>
    <w:rsid w:val="7ACC4282"/>
    <w:rsid w:val="7AF83CFD"/>
    <w:rsid w:val="7B0D6371"/>
    <w:rsid w:val="7B0E3521"/>
    <w:rsid w:val="7B294867"/>
    <w:rsid w:val="7B2B7B1F"/>
    <w:rsid w:val="7B365EB0"/>
    <w:rsid w:val="7B412AB0"/>
    <w:rsid w:val="7B5D103C"/>
    <w:rsid w:val="7B741218"/>
    <w:rsid w:val="7B835FAF"/>
    <w:rsid w:val="7B866F34"/>
    <w:rsid w:val="7B9207C8"/>
    <w:rsid w:val="7B9B74D6"/>
    <w:rsid w:val="7BB622D4"/>
    <w:rsid w:val="7BC4009E"/>
    <w:rsid w:val="7BD75A22"/>
    <w:rsid w:val="7BE72BDA"/>
    <w:rsid w:val="7BEB7F5D"/>
    <w:rsid w:val="7BFD5C79"/>
    <w:rsid w:val="7C1742A4"/>
    <w:rsid w:val="7C4D0EFB"/>
    <w:rsid w:val="7C5A278F"/>
    <w:rsid w:val="7C6158D2"/>
    <w:rsid w:val="7C640B20"/>
    <w:rsid w:val="7C730889"/>
    <w:rsid w:val="7C7429D4"/>
    <w:rsid w:val="7C99137B"/>
    <w:rsid w:val="7CAB4B18"/>
    <w:rsid w:val="7CB55428"/>
    <w:rsid w:val="7CC279FA"/>
    <w:rsid w:val="7CCF0469"/>
    <w:rsid w:val="7CED61AC"/>
    <w:rsid w:val="7CF46211"/>
    <w:rsid w:val="7D1312C2"/>
    <w:rsid w:val="7D1A4DCC"/>
    <w:rsid w:val="7D2221D8"/>
    <w:rsid w:val="7D3746FC"/>
    <w:rsid w:val="7D3C4514"/>
    <w:rsid w:val="7D626845"/>
    <w:rsid w:val="7D6A3C51"/>
    <w:rsid w:val="7D741FE3"/>
    <w:rsid w:val="7D7A0669"/>
    <w:rsid w:val="7D967F99"/>
    <w:rsid w:val="7DB704CD"/>
    <w:rsid w:val="7DC61607"/>
    <w:rsid w:val="7DD76804"/>
    <w:rsid w:val="7DE21857"/>
    <w:rsid w:val="7DEE3433"/>
    <w:rsid w:val="7DF34AAF"/>
    <w:rsid w:val="7DF63CDF"/>
    <w:rsid w:val="7DFF912C"/>
    <w:rsid w:val="7E0C345B"/>
    <w:rsid w:val="7E1536A4"/>
    <w:rsid w:val="7E1A44FE"/>
    <w:rsid w:val="7E2120FB"/>
    <w:rsid w:val="7E576346"/>
    <w:rsid w:val="7E6C193D"/>
    <w:rsid w:val="7E765088"/>
    <w:rsid w:val="7E7D2D38"/>
    <w:rsid w:val="7E8546F3"/>
    <w:rsid w:val="7E882DA4"/>
    <w:rsid w:val="7E8D2AAF"/>
    <w:rsid w:val="7EA313D0"/>
    <w:rsid w:val="7EA52354"/>
    <w:rsid w:val="7EA65BD8"/>
    <w:rsid w:val="7EAF2C64"/>
    <w:rsid w:val="7ED06A1C"/>
    <w:rsid w:val="7F1E0D19"/>
    <w:rsid w:val="7F330CBF"/>
    <w:rsid w:val="7F3F33E6"/>
    <w:rsid w:val="7F460E2D"/>
    <w:rsid w:val="7F59567B"/>
    <w:rsid w:val="7F652792"/>
    <w:rsid w:val="7F6E5099"/>
    <w:rsid w:val="7F6E5620"/>
    <w:rsid w:val="7F862CC7"/>
    <w:rsid w:val="7F945543"/>
    <w:rsid w:val="7F957A5E"/>
    <w:rsid w:val="7F9C01B4"/>
    <w:rsid w:val="7F9F53FB"/>
    <w:rsid w:val="7FA91A6A"/>
    <w:rsid w:val="7FC7261C"/>
    <w:rsid w:val="7FC76F2D"/>
    <w:rsid w:val="7FD33819"/>
    <w:rsid w:val="7FE72592"/>
    <w:rsid w:val="7FF973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3"/>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32"/>
    <w:qFormat/>
    <w:uiPriority w:val="0"/>
    <w:pPr>
      <w:adjustRightInd w:val="0"/>
      <w:jc w:val="center"/>
      <w:textAlignment w:val="baseline"/>
      <w:outlineLvl w:val="1"/>
    </w:pPr>
    <w:rPr>
      <w:szCs w:val="20"/>
    </w:rPr>
  </w:style>
  <w:style w:type="paragraph" w:styleId="4">
    <w:name w:val="heading 3"/>
    <w:basedOn w:val="5"/>
    <w:next w:val="1"/>
    <w:link w:val="47"/>
    <w:qFormat/>
    <w:uiPriority w:val="9"/>
    <w:pPr>
      <w:spacing w:before="260" w:after="260"/>
      <w:outlineLvl w:val="2"/>
    </w:pPr>
    <w:rPr>
      <w:rFonts w:ascii="宋体" w:hAnsi="宋体" w:eastAsia="宋体"/>
      <w:szCs w:val="32"/>
    </w:rPr>
  </w:style>
  <w:style w:type="paragraph" w:styleId="5">
    <w:name w:val="heading 4"/>
    <w:basedOn w:val="1"/>
    <w:next w:val="1"/>
    <w:link w:val="35"/>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w:basedOn w:val="1"/>
    <w:next w:val="8"/>
    <w:unhideWhenUsed/>
    <w:qFormat/>
    <w:uiPriority w:val="99"/>
    <w:rPr>
      <w:rFonts w:asciiTheme="minorHAnsi" w:hAnsiTheme="minorHAnsi" w:cstheme="minorBidi"/>
      <w:szCs w:val="22"/>
    </w:rPr>
  </w:style>
  <w:style w:type="paragraph" w:styleId="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link w:val="40"/>
    <w:qFormat/>
    <w:uiPriority w:val="0"/>
  </w:style>
  <w:style w:type="paragraph" w:styleId="11">
    <w:name w:val="index 6"/>
    <w:basedOn w:val="1"/>
    <w:next w:val="1"/>
    <w:qFormat/>
    <w:uiPriority w:val="0"/>
    <w:pPr>
      <w:ind w:left="2100"/>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2"/>
    <w:unhideWhenUsed/>
    <w:qFormat/>
    <w:uiPriority w:val="0"/>
    <w:pPr>
      <w:widowControl w:val="0"/>
      <w:jc w:val="both"/>
    </w:pPr>
    <w:rPr>
      <w:rFonts w:ascii="宋体" w:hAnsi="Courier New" w:eastAsia="宋体"/>
      <w:kern w:val="2"/>
      <w:sz w:val="21"/>
      <w:szCs w:val="20"/>
    </w:rPr>
  </w:style>
  <w:style w:type="paragraph" w:styleId="16">
    <w:name w:val="Balloon Text"/>
    <w:basedOn w:val="1"/>
    <w:link w:val="37"/>
    <w:qFormat/>
    <w:uiPriority w:val="0"/>
    <w:rPr>
      <w:sz w:val="18"/>
      <w:szCs w:val="18"/>
    </w:rPr>
  </w:style>
  <w:style w:type="paragraph" w:styleId="17">
    <w:name w:val="footer"/>
    <w:basedOn w:val="1"/>
    <w:link w:val="39"/>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21">
    <w:name w:val="Body Text 2"/>
    <w:basedOn w:val="1"/>
    <w:qFormat/>
    <w:uiPriority w:val="0"/>
    <w:pPr>
      <w:spacing w:line="360" w:lineRule="auto"/>
    </w:pPr>
    <w:rPr>
      <w:sz w:val="24"/>
    </w:rPr>
  </w:style>
  <w:style w:type="paragraph" w:styleId="22">
    <w:name w:val="Normal (Web)"/>
    <w:basedOn w:val="1"/>
    <w:link w:val="34"/>
    <w:qFormat/>
    <w:uiPriority w:val="99"/>
  </w:style>
  <w:style w:type="paragraph" w:styleId="23">
    <w:name w:val="annotation subject"/>
    <w:basedOn w:val="10"/>
    <w:next w:val="10"/>
    <w:link w:val="41"/>
    <w:qFormat/>
    <w:uiPriority w:val="0"/>
    <w:rPr>
      <w:b/>
      <w:bCs/>
    </w:rPr>
  </w:style>
  <w:style w:type="paragraph" w:styleId="24">
    <w:name w:val="Body Text First Indent 2"/>
    <w:basedOn w:val="13"/>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semiHidden/>
    <w:unhideWhenUsed/>
    <w:qFormat/>
    <w:uiPriority w:val="0"/>
    <w:rPr>
      <w:rFonts w:hint="eastAsia" w:ascii="微软雅黑" w:hAnsi="微软雅黑" w:eastAsia="微软雅黑" w:cs="微软雅黑"/>
      <w:color w:val="02396F"/>
      <w:u w:val="single"/>
    </w:rPr>
  </w:style>
  <w:style w:type="character" w:styleId="29">
    <w:name w:val="Hyperlink"/>
    <w:basedOn w:val="27"/>
    <w:semiHidden/>
    <w:unhideWhenUsed/>
    <w:qFormat/>
    <w:uiPriority w:val="0"/>
    <w:rPr>
      <w:rFonts w:hint="eastAsia" w:ascii="微软雅黑" w:hAnsi="微软雅黑" w:eastAsia="微软雅黑" w:cs="微软雅黑"/>
      <w:color w:val="02396F"/>
      <w:u w:val="single"/>
    </w:rPr>
  </w:style>
  <w:style w:type="character" w:styleId="30">
    <w:name w:val="annotation reference"/>
    <w:basedOn w:val="27"/>
    <w:qFormat/>
    <w:uiPriority w:val="0"/>
    <w:rPr>
      <w:sz w:val="21"/>
      <w:szCs w:val="21"/>
    </w:rPr>
  </w:style>
  <w:style w:type="paragraph" w:customStyle="1" w:styleId="31">
    <w:name w:val="表格文字"/>
    <w:basedOn w:val="1"/>
    <w:qFormat/>
    <w:uiPriority w:val="99"/>
    <w:pPr>
      <w:spacing w:before="25" w:after="25"/>
    </w:pPr>
    <w:rPr>
      <w:spacing w:val="10"/>
    </w:rPr>
  </w:style>
  <w:style w:type="character" w:customStyle="1" w:styleId="32">
    <w:name w:val="标题 2 Char"/>
    <w:link w:val="3"/>
    <w:qFormat/>
    <w:uiPriority w:val="0"/>
    <w:rPr>
      <w:rFonts w:ascii="宋体" w:hAnsi="宋体" w:eastAsia="宋体"/>
      <w:b/>
      <w:bCs/>
      <w:sz w:val="24"/>
      <w:lang w:val="en-US" w:eastAsia="zh-CN" w:bidi="ar-SA"/>
    </w:rPr>
  </w:style>
  <w:style w:type="character" w:customStyle="1" w:styleId="33">
    <w:name w:val="标题 1 Char"/>
    <w:link w:val="2"/>
    <w:qFormat/>
    <w:uiPriority w:val="9"/>
    <w:rPr>
      <w:rFonts w:ascii="宋体" w:hAnsi="宋体" w:eastAsia="黑体"/>
      <w:b/>
      <w:bCs/>
      <w:kern w:val="44"/>
      <w:sz w:val="28"/>
      <w:szCs w:val="44"/>
      <w:lang w:val="en-US" w:eastAsia="zh-CN" w:bidi="ar-SA"/>
    </w:rPr>
  </w:style>
  <w:style w:type="character" w:customStyle="1" w:styleId="34">
    <w:name w:val="普通(网站) Char"/>
    <w:link w:val="22"/>
    <w:qFormat/>
    <w:uiPriority w:val="0"/>
    <w:rPr>
      <w:kern w:val="2"/>
      <w:sz w:val="24"/>
      <w:szCs w:val="24"/>
    </w:rPr>
  </w:style>
  <w:style w:type="character" w:customStyle="1" w:styleId="35">
    <w:name w:val="标题 4 Char"/>
    <w:link w:val="5"/>
    <w:qFormat/>
    <w:uiPriority w:val="9"/>
    <w:rPr>
      <w:rFonts w:ascii="Arial" w:hAnsi="Arial" w:eastAsia="黑体"/>
      <w:b/>
      <w:bCs/>
      <w:kern w:val="2"/>
      <w:sz w:val="28"/>
      <w:szCs w:val="28"/>
      <w:lang w:val="en-US" w:eastAsia="zh-CN" w:bidi="ar-SA"/>
    </w:rPr>
  </w:style>
  <w:style w:type="character" w:customStyle="1" w:styleId="36">
    <w:name w:val="标题 3 Char1"/>
    <w:qFormat/>
    <w:uiPriority w:val="9"/>
    <w:rPr>
      <w:rFonts w:ascii="宋体" w:hAnsi="宋体" w:eastAsia="宋体"/>
      <w:b/>
      <w:bCs/>
      <w:kern w:val="2"/>
      <w:sz w:val="28"/>
      <w:szCs w:val="32"/>
      <w:lang w:val="en-US" w:eastAsia="zh-CN" w:bidi="ar-SA"/>
    </w:rPr>
  </w:style>
  <w:style w:type="character" w:customStyle="1" w:styleId="37">
    <w:name w:val="批注框文本 Char"/>
    <w:basedOn w:val="27"/>
    <w:link w:val="16"/>
    <w:qFormat/>
    <w:uiPriority w:val="0"/>
    <w:rPr>
      <w:sz w:val="18"/>
      <w:szCs w:val="18"/>
    </w:rPr>
  </w:style>
  <w:style w:type="character" w:customStyle="1" w:styleId="38">
    <w:name w:val="页眉 Char"/>
    <w:basedOn w:val="27"/>
    <w:link w:val="19"/>
    <w:qFormat/>
    <w:uiPriority w:val="0"/>
    <w:rPr>
      <w:sz w:val="18"/>
      <w:szCs w:val="18"/>
    </w:rPr>
  </w:style>
  <w:style w:type="character" w:customStyle="1" w:styleId="39">
    <w:name w:val="页脚 Char"/>
    <w:basedOn w:val="27"/>
    <w:link w:val="17"/>
    <w:qFormat/>
    <w:uiPriority w:val="0"/>
    <w:rPr>
      <w:sz w:val="18"/>
      <w:szCs w:val="18"/>
    </w:rPr>
  </w:style>
  <w:style w:type="character" w:customStyle="1" w:styleId="40">
    <w:name w:val="批注文字 Char"/>
    <w:basedOn w:val="27"/>
    <w:link w:val="10"/>
    <w:qFormat/>
    <w:uiPriority w:val="0"/>
    <w:rPr>
      <w:sz w:val="24"/>
      <w:szCs w:val="24"/>
    </w:rPr>
  </w:style>
  <w:style w:type="character" w:customStyle="1" w:styleId="41">
    <w:name w:val="批注主题 Char"/>
    <w:basedOn w:val="40"/>
    <w:link w:val="23"/>
    <w:qFormat/>
    <w:uiPriority w:val="0"/>
    <w:rPr>
      <w:b/>
      <w:bCs/>
      <w:sz w:val="24"/>
      <w:szCs w:val="24"/>
    </w:rPr>
  </w:style>
  <w:style w:type="character" w:customStyle="1" w:styleId="42">
    <w:name w:val="纯文本 Char"/>
    <w:basedOn w:val="27"/>
    <w:link w:val="15"/>
    <w:semiHidden/>
    <w:qFormat/>
    <w:uiPriority w:val="99"/>
    <w:rPr>
      <w:rFonts w:ascii="宋体" w:hAnsi="Courier New" w:eastAsia="宋体"/>
      <w:kern w:val="2"/>
      <w:sz w:val="21"/>
    </w:rPr>
  </w:style>
  <w:style w:type="paragraph" w:styleId="43">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4">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5">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6">
    <w:name w:val="NormalCharacter"/>
    <w:semiHidden/>
    <w:qFormat/>
    <w:uiPriority w:val="0"/>
    <w:rPr>
      <w:kern w:val="2"/>
      <w:sz w:val="21"/>
      <w:szCs w:val="24"/>
      <w:lang w:val="en-US" w:eastAsia="zh-CN" w:bidi="ar-SA"/>
    </w:rPr>
  </w:style>
  <w:style w:type="character" w:customStyle="1" w:styleId="47">
    <w:name w:val="标题 3 Char"/>
    <w:link w:val="4"/>
    <w:qFormat/>
    <w:uiPriority w:val="0"/>
    <w:rPr>
      <w:rFonts w:ascii="宋体" w:hAnsi="宋体" w:eastAsia="宋体"/>
      <w:b/>
      <w:kern w:val="2"/>
      <w:sz w:val="28"/>
    </w:rPr>
  </w:style>
  <w:style w:type="paragraph" w:customStyle="1" w:styleId="48">
    <w:name w:val="Default"/>
    <w:next w:val="11"/>
    <w:qFormat/>
    <w:uiPriority w:val="0"/>
    <w:pPr>
      <w:widowControl w:val="0"/>
    </w:pPr>
    <w:rPr>
      <w:rFonts w:ascii="Arial Narrow" w:hAnsi="Arial Narrow" w:eastAsia="宋体" w:cs="Arial Narrow"/>
      <w:color w:val="000000"/>
      <w:kern w:val="2"/>
      <w:sz w:val="24"/>
      <w:lang w:val="en-US" w:eastAsia="zh-CN" w:bidi="ar-SA"/>
    </w:rPr>
  </w:style>
  <w:style w:type="paragraph" w:customStyle="1" w:styleId="49">
    <w:name w:val="题注4"/>
    <w:basedOn w:val="1"/>
    <w:next w:val="9"/>
    <w:qFormat/>
    <w:uiPriority w:val="0"/>
    <w:pPr>
      <w:ind w:left="-132" w:leftChars="-64" w:right="-105" w:rightChars="-50" w:hanging="2"/>
      <w:jc w:val="center"/>
    </w:pPr>
    <w:rPr>
      <w:b/>
      <w:color w:val="FF0000"/>
      <w:szCs w:val="21"/>
      <w:lang w:val="en-GB"/>
    </w:rPr>
  </w:style>
  <w:style w:type="paragraph" w:customStyle="1" w:styleId="50">
    <w:name w:val="*正文"/>
    <w:basedOn w:val="1"/>
    <w:qFormat/>
    <w:uiPriority w:val="0"/>
    <w:pPr>
      <w:spacing w:line="360" w:lineRule="auto"/>
      <w:ind w:firstLine="200" w:firstLineChars="200"/>
    </w:pPr>
    <w:rPr>
      <w:rFonts w:ascii="仿宋_GB2312" w:hAnsi="Calibri"/>
      <w:szCs w:val="28"/>
      <w:lang w:val="zh-CN"/>
    </w:rPr>
  </w:style>
  <w:style w:type="paragraph" w:customStyle="1" w:styleId="51">
    <w:name w:val="二号标题"/>
    <w:basedOn w:val="1"/>
    <w:qFormat/>
    <w:uiPriority w:val="0"/>
    <w:pPr>
      <w:tabs>
        <w:tab w:val="left" w:pos="663"/>
      </w:tabs>
      <w:spacing w:before="200"/>
      <w:outlineLvl w:val="1"/>
    </w:pPr>
    <w:rPr>
      <w:rFonts w:eastAsia="黑体"/>
      <w:b/>
      <w:bCs/>
      <w:sz w:val="28"/>
      <w:szCs w:val="28"/>
    </w:rPr>
  </w:style>
  <w:style w:type="paragraph" w:customStyle="1" w:styleId="52">
    <w:name w:val="王越的表格"/>
    <w:basedOn w:val="1"/>
    <w:qFormat/>
    <w:uiPriority w:val="0"/>
    <w:pPr>
      <w:widowControl w:val="0"/>
    </w:pPr>
    <w:rPr>
      <w:kern w:val="2"/>
    </w:rPr>
  </w:style>
  <w:style w:type="character" w:customStyle="1" w:styleId="53">
    <w:name w:val="qxdate"/>
    <w:basedOn w:val="27"/>
    <w:qFormat/>
    <w:uiPriority w:val="0"/>
    <w:rPr>
      <w:color w:val="333333"/>
      <w:sz w:val="18"/>
      <w:szCs w:val="18"/>
    </w:rPr>
  </w:style>
  <w:style w:type="character" w:customStyle="1" w:styleId="54">
    <w:name w:val="cfdate"/>
    <w:basedOn w:val="27"/>
    <w:qFormat/>
    <w:uiPriority w:val="0"/>
    <w:rPr>
      <w:color w:val="333333"/>
      <w:sz w:val="18"/>
      <w:szCs w:val="18"/>
    </w:rPr>
  </w:style>
  <w:style w:type="character" w:customStyle="1" w:styleId="55">
    <w:name w:val="redfilefwwh"/>
    <w:basedOn w:val="27"/>
    <w:qFormat/>
    <w:uiPriority w:val="0"/>
    <w:rPr>
      <w:color w:val="BA2636"/>
      <w:sz w:val="18"/>
      <w:szCs w:val="18"/>
    </w:rPr>
  </w:style>
  <w:style w:type="character" w:customStyle="1" w:styleId="56">
    <w:name w:val="redfilenumber"/>
    <w:basedOn w:val="27"/>
    <w:qFormat/>
    <w:uiPriority w:val="0"/>
    <w:rPr>
      <w:color w:val="BA2636"/>
      <w:sz w:val="18"/>
      <w:szCs w:val="18"/>
    </w:rPr>
  </w:style>
  <w:style w:type="character" w:customStyle="1" w:styleId="57">
    <w:name w:val="gjfg"/>
    <w:basedOn w:val="27"/>
    <w:qFormat/>
    <w:uiPriority w:val="0"/>
  </w:style>
  <w:style w:type="character" w:customStyle="1" w:styleId="58">
    <w:name w:val="prev"/>
    <w:basedOn w:val="27"/>
    <w:qFormat/>
    <w:uiPriority w:val="0"/>
    <w:rPr>
      <w:rFonts w:ascii="微软雅黑" w:hAnsi="微软雅黑" w:eastAsia="微软雅黑" w:cs="微软雅黑"/>
      <w:sz w:val="21"/>
      <w:szCs w:val="21"/>
    </w:rPr>
  </w:style>
  <w:style w:type="character" w:customStyle="1" w:styleId="59">
    <w:name w:val="next"/>
    <w:basedOn w:val="27"/>
    <w:qFormat/>
    <w:uiPriority w:val="0"/>
    <w:rPr>
      <w:rFonts w:hint="eastAsia" w:ascii="微软雅黑" w:hAnsi="微软雅黑" w:eastAsia="微软雅黑" w:cs="微软雅黑"/>
      <w:sz w:val="21"/>
      <w:szCs w:val="21"/>
    </w:rPr>
  </w:style>
  <w:style w:type="character" w:customStyle="1" w:styleId="60">
    <w:name w:val="next1"/>
    <w:basedOn w:val="27"/>
    <w:qFormat/>
    <w:uiPriority w:val="0"/>
    <w:rPr>
      <w:color w:val="888888"/>
    </w:rPr>
  </w:style>
  <w:style w:type="character" w:customStyle="1" w:styleId="61">
    <w:name w:val="displayarti"/>
    <w:basedOn w:val="27"/>
    <w:qFormat/>
    <w:uiPriority w:val="0"/>
    <w:rPr>
      <w:color w:val="FFFFFF"/>
      <w:shd w:val="clear" w:color="auto" w:fill="A00000"/>
    </w:rPr>
  </w:style>
  <w:style w:type="character" w:customStyle="1" w:styleId="62">
    <w:name w:val="纯文本 字符"/>
    <w:qFormat/>
    <w:uiPriority w:val="0"/>
    <w:rPr>
      <w:rFonts w:ascii="宋体" w:hAnsi="Courier New" w:eastAsia="宋体"/>
      <w:kern w:val="2"/>
      <w:sz w:val="21"/>
      <w:lang w:val="en-US" w:eastAsia="zh-CN" w:bidi="ar-SA"/>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正文"/>
    <w:basedOn w:val="1"/>
    <w:qFormat/>
    <w:uiPriority w:val="0"/>
    <w:pPr>
      <w:tabs>
        <w:tab w:val="left" w:pos="426"/>
      </w:tabs>
      <w:ind w:firstLine="200" w:firstLineChars="200"/>
    </w:pPr>
    <w:rPr>
      <w:rFonts w:ascii="Calibri" w:hAnsi="Calibri" w:cs="Times New Roman"/>
      <w:kern w:val="2"/>
      <w:sz w:val="24"/>
      <w:szCs w:val="20"/>
    </w:rPr>
  </w:style>
  <w:style w:type="paragraph" w:styleId="65">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919</Words>
  <Characters>950</Characters>
  <Lines>127</Lines>
  <Paragraphs>35</Paragraphs>
  <TotalTime>3</TotalTime>
  <ScaleCrop>false</ScaleCrop>
  <LinksUpToDate>false</LinksUpToDate>
  <CharactersWithSpaces>1000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LENOVO</cp:lastModifiedBy>
  <cp:lastPrinted>2024-07-04T03:35:00Z</cp:lastPrinted>
  <dcterms:modified xsi:type="dcterms:W3CDTF">2025-07-01T06:46:34Z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0343B30AFEF84B35BA53F7CC934718EB</vt:lpwstr>
  </property>
  <property fmtid="{D5CDD505-2E9C-101B-9397-08002B2CF9AE}" pid="4" name="KSOTemplateDocerSaveRecord">
    <vt:lpwstr>eyJoZGlkIjoiZWNlMGI2NzFjZDAyMzZkOTE4OTkyMDZmODFlZjcwMWQiLCJ1c2VySWQiOiIyNTA5OTM3OTcifQ==</vt:lpwstr>
  </property>
</Properties>
</file>