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spacing w:before="454" w:beforeAutospacing="0" w:after="454" w:afterAutospacing="0"/>
        <w:ind w:right="454"/>
        <w:jc w:val="both"/>
        <w:outlineLvl w:val="0"/>
        <w:rPr>
          <w:rFonts w:hint="eastAsia"/>
          <w:b/>
          <w:bCs/>
          <w:sz w:val="40"/>
          <w:szCs w:val="40"/>
          <w:lang w:val="en-US" w:eastAsia="zh-CN"/>
        </w:rPr>
      </w:pPr>
      <w:bookmarkStart w:id="0" w:name="_Hlk71456902"/>
      <w:r>
        <w:rPr>
          <w:rFonts w:hint="eastAsia"/>
          <w:b/>
          <w:bCs/>
          <w:sz w:val="40"/>
          <w:szCs w:val="40"/>
          <w:lang w:val="en-US" w:eastAsia="zh-CN"/>
        </w:rPr>
        <w:t xml:space="preserve"> </w:t>
      </w:r>
    </w:p>
    <w:p>
      <w:pPr>
        <w:pStyle w:val="22"/>
        <w:widowControl/>
        <w:spacing w:before="454" w:beforeAutospacing="0" w:after="454" w:afterAutospacing="0"/>
        <w:ind w:right="454"/>
        <w:jc w:val="both"/>
        <w:outlineLvl w:val="0"/>
        <w:rPr>
          <w:rFonts w:hint="default"/>
          <w:b/>
          <w:bCs/>
          <w:sz w:val="40"/>
          <w:szCs w:val="40"/>
          <w:highlight w:val="yellow"/>
          <w:lang w:val="en-US"/>
        </w:rPr>
      </w:pPr>
      <w:r>
        <w:rPr>
          <w:rFonts w:hint="eastAsia"/>
          <w:b/>
          <w:bCs/>
          <w:sz w:val="40"/>
          <w:szCs w:val="40"/>
          <w:lang w:val="en-US" w:eastAsia="zh-CN"/>
        </w:rPr>
        <w:t>深圳市龙岗区耳鼻咽喉医院</w:t>
      </w:r>
      <w:r>
        <w:rPr>
          <w:rFonts w:hint="eastAsia"/>
          <w:b w:val="0"/>
          <w:bCs w:val="0"/>
          <w:sz w:val="40"/>
          <w:szCs w:val="40"/>
          <w:highlight w:val="yellow"/>
          <w:u w:val="single"/>
          <w:lang w:val="en-US" w:eastAsia="zh-CN"/>
        </w:rPr>
        <w:t>（染色机采购项目）</w:t>
      </w:r>
    </w:p>
    <w:p>
      <w:pPr>
        <w:pStyle w:val="22"/>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26"/>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highlight w:val="none"/>
              </w:rPr>
            </w:pPr>
            <w:r>
              <w:rPr>
                <w:rFonts w:hint="eastAsia" w:ascii="宋体" w:hAnsi="宋体" w:cs="宋体"/>
                <w:kern w:val="0"/>
                <w:sz w:val="30"/>
                <w:szCs w:val="30"/>
                <w:highlight w:val="none"/>
                <w:lang w:val="en-US" w:eastAsia="zh-CN" w:bidi="ar"/>
              </w:rPr>
              <w:t xml:space="preserve">       </w:t>
            </w:r>
            <w:r>
              <w:rPr>
                <w:rFonts w:ascii="宋体" w:hAnsi="宋体" w:cs="宋体"/>
                <w:kern w:val="0"/>
                <w:sz w:val="30"/>
                <w:szCs w:val="30"/>
                <w:highlight w:val="none"/>
                <w:lang w:bidi="ar"/>
              </w:rPr>
              <w:t>项目编号：</w:t>
            </w:r>
          </w:p>
        </w:tc>
        <w:tc>
          <w:tcPr>
            <w:tcW w:w="5220" w:type="dxa"/>
            <w:shd w:val="clear" w:color="auto" w:fill="auto"/>
            <w:vAlign w:val="center"/>
          </w:tcPr>
          <w:p>
            <w:pPr>
              <w:widowControl/>
              <w:jc w:val="left"/>
              <w:rPr>
                <w:rFonts w:hint="default" w:eastAsiaTheme="minorEastAsia"/>
                <w:sz w:val="30"/>
                <w:szCs w:val="30"/>
                <w:highlight w:val="yellow"/>
                <w:lang w:val="en-US" w:eastAsia="zh-CN"/>
              </w:rPr>
            </w:pPr>
            <w:r>
              <w:rPr>
                <w:rFonts w:hint="default" w:eastAsiaTheme="minorEastAsia"/>
                <w:sz w:val="30"/>
                <w:szCs w:val="30"/>
                <w:highlight w:val="yellow"/>
                <w:lang w:val="en-US" w:eastAsia="zh-CN"/>
              </w:rPr>
              <w:t>ENT20250607</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left"/>
              <w:rPr>
                <w:rFonts w:hint="default" w:eastAsiaTheme="minorEastAsia"/>
                <w:sz w:val="30"/>
                <w:szCs w:val="30"/>
                <w:highlight w:val="red"/>
                <w:u w:val="single"/>
                <w:lang w:val="en-US" w:eastAsia="zh-CN"/>
              </w:rPr>
            </w:pPr>
            <w:r>
              <w:rPr>
                <w:rFonts w:hint="eastAsia" w:ascii="宋体" w:hAnsi="宋体" w:cs="宋体"/>
                <w:kern w:val="0"/>
                <w:sz w:val="30"/>
                <w:szCs w:val="30"/>
                <w:highlight w:val="none"/>
                <w:u w:val="none"/>
                <w:lang w:val="en-US" w:eastAsia="zh-CN" w:bidi="ar"/>
              </w:rPr>
              <w:t xml:space="preserve">       项目名称：</w:t>
            </w:r>
          </w:p>
        </w:tc>
        <w:tc>
          <w:tcPr>
            <w:tcW w:w="5220" w:type="dxa"/>
            <w:shd w:val="clear" w:color="auto" w:fill="auto"/>
            <w:vAlign w:val="center"/>
          </w:tcPr>
          <w:p>
            <w:pPr>
              <w:widowControl/>
              <w:jc w:val="left"/>
              <w:rPr>
                <w:rFonts w:hint="default" w:eastAsia="宋体"/>
                <w:sz w:val="30"/>
                <w:szCs w:val="30"/>
                <w:highlight w:val="yellow"/>
                <w:u w:val="single"/>
                <w:lang w:val="en-US" w:eastAsia="zh-CN"/>
              </w:rPr>
            </w:pPr>
            <w:r>
              <w:rPr>
                <w:rFonts w:hint="eastAsia"/>
                <w:b w:val="0"/>
                <w:bCs w:val="0"/>
                <w:sz w:val="32"/>
                <w:szCs w:val="32"/>
                <w:highlight w:val="yellow"/>
                <w:u w:val="none"/>
                <w:lang w:val="en-US" w:eastAsia="zh-CN"/>
              </w:rPr>
              <w:t>染色机采购项目</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spacing w:line="580" w:lineRule="exact"/>
        <w:rPr>
          <w:rFonts w:ascii="宋体" w:hAnsi="宋体" w:eastAsia="宋体" w:cs="宋体"/>
          <w:b/>
          <w:bCs/>
          <w:sz w:val="21"/>
          <w:szCs w:val="21"/>
        </w:rPr>
      </w:pPr>
    </w:p>
    <w:p>
      <w:pPr>
        <w:spacing w:line="360" w:lineRule="auto"/>
        <w:ind w:firstLine="1687" w:firstLineChars="800"/>
        <w:rPr>
          <w:rFonts w:ascii="宋体" w:hAnsi="宋体" w:eastAsia="宋体" w:cs="宋体"/>
          <w:b/>
          <w:sz w:val="21"/>
          <w:szCs w:val="21"/>
        </w:rPr>
      </w:pPr>
    </w:p>
    <w:p>
      <w:pPr>
        <w:pStyle w:val="7"/>
        <w:ind w:firstLine="422"/>
        <w:rPr>
          <w:rFonts w:ascii="宋体" w:hAnsi="宋体" w:eastAsia="宋体" w:cs="宋体"/>
          <w:b/>
          <w:sz w:val="21"/>
          <w:szCs w:val="21"/>
        </w:rPr>
      </w:pPr>
    </w:p>
    <w:p>
      <w:pPr>
        <w:pStyle w:val="8"/>
        <w:rPr>
          <w:rFonts w:ascii="宋体" w:hAnsi="宋体" w:eastAsia="宋体" w:cs="宋体"/>
          <w:b/>
          <w:sz w:val="21"/>
          <w:szCs w:val="21"/>
        </w:rPr>
      </w:pPr>
    </w:p>
    <w:p>
      <w:pPr>
        <w:pStyle w:val="23"/>
        <w:rPr>
          <w:rFonts w:ascii="宋体" w:hAnsi="宋体" w:eastAsia="宋体" w:cs="宋体"/>
          <w:sz w:val="21"/>
          <w:szCs w:val="21"/>
        </w:rPr>
      </w:pPr>
    </w:p>
    <w:p>
      <w:pPr>
        <w:rPr>
          <w:rFonts w:ascii="宋体" w:hAnsi="宋体" w:eastAsia="宋体" w:cs="宋体"/>
          <w:b/>
          <w:sz w:val="21"/>
          <w:szCs w:val="21"/>
        </w:rPr>
      </w:pPr>
    </w:p>
    <w:p>
      <w:pPr>
        <w:pStyle w:val="7"/>
        <w:ind w:firstLine="422"/>
        <w:rPr>
          <w:rFonts w:ascii="宋体" w:hAnsi="宋体" w:eastAsia="宋体" w:cs="宋体"/>
          <w:b/>
          <w:sz w:val="21"/>
          <w:szCs w:val="21"/>
        </w:rPr>
      </w:pPr>
    </w:p>
    <w:p>
      <w:pPr>
        <w:pStyle w:val="8"/>
        <w:rPr>
          <w:rFonts w:ascii="宋体" w:hAnsi="宋体" w:eastAsia="宋体" w:cs="宋体"/>
          <w:b/>
          <w:sz w:val="21"/>
          <w:szCs w:val="21"/>
        </w:rPr>
      </w:pPr>
    </w:p>
    <w:p>
      <w:pPr>
        <w:pStyle w:val="23"/>
        <w:rPr>
          <w:rFonts w:ascii="宋体" w:hAnsi="宋体" w:eastAsia="宋体" w:cs="宋体"/>
          <w:sz w:val="21"/>
          <w:szCs w:val="21"/>
        </w:rPr>
      </w:pPr>
    </w:p>
    <w:p>
      <w:pPr>
        <w:rPr>
          <w:rFonts w:ascii="宋体" w:hAnsi="宋体" w:eastAsia="宋体" w:cs="宋体"/>
          <w:b/>
          <w:sz w:val="21"/>
          <w:szCs w:val="21"/>
        </w:rPr>
      </w:pPr>
    </w:p>
    <w:p>
      <w:pPr>
        <w:rPr>
          <w:rFonts w:hint="eastAsia" w:ascii="黑体" w:hAnsi="宋体" w:eastAsia="黑体" w:cs="黑体"/>
          <w:sz w:val="40"/>
          <w:szCs w:val="40"/>
        </w:rPr>
      </w:pPr>
      <w:r>
        <w:rPr>
          <w:rFonts w:hint="eastAsia" w:ascii="黑体" w:hAnsi="宋体" w:eastAsia="黑体" w:cs="黑体"/>
          <w:sz w:val="40"/>
          <w:szCs w:val="40"/>
        </w:rPr>
        <w:br w:type="page"/>
      </w:r>
    </w:p>
    <w:p>
      <w:pPr>
        <w:pStyle w:val="22"/>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pPr>
              <w:widowControl/>
              <w:ind w:firstLine="240" w:firstLineChars="100"/>
              <w:jc w:val="both"/>
              <w:textAlignment w:val="top"/>
              <w:rPr>
                <w:szCs w:val="21"/>
              </w:rPr>
            </w:pPr>
            <w:r>
              <w:rPr>
                <w:rFonts w:ascii="宋体" w:hAnsi="宋体" w:cs="宋体"/>
                <w:kern w:val="0"/>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p>
        </w:tc>
      </w:tr>
    </w:tbl>
    <w:p>
      <w:pPr>
        <w:pStyle w:val="2"/>
        <w:rPr>
          <w:rFonts w:hint="eastAsia" w:ascii="Calibri" w:hAnsi="Calibri" w:eastAsia="宋体"/>
          <w:b/>
          <w:bCs/>
          <w:kern w:val="2"/>
          <w:sz w:val="32"/>
          <w:szCs w:val="40"/>
        </w:rPr>
      </w:pPr>
    </w:p>
    <w:p>
      <w:pPr>
        <w:pStyle w:val="22"/>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6"/>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2"/>
        <w:gridCol w:w="77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hint="eastAsia" w:ascii="宋体" w:hAnsi="宋体" w:eastAsia="宋体" w:cs="宋体"/>
                <w:sz w:val="28"/>
                <w:szCs w:val="28"/>
              </w:rPr>
            </w:pPr>
            <w:r>
              <w:rPr>
                <w:rFonts w:hint="eastAsia" w:ascii="宋体" w:hAnsi="宋体" w:eastAsia="宋体" w:cs="宋体"/>
                <w:kern w:val="0"/>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hint="eastAsia" w:ascii="宋体" w:hAnsi="宋体" w:eastAsia="宋体" w:cs="宋体"/>
                <w:sz w:val="28"/>
                <w:szCs w:val="28"/>
              </w:rPr>
            </w:pPr>
            <w:r>
              <w:rPr>
                <w:rFonts w:hint="eastAsia" w:ascii="宋体" w:hAnsi="宋体" w:eastAsia="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p>
          <w:p>
            <w:pPr>
              <w:widowControl/>
              <w:jc w:val="left"/>
              <w:textAlignment w:val="top"/>
              <w:rPr>
                <w:rFonts w:hint="eastAsia" w:ascii="宋体" w:hAnsi="宋体" w:cs="宋体"/>
                <w:kern w:val="0"/>
                <w:szCs w:val="21"/>
                <w:lang w:val="en-US" w:eastAsia="zh-CN"/>
              </w:rPr>
            </w:pPr>
          </w:p>
          <w:p>
            <w:pPr>
              <w:widowControl/>
              <w:jc w:val="left"/>
              <w:textAlignment w:val="top"/>
              <w:rPr>
                <w:rFonts w:hint="eastAsia" w:ascii="宋体" w:hAnsi="宋体" w:cs="宋体"/>
                <w:kern w:val="0"/>
                <w:szCs w:val="21"/>
                <w:lang w:val="en-US" w:eastAsia="zh-CN"/>
              </w:rPr>
            </w:pPr>
          </w:p>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投标报价：</w:t>
            </w:r>
          </w:p>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（1）分项报价或投标总价不得高于相应预算金额（或设定的预算金额下的最高限价）；</w:t>
            </w:r>
          </w:p>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（3）投标报价有缺漏项目,或者对招标文件规定的项目需求内容或者需求数量进行修改，评审委员会判定投标响应不满足采购需求；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未按招标文件规定要求签署、盖章；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投标人不得对实质性技术与商务的（即标注★号条款）条款产生偏离；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法律、法规、规章、规范性文件规定的其他情形。</w:t>
            </w:r>
          </w:p>
        </w:tc>
      </w:tr>
    </w:tbl>
    <w:p>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eastAsiaTheme="minorEastAsia" w:cstheme="minorEastAsia"/>
          <w:b/>
          <w:bCs/>
          <w:kern w:val="2"/>
          <w:sz w:val="21"/>
          <w:szCs w:val="21"/>
        </w:rPr>
        <w:t>注：</w:t>
      </w:r>
    </w:p>
    <w:p>
      <w:pPr>
        <w:widowControl w:val="0"/>
        <w:tabs>
          <w:tab w:val="left" w:pos="562"/>
          <w:tab w:val="left" w:pos="3372"/>
          <w:tab w:val="left" w:pos="3653"/>
        </w:tabs>
        <w:spacing w:line="360" w:lineRule="auto"/>
        <w:jc w:val="both"/>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lang w:val="en-US" w:eastAsia="zh-CN"/>
        </w:rPr>
        <w:t>投标人必须严格按照《符合性审查表》的评审内容的要求如实提供证明材料并应加盖投标人公章，对缺漏或不符合项将直接导致无效投标。</w:t>
      </w:r>
    </w:p>
    <w:p>
      <w:pPr>
        <w:spacing w:line="360" w:lineRule="auto"/>
        <w:jc w:val="center"/>
        <w:rPr>
          <w:rFonts w:hint="eastAsia" w:asciiTheme="minorEastAsia" w:hAnsiTheme="minorEastAsia" w:eastAsiaTheme="minorEastAsia" w:cstheme="minorEastAsia"/>
          <w:b/>
          <w:sz w:val="24"/>
          <w:szCs w:val="24"/>
        </w:rPr>
      </w:pPr>
    </w:p>
    <w:p>
      <w:pPr>
        <w:spacing w:line="360" w:lineRule="auto"/>
        <w:jc w:val="center"/>
        <w:rPr>
          <w:rFonts w:hint="eastAsia" w:asciiTheme="minorEastAsia" w:hAnsiTheme="minorEastAsia" w:eastAsiaTheme="minorEastAsia" w:cstheme="minorEastAsia"/>
          <w:b/>
          <w:sz w:val="21"/>
          <w:szCs w:val="21"/>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cs="宋体" w:asciiTheme="minorEastAsia" w:hAnsiTheme="minorEastAsia" w:eastAsiaTheme="minorEastAsia"/>
          <w:bCs/>
          <w:color w:val="333333"/>
          <w:kern w:val="0"/>
          <w:sz w:val="24"/>
          <w:szCs w:val="24"/>
          <w:shd w:val="clear" w:color="auto" w:fill="FFFFFF"/>
          <w:lang w:val="en-US" w:eastAsia="zh-CN" w:bidi="ar-SA"/>
        </w:rPr>
      </w:pPr>
    </w:p>
    <w:p>
      <w:pPr>
        <w:pStyle w:val="2"/>
        <w:tabs>
          <w:tab w:val="left" w:pos="426"/>
        </w:tabs>
        <w:rPr>
          <w:rFonts w:hint="eastAsia"/>
          <w:lang w:val="en-US" w:eastAsia="zh-CN"/>
        </w:rPr>
      </w:pPr>
    </w:p>
    <w:p>
      <w:pPr>
        <w:keepNext w:val="0"/>
        <w:keepLines w:val="0"/>
        <w:pageBreakBefore w:val="0"/>
        <w:widowControl/>
        <w:numPr>
          <w:ilvl w:val="0"/>
          <w:numId w:val="0"/>
        </w:numPr>
        <w:shd w:val="clear" w:color="auto" w:fill="FFFFFF"/>
        <w:tabs>
          <w:tab w:val="left" w:pos="426"/>
        </w:tabs>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bCs/>
          <w:color w:val="333333"/>
          <w:sz w:val="24"/>
          <w:shd w:val="clear" w:color="auto" w:fill="FFFFFF"/>
          <w:lang w:val="en-US" w:eastAsia="zh-CN"/>
        </w:rPr>
      </w:pPr>
    </w:p>
    <w:p>
      <w:pPr>
        <w:spacing w:line="340" w:lineRule="exact"/>
        <w:jc w:val="both"/>
        <w:rPr>
          <w:rFonts w:hint="eastAsia" w:asciiTheme="minorEastAsia" w:hAnsiTheme="minorEastAsia" w:eastAsiaTheme="minorEastAsia" w:cstheme="minorEastAsia"/>
          <w:b/>
          <w:sz w:val="24"/>
          <w:szCs w:val="24"/>
        </w:rPr>
      </w:pPr>
    </w:p>
    <w:p>
      <w:pPr>
        <w:spacing w:line="240" w:lineRule="auto"/>
        <w:jc w:val="center"/>
        <w:rPr>
          <w:rFonts w:hint="eastAsia" w:asciiTheme="minorEastAsia" w:hAnsiTheme="minorEastAsia" w:eastAsiaTheme="minorEastAsia" w:cstheme="minorEastAsia"/>
          <w:b/>
          <w:sz w:val="24"/>
          <w:szCs w:val="24"/>
          <w:lang w:val="en-US" w:eastAsia="zh-CN"/>
        </w:rPr>
      </w:pPr>
    </w:p>
    <w:p>
      <w:pPr>
        <w:spacing w:line="240" w:lineRule="auto"/>
        <w:jc w:val="center"/>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40"/>
          <w:szCs w:val="40"/>
        </w:rPr>
        <w:t>评分信息</w:t>
      </w:r>
    </w:p>
    <w:p>
      <w:pPr>
        <w:spacing w:line="340" w:lineRule="exact"/>
        <w:ind w:firstLine="2409" w:firstLineChars="1000"/>
        <w:rPr>
          <w:rFonts w:hint="eastAsia" w:asciiTheme="minorEastAsia" w:hAnsiTheme="minorEastAsia" w:eastAsiaTheme="minorEastAsia" w:cstheme="minorEastAsia"/>
          <w:b/>
          <w:sz w:val="24"/>
          <w:szCs w:val="24"/>
        </w:rPr>
      </w:pPr>
    </w:p>
    <w:tbl>
      <w:tblPr>
        <w:tblStyle w:val="26"/>
        <w:tblW w:w="9072" w:type="dxa"/>
        <w:jc w:val="center"/>
        <w:tblCellSpacing w:w="0" w:type="dxa"/>
        <w:tblLayout w:type="autofit"/>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一、评标方法：综合评分法</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综合评分法，是指投标文件满足招标文件全部实质性要求，且按照评审因素的量化指标评审得分最高的投标人为中标候选人的评标方法。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价格分计算方法：</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采用低价优先法计算，即满足招标文件要求且投标价格最低的投标报价为评标基准价，其价格分为满分。其他投标人的价格分统一按照下列公式计算：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价格分=(</w:t>
            </w:r>
            <w:r>
              <w:rPr>
                <w:rFonts w:hint="eastAsia" w:asciiTheme="minorEastAsia" w:hAnsiTheme="minorEastAsia" w:eastAsiaTheme="minorEastAsia" w:cstheme="minorEastAsia"/>
                <w:sz w:val="24"/>
                <w:szCs w:val="24"/>
                <w:lang w:val="en-US" w:eastAsia="zh-CN"/>
              </w:rPr>
              <w:t>评标基准价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有效投标报价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权重</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评标总得分＝F1×A1＋F2×A2＋……＋Fn×An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F1、F2……Fn分别为各项评审因素的得分；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A1、A2、……An 分别为各项评审因素所占的权重(A1＋A2＋……＋An＝1)。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评标过程中，去掉报价中的最高报价和最低报价。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此方法适用于货物类、服务类、工程类项目。 </w:t>
            </w:r>
          </w:p>
        </w:tc>
      </w:tr>
    </w:tbl>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二、评分表</w:t>
      </w:r>
    </w:p>
    <w:tbl>
      <w:tblPr>
        <w:tblStyle w:val="26"/>
        <w:tblW w:w="494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445"/>
        <w:gridCol w:w="995"/>
        <w:gridCol w:w="2435"/>
        <w:gridCol w:w="1140"/>
        <w:gridCol w:w="34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bookmarkStart w:id="1" w:name="bt说明"/>
            <w:bookmarkEnd w:id="1"/>
            <w:bookmarkStart w:id="2" w:name="bt本工程承诺书"/>
            <w:bookmarkEnd w:id="2"/>
            <w:bookmarkStart w:id="3" w:name="bt开标一览表"/>
            <w:bookmarkEnd w:id="3"/>
            <w:bookmarkStart w:id="4" w:name="bt其他资料由投标人自定"/>
            <w:bookmarkEnd w:id="4"/>
            <w:bookmarkStart w:id="5" w:name="bt投标报价汇总表"/>
            <w:bookmarkEnd w:id="5"/>
            <w:bookmarkStart w:id="6" w:name="bt合同格式"/>
            <w:bookmarkEnd w:id="6"/>
            <w:bookmarkStart w:id="7" w:name="bt其他资料2"/>
            <w:bookmarkEnd w:id="7"/>
            <w:bookmarkStart w:id="8" w:name="bt商务标投标文件格式"/>
            <w:bookmarkEnd w:id="8"/>
            <w:bookmarkStart w:id="9" w:name="合同格式"/>
            <w:bookmarkEnd w:id="9"/>
            <w:bookmarkStart w:id="10" w:name="bt合同条款及格式"/>
            <w:bookmarkEnd w:id="10"/>
            <w:bookmarkStart w:id="11" w:name="bt合同条款"/>
            <w:bookmarkEnd w:id="11"/>
            <w:bookmarkStart w:id="12" w:name="bt项目管理班子配备情况"/>
            <w:bookmarkEnd w:id="12"/>
            <w:bookmarkStart w:id="13" w:name="bt投标人须知"/>
            <w:bookmarkEnd w:id="13"/>
            <w:bookmarkStart w:id="14" w:name="bt投标文件签署授权委托书"/>
            <w:bookmarkEnd w:id="14"/>
            <w:bookmarkStart w:id="15" w:name="bt技术标投标文件格式"/>
            <w:bookmarkEnd w:id="15"/>
            <w:bookmarkStart w:id="16" w:name="bt投标函"/>
            <w:bookmarkEnd w:id="16"/>
            <w:bookmarkStart w:id="17" w:name="bt投标人情况介绍"/>
            <w:bookmarkEnd w:id="17"/>
            <w:r>
              <w:rPr>
                <w:rFonts w:hint="eastAsia" w:ascii="宋体" w:hAnsi="宋体" w:eastAsia="宋体" w:cs="宋体"/>
                <w:b/>
                <w:bCs/>
                <w:sz w:val="21"/>
                <w:szCs w:val="21"/>
                <w:highlight w:val="none"/>
              </w:rPr>
              <w:t>序号</w:t>
            </w:r>
          </w:p>
        </w:tc>
        <w:tc>
          <w:tcPr>
            <w:tcW w:w="2710"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2025" w:type="pct"/>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tcBorders>
              <w:top w:val="single" w:color="000000" w:sz="8" w:space="0"/>
              <w:left w:val="single" w:color="000000" w:sz="8" w:space="0"/>
              <w:bottom w:val="single" w:color="000000" w:sz="8" w:space="0"/>
              <w:right w:val="single" w:color="000000" w:sz="8" w:space="0"/>
            </w:tcBorders>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w:t>
            </w:r>
          </w:p>
        </w:tc>
        <w:tc>
          <w:tcPr>
            <w:tcW w:w="2710" w:type="pct"/>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价格</w:t>
            </w:r>
          </w:p>
        </w:tc>
        <w:tc>
          <w:tcPr>
            <w:tcW w:w="2025" w:type="pct"/>
            <w:tcBorders>
              <w:top w:val="single" w:color="000000" w:sz="8" w:space="0"/>
              <w:left w:val="single" w:color="000000" w:sz="8" w:space="0"/>
              <w:bottom w:val="single" w:color="000000" w:sz="8" w:space="0"/>
              <w:right w:val="single" w:color="000000" w:sz="8" w:space="0"/>
            </w:tcBorders>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5" w:hRule="atLeast"/>
          <w:jc w:val="center"/>
        </w:trPr>
        <w:tc>
          <w:tcPr>
            <w:tcW w:w="264" w:type="pct"/>
            <w:vMerge w:val="restart"/>
            <w:tcBorders>
              <w:top w:val="single" w:color="000000" w:sz="8" w:space="0"/>
              <w:left w:val="single" w:color="000000" w:sz="8" w:space="0"/>
              <w:right w:val="single" w:color="000000" w:sz="8" w:space="0"/>
            </w:tcBorders>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2</w:t>
            </w:r>
          </w:p>
        </w:tc>
        <w:tc>
          <w:tcPr>
            <w:tcW w:w="2710" w:type="pct"/>
            <w:gridSpan w:val="3"/>
            <w:tcBorders>
              <w:top w:val="single" w:color="000000" w:sz="8" w:space="0"/>
              <w:left w:val="single" w:color="000000" w:sz="8" w:space="0"/>
              <w:bottom w:val="single" w:color="000000" w:sz="8" w:space="0"/>
              <w:right w:val="single" w:color="000000" w:sz="8" w:space="0"/>
            </w:tcBorders>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技术部分</w:t>
            </w:r>
          </w:p>
        </w:tc>
        <w:tc>
          <w:tcPr>
            <w:tcW w:w="2025" w:type="pct"/>
            <w:tcBorders>
              <w:top w:val="single" w:color="000000" w:sz="8" w:space="0"/>
              <w:left w:val="single" w:color="000000" w:sz="8" w:space="0"/>
              <w:bottom w:val="single" w:color="000000" w:sz="8" w:space="0"/>
              <w:right w:val="single" w:color="000000" w:sz="8" w:space="0"/>
            </w:tcBorders>
          </w:tcPr>
          <w:p>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yellow"/>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continue"/>
            <w:tcBorders>
              <w:left w:val="single" w:color="000000" w:sz="8" w:space="0"/>
              <w:right w:val="single" w:color="000000" w:sz="8" w:space="0"/>
            </w:tcBorders>
            <w:shd w:val="clear" w:color="auto" w:fill="E6EFFA"/>
            <w:vAlign w:val="center"/>
          </w:tcPr>
          <w:p>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590"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444"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76"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2025"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continue"/>
            <w:tcBorders>
              <w:left w:val="single" w:color="000000" w:sz="8" w:space="0"/>
              <w:right w:val="single" w:color="000000" w:sz="8" w:space="0"/>
            </w:tcBorders>
            <w:vAlign w:val="center"/>
          </w:tcPr>
          <w:p>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590"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仿宋"/>
                <w:szCs w:val="21"/>
                <w:lang w:val="en-US" w:eastAsia="zh-CN"/>
              </w:rPr>
            </w:pPr>
            <w:r>
              <w:rPr>
                <w:rFonts w:hint="eastAsia" w:ascii="宋体" w:hAnsi="宋体" w:cs="仿宋"/>
                <w:szCs w:val="21"/>
                <w:lang w:val="en-US" w:eastAsia="zh-CN"/>
              </w:rPr>
              <w:t>1</w:t>
            </w:r>
          </w:p>
        </w:tc>
        <w:tc>
          <w:tcPr>
            <w:tcW w:w="1444"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仿宋"/>
                <w:szCs w:val="21"/>
                <w:lang w:val="en-US" w:eastAsia="zh-CN"/>
              </w:rPr>
            </w:pPr>
            <w:r>
              <w:rPr>
                <w:rFonts w:hint="eastAsia" w:ascii="宋体" w:hAnsi="宋体" w:cs="仿宋"/>
                <w:szCs w:val="21"/>
                <w:lang w:val="en-US" w:eastAsia="zh-CN"/>
              </w:rPr>
              <w:t>技术参数偏离表</w:t>
            </w:r>
          </w:p>
        </w:tc>
        <w:tc>
          <w:tcPr>
            <w:tcW w:w="676"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
                <w:szCs w:val="21"/>
                <w:lang w:val="en-US" w:eastAsia="zh-CN"/>
              </w:rPr>
            </w:pPr>
            <w:r>
              <w:rPr>
                <w:rFonts w:hint="eastAsia" w:ascii="宋体" w:hAnsi="宋体" w:cs="仿宋"/>
                <w:szCs w:val="21"/>
                <w:highlight w:val="yellow"/>
                <w:lang w:val="en-US" w:eastAsia="zh-CN"/>
              </w:rPr>
              <w:t>50</w:t>
            </w:r>
          </w:p>
        </w:tc>
        <w:tc>
          <w:tcPr>
            <w:tcW w:w="2025"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仿宋"/>
                <w:b/>
                <w:bCs/>
                <w:szCs w:val="21"/>
                <w:lang w:val="en-US" w:eastAsia="zh-CN"/>
              </w:rPr>
            </w:pPr>
            <w:r>
              <w:rPr>
                <w:rFonts w:hint="eastAsia" w:ascii="宋体" w:hAnsi="宋体" w:cs="仿宋"/>
                <w:b/>
                <w:bCs/>
                <w:szCs w:val="21"/>
                <w:lang w:val="en-US" w:eastAsia="zh-CN"/>
              </w:rPr>
              <w:t>（一）评审内容：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仿宋"/>
                <w:szCs w:val="21"/>
                <w:highlight w:val="none"/>
              </w:rPr>
            </w:pPr>
            <w:r>
              <w:rPr>
                <w:rFonts w:hint="eastAsia" w:ascii="宋体" w:hAnsi="宋体" w:cs="仿宋"/>
                <w:szCs w:val="21"/>
                <w:highlight w:val="none"/>
              </w:rPr>
              <w:t>投标人应如实填写《技术规格偏离表》，各项非实质性技术参数指标及要求全部满足的得</w:t>
            </w:r>
            <w:r>
              <w:rPr>
                <w:rFonts w:hint="eastAsia" w:ascii="宋体" w:hAnsi="宋体" w:cs="仿宋"/>
                <w:szCs w:val="21"/>
                <w:highlight w:val="yellow"/>
                <w:lang w:val="en-US" w:eastAsia="zh-CN"/>
              </w:rPr>
              <w:t>50</w:t>
            </w:r>
            <w:r>
              <w:rPr>
                <w:rFonts w:hint="eastAsia" w:ascii="宋体" w:hAnsi="宋体" w:cs="仿宋"/>
                <w:szCs w:val="21"/>
                <w:highlight w:val="none"/>
              </w:rPr>
              <w:t>分；其中“▲”参数为重要指标，每负偏离一项扣</w:t>
            </w:r>
            <w:r>
              <w:rPr>
                <w:rFonts w:hint="eastAsia" w:ascii="宋体" w:hAnsi="宋体" w:cs="仿宋"/>
                <w:szCs w:val="21"/>
                <w:highlight w:val="yellow"/>
                <w:lang w:val="en-US" w:eastAsia="zh-CN"/>
              </w:rPr>
              <w:t>6</w:t>
            </w:r>
            <w:r>
              <w:rPr>
                <w:rFonts w:hint="eastAsia" w:ascii="宋体" w:hAnsi="宋体" w:cs="仿宋"/>
                <w:szCs w:val="21"/>
                <w:highlight w:val="none"/>
              </w:rPr>
              <w:t>分；其余指标每负偏离一项扣</w:t>
            </w:r>
            <w:r>
              <w:rPr>
                <w:rFonts w:hint="eastAsia" w:ascii="宋体" w:hAnsi="宋体" w:cs="仿宋"/>
                <w:szCs w:val="21"/>
                <w:highlight w:val="none"/>
                <w:lang w:val="en-US" w:eastAsia="zh-CN"/>
              </w:rPr>
              <w:t>1.25</w:t>
            </w:r>
            <w:r>
              <w:rPr>
                <w:rFonts w:hint="eastAsia" w:ascii="宋体" w:hAnsi="宋体" w:cs="仿宋"/>
                <w:szCs w:val="21"/>
                <w:highlight w:val="none"/>
              </w:rPr>
              <w:t>分，</w:t>
            </w:r>
            <w:r>
              <w:rPr>
                <w:rFonts w:hint="eastAsia" w:ascii="宋体" w:hAnsi="宋体"/>
                <w:bCs/>
                <w:szCs w:val="21"/>
                <w:highlight w:val="none"/>
              </w:rPr>
              <w:t>最低0分</w:t>
            </w:r>
            <w:r>
              <w:rPr>
                <w:rFonts w:hint="eastAsia" w:ascii="宋体" w:hAnsi="宋体" w:cs="仿宋"/>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仿宋"/>
                <w:b/>
                <w:bCs/>
                <w:szCs w:val="21"/>
              </w:rPr>
            </w:pPr>
            <w:r>
              <w:rPr>
                <w:rFonts w:hint="eastAsia" w:ascii="宋体" w:hAnsi="宋体" w:cs="仿宋"/>
                <w:b/>
                <w:bCs/>
                <w:szCs w:val="21"/>
              </w:rPr>
              <w:t>（二）评</w:t>
            </w:r>
            <w:r>
              <w:rPr>
                <w:rFonts w:hint="eastAsia" w:ascii="宋体" w:hAnsi="宋体" w:cs="仿宋"/>
                <w:b/>
                <w:bCs/>
                <w:szCs w:val="21"/>
                <w:lang w:val="en-US" w:eastAsia="zh-CN"/>
              </w:rPr>
              <w:t>审</w:t>
            </w:r>
            <w:r>
              <w:rPr>
                <w:rFonts w:hint="eastAsia" w:ascii="宋体" w:hAnsi="宋体" w:cs="仿宋"/>
                <w:b/>
                <w:bCs/>
                <w:szCs w:val="21"/>
              </w:rPr>
              <w:t>依据：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仿宋"/>
                <w:szCs w:val="21"/>
              </w:rPr>
            </w:pPr>
            <w:r>
              <w:rPr>
                <w:rFonts w:hint="eastAsia" w:ascii="宋体" w:hAnsi="宋体" w:cs="仿宋"/>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pPr>
              <w:keepNext w:val="0"/>
              <w:keepLines w:val="0"/>
              <w:pageBreakBefore w:val="0"/>
              <w:wordWrap w:val="0"/>
              <w:overflowPunct/>
              <w:topLinePunct w:val="0"/>
              <w:bidi w:val="0"/>
              <w:spacing w:line="240" w:lineRule="auto"/>
              <w:ind w:firstLine="0" w:firstLineChars="0"/>
              <w:rPr>
                <w:rFonts w:hint="eastAsia" w:ascii="宋体" w:hAnsi="宋体" w:eastAsia="宋体" w:cs="宋体"/>
                <w:sz w:val="21"/>
                <w:szCs w:val="21"/>
                <w:highlight w:val="none"/>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restart"/>
            <w:tcBorders>
              <w:top w:val="single" w:color="000000" w:sz="8" w:space="0"/>
              <w:left w:val="single" w:color="000000" w:sz="8" w:space="0"/>
              <w:right w:val="single" w:color="000000" w:sz="8" w:space="0"/>
            </w:tcBorders>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3</w:t>
            </w:r>
          </w:p>
        </w:tc>
        <w:tc>
          <w:tcPr>
            <w:tcW w:w="2710" w:type="pct"/>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综合实力部分</w:t>
            </w:r>
          </w:p>
        </w:tc>
        <w:tc>
          <w:tcPr>
            <w:tcW w:w="2025"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continue"/>
            <w:tcBorders>
              <w:left w:val="single" w:color="000000" w:sz="8" w:space="0"/>
              <w:right w:val="single" w:color="000000" w:sz="8" w:space="0"/>
            </w:tcBorders>
            <w:shd w:val="clear" w:color="auto" w:fill="E6EFFA"/>
            <w:vAlign w:val="center"/>
          </w:tcPr>
          <w:p>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590"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444"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76"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2025"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continue"/>
            <w:tcBorders>
              <w:left w:val="single" w:color="000000" w:sz="8" w:space="0"/>
              <w:right w:val="single" w:color="000000" w:sz="8" w:space="0"/>
            </w:tcBorders>
            <w:vAlign w:val="center"/>
          </w:tcPr>
          <w:p>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590"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
                <w:szCs w:val="21"/>
                <w:lang w:val="en-US" w:eastAsia="zh-CN"/>
              </w:rPr>
            </w:pPr>
            <w:r>
              <w:rPr>
                <w:rFonts w:hint="eastAsia" w:ascii="宋体" w:hAnsi="宋体" w:cs="仿宋"/>
                <w:szCs w:val="21"/>
                <w:lang w:val="en-US" w:eastAsia="zh-CN"/>
              </w:rPr>
              <w:t>1</w:t>
            </w:r>
          </w:p>
        </w:tc>
        <w:tc>
          <w:tcPr>
            <w:tcW w:w="1444"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仿宋"/>
                <w:szCs w:val="21"/>
                <w:lang w:val="en-US" w:eastAsia="zh-CN"/>
              </w:rPr>
            </w:pPr>
            <w:r>
              <w:rPr>
                <w:rFonts w:hint="eastAsia" w:ascii="宋体" w:hAnsi="宋体" w:cs="宋体"/>
                <w:color w:val="000000"/>
                <w:szCs w:val="21"/>
              </w:rPr>
              <w:t>产品的保障措施</w:t>
            </w:r>
          </w:p>
        </w:tc>
        <w:tc>
          <w:tcPr>
            <w:tcW w:w="676"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
                <w:szCs w:val="21"/>
                <w:lang w:val="en-US" w:eastAsia="zh-CN"/>
              </w:rPr>
            </w:pPr>
            <w:r>
              <w:rPr>
                <w:rFonts w:hint="eastAsia" w:ascii="宋体" w:hAnsi="宋体" w:cs="仿宋"/>
                <w:szCs w:val="21"/>
                <w:lang w:val="en-US" w:eastAsia="zh-CN"/>
              </w:rPr>
              <w:t>15</w:t>
            </w:r>
          </w:p>
        </w:tc>
        <w:tc>
          <w:tcPr>
            <w:tcW w:w="2025" w:type="pct"/>
            <w:tcBorders>
              <w:top w:val="single" w:color="000000" w:sz="8" w:space="0"/>
              <w:left w:val="single" w:color="000000" w:sz="8" w:space="0"/>
              <w:bottom w:val="single" w:color="000000" w:sz="8" w:space="0"/>
              <w:right w:val="single" w:color="000000" w:sz="8" w:space="0"/>
            </w:tcBorders>
            <w:vAlign w:val="center"/>
          </w:tcPr>
          <w:p>
            <w:pPr>
              <w:wordWrap w:val="0"/>
              <w:rPr>
                <w:rFonts w:ascii="宋体" w:hAnsi="宋体" w:cs="宋体"/>
                <w:color w:val="000000"/>
                <w:szCs w:val="21"/>
              </w:rPr>
            </w:pPr>
            <w:r>
              <w:rPr>
                <w:rFonts w:hint="eastAsia" w:ascii="宋体" w:hAnsi="宋体" w:cs="宋体"/>
                <w:b/>
                <w:bCs/>
                <w:color w:val="000000"/>
                <w:szCs w:val="21"/>
              </w:rPr>
              <w:t>（一）评审内容：</w:t>
            </w:r>
          </w:p>
          <w:p>
            <w:pPr>
              <w:wordWrap w:val="0"/>
              <w:rPr>
                <w:rFonts w:ascii="宋体" w:hAnsi="宋体" w:cs="宋体"/>
                <w:color w:val="000000"/>
                <w:szCs w:val="21"/>
              </w:rPr>
            </w:pPr>
            <w:r>
              <w:rPr>
                <w:rFonts w:hint="eastAsia" w:ascii="宋体" w:hAnsi="宋体" w:cs="宋体"/>
                <w:color w:val="000000"/>
                <w:szCs w:val="21"/>
              </w:rPr>
              <w:t>根据投标人提供的产品的保障措施进行评审，保障措施内容如下：</w:t>
            </w:r>
          </w:p>
          <w:p>
            <w:pPr>
              <w:wordWrap w:val="0"/>
              <w:rPr>
                <w:rFonts w:ascii="宋体" w:hAnsi="宋体" w:cs="宋体"/>
                <w:color w:val="000000"/>
                <w:szCs w:val="21"/>
              </w:rPr>
            </w:pPr>
            <w:r>
              <w:rPr>
                <w:rFonts w:hint="eastAsia" w:ascii="宋体" w:hAnsi="宋体" w:cs="宋体"/>
                <w:color w:val="000000"/>
                <w:szCs w:val="21"/>
              </w:rPr>
              <w:t>1.调试方案；</w:t>
            </w:r>
          </w:p>
          <w:p>
            <w:pPr>
              <w:wordWrap w:val="0"/>
              <w:rPr>
                <w:rFonts w:ascii="宋体" w:hAnsi="宋体" w:cs="宋体"/>
                <w:color w:val="000000"/>
                <w:szCs w:val="21"/>
              </w:rPr>
            </w:pPr>
            <w:r>
              <w:rPr>
                <w:rFonts w:hint="eastAsia" w:ascii="宋体" w:hAnsi="宋体" w:cs="宋体"/>
                <w:color w:val="000000"/>
                <w:szCs w:val="21"/>
              </w:rPr>
              <w:t>2.售后服务方案；</w:t>
            </w:r>
          </w:p>
          <w:p>
            <w:pPr>
              <w:wordWrap w:val="0"/>
              <w:rPr>
                <w:rFonts w:ascii="宋体" w:hAnsi="宋体" w:cs="宋体"/>
                <w:color w:val="000000"/>
                <w:szCs w:val="21"/>
              </w:rPr>
            </w:pPr>
            <w:r>
              <w:rPr>
                <w:rFonts w:hint="eastAsia" w:ascii="宋体" w:hAnsi="宋体" w:cs="宋体"/>
                <w:color w:val="000000"/>
                <w:szCs w:val="21"/>
              </w:rPr>
              <w:t>3.质量控制措施。</w:t>
            </w:r>
          </w:p>
          <w:p>
            <w:pPr>
              <w:wordWrap w:val="0"/>
              <w:rPr>
                <w:rFonts w:ascii="宋体" w:hAnsi="宋体" w:cs="宋体"/>
                <w:b/>
                <w:bCs/>
                <w:color w:val="000000"/>
                <w:szCs w:val="21"/>
              </w:rPr>
            </w:pPr>
            <w:r>
              <w:rPr>
                <w:rFonts w:hint="eastAsia" w:ascii="宋体" w:hAnsi="宋体" w:cs="宋体"/>
                <w:b/>
                <w:bCs/>
                <w:color w:val="000000"/>
                <w:szCs w:val="21"/>
              </w:rPr>
              <w:t>（二）评审依据：</w:t>
            </w:r>
          </w:p>
          <w:p>
            <w:pPr>
              <w:wordWrap w:val="0"/>
              <w:rPr>
                <w:rFonts w:ascii="宋体" w:hAnsi="宋体" w:cs="宋体"/>
                <w:color w:val="000000"/>
                <w:szCs w:val="21"/>
              </w:rPr>
            </w:pPr>
            <w:r>
              <w:rPr>
                <w:rFonts w:hint="eastAsia" w:ascii="宋体" w:hAnsi="宋体" w:cs="宋体"/>
                <w:color w:val="000000"/>
                <w:szCs w:val="21"/>
              </w:rPr>
              <w:t>1.投标人提供的产品的保障措施每包含以上1点内容的，得1分，最高得3分。</w:t>
            </w:r>
          </w:p>
          <w:p>
            <w:pPr>
              <w:wordWrap w:val="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rPr>
              <w:t>在此基础上，评审委员会根据投标人的具体响应内容进一步评审</w:t>
            </w:r>
            <w:r>
              <w:rPr>
                <w:rFonts w:hint="eastAsia" w:ascii="宋体" w:hAnsi="宋体" w:cs="宋体"/>
                <w:color w:val="000000"/>
                <w:szCs w:val="21"/>
              </w:rPr>
              <w:t>：</w:t>
            </w:r>
          </w:p>
          <w:p>
            <w:pPr>
              <w:wordWrap w:val="0"/>
              <w:rPr>
                <w:rFonts w:ascii="宋体" w:hAnsi="宋体" w:cs="宋体"/>
                <w:color w:val="000000"/>
                <w:szCs w:val="21"/>
              </w:rPr>
            </w:pPr>
            <w:r>
              <w:rPr>
                <w:rFonts w:hint="eastAsia" w:ascii="宋体" w:hAnsi="宋体" w:cs="宋体"/>
                <w:color w:val="000000"/>
                <w:szCs w:val="21"/>
              </w:rPr>
              <w:t>（1）方案内容全面具体；</w:t>
            </w:r>
          </w:p>
          <w:p>
            <w:pPr>
              <w:wordWrap w:val="0"/>
              <w:rPr>
                <w:rFonts w:ascii="宋体" w:hAnsi="宋体" w:cs="宋体"/>
                <w:color w:val="000000"/>
                <w:szCs w:val="21"/>
              </w:rPr>
            </w:pPr>
            <w:r>
              <w:rPr>
                <w:rFonts w:hint="eastAsia" w:ascii="宋体" w:hAnsi="宋体" w:cs="宋体"/>
                <w:color w:val="000000"/>
                <w:szCs w:val="21"/>
              </w:rPr>
              <w:t>（2）方案内容完整规范；</w:t>
            </w:r>
          </w:p>
          <w:p>
            <w:pPr>
              <w:wordWrap w:val="0"/>
              <w:rPr>
                <w:rFonts w:ascii="宋体" w:hAnsi="宋体" w:cs="宋体"/>
                <w:color w:val="000000"/>
                <w:szCs w:val="21"/>
              </w:rPr>
            </w:pPr>
            <w:r>
              <w:rPr>
                <w:rFonts w:hint="eastAsia" w:ascii="宋体" w:hAnsi="宋体" w:cs="宋体"/>
                <w:color w:val="000000"/>
                <w:szCs w:val="21"/>
              </w:rPr>
              <w:t>（3）方案内容详实清晰；</w:t>
            </w:r>
          </w:p>
          <w:p>
            <w:pPr>
              <w:wordWrap w:val="0"/>
              <w:rPr>
                <w:rFonts w:ascii="宋体" w:hAnsi="宋体" w:cs="宋体"/>
                <w:color w:val="000000"/>
                <w:szCs w:val="21"/>
              </w:rPr>
            </w:pPr>
            <w:r>
              <w:rPr>
                <w:rFonts w:hint="eastAsia" w:ascii="宋体" w:hAnsi="宋体" w:cs="宋体"/>
                <w:color w:val="000000"/>
                <w:szCs w:val="21"/>
              </w:rPr>
              <w:t>（4）方案内容可操作性强；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rPr>
              <w:t>满足以上4项的得12分，满足以上任意3项的9分，满足以上任意2项的得6分，满足以上任意1项的得3分，其他情况不加分。未提供则整项不得分。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restart"/>
            <w:tcBorders>
              <w:top w:val="single" w:color="000000" w:sz="8" w:space="0"/>
              <w:left w:val="single" w:color="000000" w:sz="8" w:space="0"/>
              <w:bottom w:val="single" w:color="000000" w:sz="8" w:space="0"/>
              <w:right w:val="single" w:color="000000" w:sz="8" w:space="0"/>
            </w:tcBorders>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p>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p>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eastAsia="zh-CN"/>
              </w:rPr>
            </w:pPr>
            <w:r>
              <w:rPr>
                <w:rFonts w:hint="eastAsia" w:ascii="宋体" w:hAnsi="宋体" w:eastAsia="宋体" w:cs="宋体"/>
                <w:b/>
                <w:bCs/>
                <w:color w:val="0000FF"/>
                <w:sz w:val="21"/>
                <w:szCs w:val="21"/>
                <w:highlight w:val="none"/>
                <w:lang w:val="en-US" w:eastAsia="zh-CN"/>
              </w:rPr>
              <w:t>4</w:t>
            </w:r>
          </w:p>
        </w:tc>
        <w:tc>
          <w:tcPr>
            <w:tcW w:w="2710" w:type="pct"/>
            <w:gridSpan w:val="3"/>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诚信部分</w:t>
            </w:r>
          </w:p>
        </w:tc>
        <w:tc>
          <w:tcPr>
            <w:tcW w:w="2025" w:type="pct"/>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yellow"/>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590"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444"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76"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2025" w:type="pct"/>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4" w:type="pct"/>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590" w:type="pct"/>
            <w:tcBorders>
              <w:top w:val="single" w:color="000000" w:sz="8" w:space="0"/>
              <w:left w:val="single" w:color="000000" w:sz="8" w:space="0"/>
              <w:bottom w:val="single" w:color="000000" w:sz="8" w:space="0"/>
              <w:right w:val="single" w:color="000000" w:sz="8" w:space="0"/>
            </w:tcBorders>
            <w:vAlign w:val="center"/>
          </w:tcPr>
          <w:p>
            <w:pPr>
              <w:pStyle w:val="44"/>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eastAsia" w:ascii="宋体" w:hAnsi="宋体" w:cs="仿宋" w:eastAsiaTheme="minorEastAsia"/>
                <w:kern w:val="0"/>
                <w:sz w:val="24"/>
                <w:szCs w:val="21"/>
                <w:lang w:val="en-US" w:eastAsia="zh-CN" w:bidi="ar-SA"/>
              </w:rPr>
            </w:pPr>
            <w:r>
              <w:rPr>
                <w:rFonts w:hint="eastAsia" w:ascii="宋体" w:hAnsi="宋体" w:cs="仿宋" w:eastAsiaTheme="minorEastAsia"/>
                <w:kern w:val="0"/>
                <w:sz w:val="24"/>
                <w:szCs w:val="21"/>
                <w:lang w:val="en-US" w:eastAsia="zh-CN" w:bidi="ar-SA"/>
              </w:rPr>
              <w:t>1</w:t>
            </w:r>
          </w:p>
        </w:tc>
        <w:tc>
          <w:tcPr>
            <w:tcW w:w="1444" w:type="pct"/>
            <w:tcBorders>
              <w:top w:val="single" w:color="000000" w:sz="8" w:space="0"/>
              <w:left w:val="single" w:color="000000" w:sz="8" w:space="0"/>
              <w:bottom w:val="single" w:color="000000" w:sz="8" w:space="0"/>
              <w:right w:val="single" w:color="000000" w:sz="8" w:space="0"/>
            </w:tcBorders>
            <w:vAlign w:val="center"/>
          </w:tcPr>
          <w:p>
            <w:pPr>
              <w:pStyle w:val="44"/>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eastAsia" w:ascii="宋体" w:hAnsi="宋体" w:cs="仿宋" w:eastAsiaTheme="minorEastAsia"/>
                <w:kern w:val="0"/>
                <w:sz w:val="24"/>
                <w:szCs w:val="21"/>
                <w:lang w:val="en-US" w:eastAsia="zh-CN" w:bidi="ar-SA"/>
              </w:rPr>
            </w:pPr>
            <w:r>
              <w:rPr>
                <w:rFonts w:hint="eastAsia" w:ascii="宋体" w:hAnsi="宋体" w:cs="仿宋" w:eastAsiaTheme="minorEastAsia"/>
                <w:kern w:val="0"/>
                <w:sz w:val="24"/>
                <w:szCs w:val="21"/>
                <w:lang w:val="en-US" w:eastAsia="zh-CN" w:bidi="ar-SA"/>
              </w:rPr>
              <w:t>诚信情况</w:t>
            </w:r>
          </w:p>
        </w:tc>
        <w:tc>
          <w:tcPr>
            <w:tcW w:w="676" w:type="pct"/>
            <w:tcBorders>
              <w:top w:val="single" w:color="000000" w:sz="8" w:space="0"/>
              <w:left w:val="single" w:color="000000" w:sz="8" w:space="0"/>
              <w:bottom w:val="single" w:color="000000" w:sz="8" w:space="0"/>
              <w:right w:val="single" w:color="000000" w:sz="8" w:space="0"/>
            </w:tcBorders>
            <w:vAlign w:val="center"/>
          </w:tcPr>
          <w:p>
            <w:pPr>
              <w:pStyle w:val="44"/>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eastAsia" w:ascii="宋体" w:hAnsi="宋体" w:cs="仿宋" w:eastAsiaTheme="minorEastAsia"/>
                <w:kern w:val="0"/>
                <w:sz w:val="24"/>
                <w:szCs w:val="21"/>
                <w:lang w:val="en-US" w:eastAsia="zh-CN" w:bidi="ar-SA"/>
              </w:rPr>
            </w:pPr>
            <w:r>
              <w:rPr>
                <w:rFonts w:hint="eastAsia" w:ascii="宋体" w:hAnsi="宋体" w:cs="仿宋" w:eastAsiaTheme="minorEastAsia"/>
                <w:kern w:val="0"/>
                <w:sz w:val="24"/>
                <w:szCs w:val="21"/>
                <w:lang w:val="en-US" w:eastAsia="zh-CN" w:bidi="ar-SA"/>
              </w:rPr>
              <w:t>5</w:t>
            </w:r>
          </w:p>
        </w:tc>
        <w:tc>
          <w:tcPr>
            <w:tcW w:w="2025" w:type="pct"/>
            <w:tcBorders>
              <w:top w:val="single" w:color="000000" w:sz="8" w:space="0"/>
              <w:left w:val="single" w:color="000000" w:sz="8" w:space="0"/>
              <w:bottom w:val="single" w:color="000000" w:sz="8" w:space="0"/>
              <w:right w:val="single" w:color="000000" w:sz="8" w:space="0"/>
            </w:tcBorders>
            <w:vAlign w:val="top"/>
          </w:tcPr>
          <w:p>
            <w:pPr>
              <w:pStyle w:val="44"/>
              <w:keepNext w:val="0"/>
              <w:keepLines w:val="0"/>
              <w:pageBreakBefore w:val="0"/>
              <w:widowControl w:val="0"/>
              <w:kinsoku/>
              <w:wordWrap/>
              <w:overflowPunct/>
              <w:topLinePunct w:val="0"/>
              <w:bidi w:val="0"/>
              <w:adjustRightInd/>
              <w:snapToGrid/>
              <w:spacing w:line="360" w:lineRule="exact"/>
              <w:ind w:left="38" w:leftChars="16" w:firstLine="0" w:firstLineChars="0"/>
              <w:textAlignment w:val="auto"/>
              <w:rPr>
                <w:rFonts w:hint="eastAsia" w:ascii="宋体" w:hAnsi="宋体" w:cs="仿宋" w:eastAsiaTheme="minorEastAsia"/>
                <w:kern w:val="0"/>
                <w:sz w:val="24"/>
                <w:szCs w:val="21"/>
                <w:lang w:val="en-US" w:eastAsia="zh-CN" w:bidi="ar-SA"/>
              </w:rPr>
            </w:pPr>
            <w:r>
              <w:rPr>
                <w:rFonts w:hint="eastAsia" w:ascii="宋体" w:hAnsi="宋体" w:cs="仿宋" w:eastAsiaTheme="minorEastAsia"/>
                <w:kern w:val="0"/>
                <w:sz w:val="24"/>
                <w:szCs w:val="21"/>
                <w:lang w:val="en-US" w:eastAsia="zh-CN" w:bidi="ar-SA"/>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pPr>
              <w:keepNext w:val="0"/>
              <w:keepLines w:val="0"/>
              <w:pageBreakBefore w:val="0"/>
              <w:widowControl/>
              <w:wordWrap w:val="0"/>
              <w:overflowPunct/>
              <w:topLinePunct w:val="0"/>
              <w:bidi w:val="0"/>
              <w:spacing w:line="240" w:lineRule="auto"/>
              <w:ind w:firstLine="0" w:firstLineChars="0"/>
              <w:jc w:val="left"/>
              <w:textAlignment w:val="top"/>
              <w:rPr>
                <w:rFonts w:hint="eastAsia" w:ascii="宋体" w:hAnsi="宋体" w:eastAsia="宋体" w:cs="宋体"/>
                <w:sz w:val="21"/>
                <w:szCs w:val="21"/>
                <w:highlight w:val="none"/>
              </w:rPr>
            </w:pPr>
            <w:r>
              <w:rPr>
                <w:rFonts w:hint="eastAsia" w:ascii="宋体" w:hAnsi="宋体" w:cs="仿宋" w:eastAsiaTheme="minorEastAsia"/>
                <w:kern w:val="0"/>
                <w:sz w:val="24"/>
                <w:szCs w:val="21"/>
                <w:lang w:val="en-US" w:eastAsia="zh-CN" w:bidi="ar-SA"/>
              </w:rPr>
              <w:t>（采购代理机构通过“信用中国”、“中国政府采购网”、“深圳市政府采购监管网”以及市、区财政部门认定的其他渠道查询供应商信用信息，投标人无需提供证明材料。）</w:t>
            </w:r>
          </w:p>
        </w:tc>
      </w:tr>
    </w:tbl>
    <w:p>
      <w:pPr>
        <w:pStyle w:val="20"/>
        <w:numPr>
          <w:ilvl w:val="0"/>
          <w:numId w:val="0"/>
        </w:numPr>
        <w:tabs>
          <w:tab w:val="clear" w:pos="426"/>
        </w:tabs>
        <w:ind w:leftChars="0"/>
        <w:jc w:val="center"/>
        <w:rPr>
          <w:rFonts w:hint="eastAsia"/>
          <w:lang w:val="en-US" w:eastAsia="zh-CN"/>
        </w:rPr>
      </w:pPr>
      <w:bookmarkStart w:id="18" w:name="_Toc265483798"/>
      <w:bookmarkStart w:id="19" w:name="_Toc76544499"/>
      <w:bookmarkStart w:id="20" w:name="_Toc432592813"/>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rPr>
          <w:rFonts w:hint="eastAsia"/>
          <w:lang w:val="en-US" w:eastAsia="zh-CN"/>
        </w:rPr>
      </w:pPr>
    </w:p>
    <w:p>
      <w:pPr>
        <w:pStyle w:val="20"/>
        <w:numPr>
          <w:ilvl w:val="0"/>
          <w:numId w:val="0"/>
        </w:numPr>
        <w:tabs>
          <w:tab w:val="clear" w:pos="426"/>
        </w:tabs>
        <w:ind w:leftChars="0"/>
        <w:jc w:val="center"/>
      </w:pPr>
      <w:r>
        <w:rPr>
          <w:rFonts w:hint="eastAsia"/>
          <w:lang w:val="en-US" w:eastAsia="zh-CN"/>
        </w:rPr>
        <w:t>第一章  招标</w:t>
      </w:r>
      <w:r>
        <w:rPr>
          <w:rFonts w:hint="eastAsia"/>
        </w:rPr>
        <w:t>公告</w:t>
      </w:r>
      <w:bookmarkEnd w:id="18"/>
      <w:bookmarkEnd w:id="19"/>
      <w:bookmarkEnd w:id="20"/>
    </w:p>
    <w:p>
      <w:pPr>
        <w:keepNext w:val="0"/>
        <w:keepLines w:val="0"/>
        <w:pageBreakBefore w:val="0"/>
        <w:widowControl/>
        <w:tabs>
          <w:tab w:val="left" w:pos="426"/>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rPr>
        <w:t>根据《中华人民共和国政府采购法》和《深圳经济特区政府采购条例实施细则》的有关规定，我院拟对以下项目进行</w:t>
      </w:r>
      <w:r>
        <w:rPr>
          <w:rFonts w:hint="eastAsia" w:ascii="宋体" w:hAnsi="宋体" w:eastAsia="宋体" w:cs="宋体"/>
          <w:bCs/>
          <w:color w:val="333333"/>
          <w:sz w:val="24"/>
          <w:szCs w:val="24"/>
          <w:shd w:val="clear" w:color="auto" w:fill="FFFFFF"/>
          <w:lang w:val="en-US" w:eastAsia="zh-CN"/>
        </w:rPr>
        <w:t>院内招标采购</w:t>
      </w:r>
      <w:r>
        <w:rPr>
          <w:rFonts w:hint="eastAsia" w:ascii="宋体" w:hAnsi="宋体" w:eastAsia="宋体" w:cs="宋体"/>
          <w:bCs/>
          <w:color w:val="333333"/>
          <w:sz w:val="24"/>
          <w:szCs w:val="24"/>
          <w:shd w:val="clear" w:color="auto" w:fill="FFFFFF"/>
        </w:rPr>
        <w:t>，欢迎符合条件具有供应能力的供应商或厂家前来报名参加。</w:t>
      </w:r>
    </w:p>
    <w:p>
      <w:pPr>
        <w:pStyle w:val="43"/>
        <w:widowControl w:val="0"/>
        <w:numPr>
          <w:ilvl w:val="0"/>
          <w:numId w:val="0"/>
        </w:numPr>
        <w:shd w:val="clear" w:color="auto" w:fill="auto"/>
        <w:adjustRightInd/>
        <w:snapToGrid/>
        <w:spacing w:line="560" w:lineRule="exact"/>
        <w:ind w:leftChars="200"/>
        <w:rPr>
          <w:rFonts w:hint="eastAsia" w:ascii="宋体" w:hAnsi="宋体" w:eastAsia="宋体" w:cs="宋体"/>
          <w:bCs/>
          <w:color w:val="333333"/>
          <w:sz w:val="24"/>
          <w:szCs w:val="24"/>
          <w:shd w:val="clear" w:color="auto" w:fill="FFFFFF"/>
        </w:rPr>
      </w:pPr>
      <w:r>
        <w:rPr>
          <w:rFonts w:hint="eastAsia" w:ascii="宋体" w:hAnsi="宋体" w:eastAsia="宋体" w:cs="宋体"/>
          <w:bCs/>
          <w:color w:val="333333"/>
          <w:sz w:val="24"/>
          <w:szCs w:val="24"/>
          <w:shd w:val="clear" w:color="auto" w:fill="FFFFFF"/>
          <w:lang w:val="en-US" w:eastAsia="zh-CN"/>
        </w:rPr>
        <w:t>一、</w:t>
      </w:r>
      <w:r>
        <w:rPr>
          <w:rFonts w:hint="eastAsia" w:ascii="宋体" w:hAnsi="宋体" w:eastAsia="宋体" w:cs="宋体"/>
          <w:bCs/>
          <w:color w:val="333333"/>
          <w:sz w:val="24"/>
          <w:szCs w:val="24"/>
          <w:shd w:val="clear" w:color="auto" w:fill="FFFFFF"/>
        </w:rPr>
        <w:t>项目基本情况</w:t>
      </w:r>
    </w:p>
    <w:p>
      <w:pPr>
        <w:numPr>
          <w:ilvl w:val="0"/>
          <w:numId w:val="0"/>
        </w:numPr>
        <w:tabs>
          <w:tab w:val="left" w:pos="426"/>
        </w:tabs>
        <w:spacing w:line="560" w:lineRule="exact"/>
        <w:ind w:leftChars="200"/>
        <w:rPr>
          <w:rFonts w:hint="default" w:ascii="宋体" w:hAnsi="宋体" w:eastAsia="宋体" w:cs="宋体"/>
          <w:bCs/>
          <w:color w:val="333333"/>
          <w:sz w:val="24"/>
          <w:szCs w:val="24"/>
          <w:highlight w:val="yellow"/>
          <w:shd w:val="clear" w:color="auto" w:fill="FFFFFF"/>
          <w:lang w:val="en-US" w:eastAsia="zh-CN"/>
        </w:rPr>
      </w:pPr>
      <w:r>
        <w:rPr>
          <w:rFonts w:hint="eastAsia" w:ascii="宋体" w:hAnsi="宋体" w:eastAsia="宋体" w:cs="宋体"/>
          <w:bCs/>
          <w:color w:val="333333"/>
          <w:sz w:val="24"/>
          <w:szCs w:val="24"/>
          <w:highlight w:val="yellow"/>
          <w:shd w:val="clear" w:color="auto" w:fill="FFFFFF"/>
          <w:lang w:val="en-US" w:eastAsia="zh-CN"/>
        </w:rPr>
        <w:t>1.</w:t>
      </w:r>
      <w:r>
        <w:rPr>
          <w:rFonts w:hint="eastAsia" w:ascii="宋体" w:hAnsi="宋体" w:eastAsia="宋体" w:cs="宋体"/>
          <w:bCs/>
          <w:color w:val="333333"/>
          <w:sz w:val="24"/>
          <w:szCs w:val="24"/>
          <w:highlight w:val="yellow"/>
          <w:shd w:val="clear" w:color="auto" w:fill="FFFFFF"/>
        </w:rPr>
        <w:t>项目</w:t>
      </w:r>
      <w:r>
        <w:rPr>
          <w:rFonts w:hint="eastAsia" w:ascii="宋体" w:hAnsi="宋体" w:eastAsia="宋体" w:cs="宋体"/>
          <w:bCs/>
          <w:color w:val="333333"/>
          <w:sz w:val="24"/>
          <w:szCs w:val="24"/>
          <w:highlight w:val="yellow"/>
          <w:shd w:val="clear" w:color="auto" w:fill="FFFFFF"/>
          <w:lang w:val="en-US" w:eastAsia="zh-CN"/>
        </w:rPr>
        <w:t>编号</w:t>
      </w:r>
      <w:r>
        <w:rPr>
          <w:rFonts w:hint="eastAsia" w:ascii="宋体" w:hAnsi="宋体" w:eastAsia="宋体" w:cs="宋体"/>
          <w:bCs/>
          <w:color w:val="333333"/>
          <w:sz w:val="24"/>
          <w:szCs w:val="24"/>
          <w:highlight w:val="yellow"/>
          <w:shd w:val="clear" w:color="auto" w:fill="FFFFFF"/>
        </w:rPr>
        <w:t>：</w:t>
      </w:r>
      <w:r>
        <w:rPr>
          <w:rFonts w:hint="eastAsia" w:ascii="宋体" w:hAnsi="宋体" w:eastAsia="宋体" w:cs="宋体"/>
          <w:bCs/>
          <w:color w:val="333333"/>
          <w:sz w:val="24"/>
          <w:szCs w:val="24"/>
          <w:highlight w:val="yellow"/>
          <w:shd w:val="clear" w:color="auto" w:fill="FFFFFF"/>
          <w:lang w:val="en-US" w:eastAsia="zh-CN"/>
        </w:rPr>
        <w:t>ENT20250607</w:t>
      </w:r>
    </w:p>
    <w:p>
      <w:pPr>
        <w:shd w:val="clear" w:color="auto" w:fill="FFFFFF"/>
        <w:tabs>
          <w:tab w:val="left" w:pos="426"/>
        </w:tabs>
        <w:spacing w:line="560" w:lineRule="exact"/>
        <w:ind w:leftChars="200"/>
        <w:rPr>
          <w:rFonts w:hint="default" w:ascii="宋体" w:hAnsi="宋体" w:eastAsia="宋体" w:cs="宋体"/>
          <w:bCs/>
          <w:color w:val="333333"/>
          <w:sz w:val="24"/>
          <w:szCs w:val="24"/>
          <w:shd w:val="clear" w:color="auto" w:fill="FFFFFF"/>
          <w:lang w:val="en-US" w:eastAsia="zh-CN"/>
        </w:rPr>
      </w:pPr>
      <w:r>
        <w:rPr>
          <w:rFonts w:hint="eastAsia" w:ascii="宋体" w:hAnsi="宋体" w:eastAsia="宋体" w:cs="宋体"/>
          <w:bCs/>
          <w:color w:val="333333"/>
          <w:sz w:val="24"/>
          <w:szCs w:val="24"/>
          <w:highlight w:val="yellow"/>
          <w:shd w:val="clear" w:color="auto" w:fill="FFFFFF"/>
          <w:lang w:val="en-US" w:eastAsia="zh-CN"/>
        </w:rPr>
        <w:t>2.</w:t>
      </w:r>
      <w:r>
        <w:rPr>
          <w:rFonts w:hint="eastAsia" w:ascii="宋体" w:hAnsi="宋体" w:eastAsia="宋体" w:cs="宋体"/>
          <w:bCs/>
          <w:color w:val="333333"/>
          <w:sz w:val="24"/>
          <w:szCs w:val="24"/>
          <w:highlight w:val="yellow"/>
          <w:shd w:val="clear" w:color="auto" w:fill="FFFFFF"/>
        </w:rPr>
        <w:t>项目名称：</w:t>
      </w:r>
      <w:r>
        <w:rPr>
          <w:rFonts w:hint="eastAsia" w:ascii="宋体" w:hAnsi="宋体" w:eastAsia="宋体" w:cs="宋体"/>
          <w:bCs/>
          <w:color w:val="333333"/>
          <w:sz w:val="24"/>
          <w:szCs w:val="24"/>
          <w:highlight w:val="yellow"/>
          <w:shd w:val="clear" w:color="auto" w:fill="FFFFFF"/>
          <w:lang w:val="en-US" w:eastAsia="zh-CN"/>
        </w:rPr>
        <w:t>染色机采购项目</w:t>
      </w:r>
    </w:p>
    <w:p>
      <w:pPr>
        <w:shd w:val="clear" w:color="auto" w:fill="FFFFFF"/>
        <w:tabs>
          <w:tab w:val="left" w:pos="426"/>
        </w:tabs>
        <w:spacing w:line="560" w:lineRule="exact"/>
        <w:ind w:leftChars="200"/>
        <w:rPr>
          <w:rFonts w:hint="eastAsia" w:ascii="宋体" w:hAnsi="宋体" w:eastAsia="宋体" w:cs="宋体"/>
          <w:bCs/>
          <w:color w:val="333333"/>
          <w:sz w:val="24"/>
          <w:szCs w:val="24"/>
          <w:shd w:val="clear" w:color="auto" w:fill="FFFFFF"/>
          <w:lang w:val="en-US" w:eastAsia="zh-CN"/>
        </w:rPr>
      </w:pPr>
      <w:r>
        <w:rPr>
          <w:rFonts w:hint="eastAsia" w:ascii="宋体" w:hAnsi="宋体" w:eastAsia="宋体" w:cs="宋体"/>
          <w:bCs/>
          <w:color w:val="333333"/>
          <w:sz w:val="24"/>
          <w:szCs w:val="24"/>
          <w:shd w:val="clear" w:color="auto" w:fill="FFFFFF"/>
          <w:lang w:val="en-US" w:eastAsia="zh-CN"/>
        </w:rPr>
        <w:t>3.采购项目内容及需求：</w:t>
      </w:r>
    </w:p>
    <w:tbl>
      <w:tblPr>
        <w:tblStyle w:val="26"/>
        <w:tblpPr w:leftFromText="180" w:rightFromText="180" w:vertAnchor="text" w:horzAnchor="page" w:tblpX="1575" w:tblpY="302"/>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720"/>
        <w:gridCol w:w="1776"/>
        <w:gridCol w:w="870"/>
        <w:gridCol w:w="1230"/>
        <w:gridCol w:w="855"/>
        <w:gridCol w:w="1395"/>
        <w:gridCol w:w="1245"/>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80" w:hRule="atLeast"/>
        </w:trPr>
        <w:tc>
          <w:tcPr>
            <w:tcW w:w="72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776"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b/>
                <w:kern w:val="0"/>
                <w:sz w:val="24"/>
                <w:szCs w:val="24"/>
                <w:lang w:val="en-US"/>
              </w:rPr>
            </w:pPr>
            <w:r>
              <w:rPr>
                <w:rFonts w:hint="eastAsia" w:ascii="宋体" w:hAnsi="宋体" w:eastAsia="宋体" w:cs="宋体"/>
                <w:b/>
                <w:kern w:val="0"/>
                <w:sz w:val="24"/>
                <w:szCs w:val="24"/>
                <w:lang w:val="en-US" w:eastAsia="zh-CN"/>
              </w:rPr>
              <w:t>采购货物名称</w:t>
            </w:r>
          </w:p>
        </w:tc>
        <w:tc>
          <w:tcPr>
            <w:tcW w:w="87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rPr>
              <w:t>单位</w:t>
            </w:r>
          </w:p>
        </w:tc>
        <w:tc>
          <w:tcPr>
            <w:tcW w:w="123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单价</w:t>
            </w:r>
          </w:p>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lang w:val="en-US" w:eastAsia="zh-CN" w:bidi="ar-SA"/>
              </w:rPr>
            </w:pPr>
            <w:r>
              <w:rPr>
                <w:rFonts w:hint="eastAsia" w:ascii="宋体" w:hAnsi="宋体" w:cs="宋体"/>
                <w:b/>
                <w:kern w:val="0"/>
                <w:sz w:val="24"/>
                <w:szCs w:val="24"/>
                <w:lang w:val="en-US" w:eastAsia="zh-CN"/>
              </w:rPr>
              <w:t>（万元）</w:t>
            </w:r>
          </w:p>
        </w:tc>
        <w:tc>
          <w:tcPr>
            <w:tcW w:w="855"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1395"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rPr>
              <w:t>预算总价（</w:t>
            </w:r>
            <w:r>
              <w:rPr>
                <w:rFonts w:hint="eastAsia" w:ascii="宋体" w:hAnsi="宋体" w:eastAsia="宋体" w:cs="宋体"/>
                <w:b/>
                <w:kern w:val="0"/>
                <w:sz w:val="24"/>
                <w:szCs w:val="24"/>
                <w:lang w:val="en-US" w:eastAsia="zh-CN"/>
              </w:rPr>
              <w:t>万</w:t>
            </w:r>
            <w:r>
              <w:rPr>
                <w:rFonts w:hint="eastAsia" w:ascii="宋体" w:hAnsi="宋体" w:eastAsia="宋体" w:cs="宋体"/>
                <w:b/>
                <w:kern w:val="0"/>
                <w:sz w:val="24"/>
                <w:szCs w:val="24"/>
              </w:rPr>
              <w:t>元）</w:t>
            </w:r>
          </w:p>
        </w:tc>
        <w:tc>
          <w:tcPr>
            <w:tcW w:w="1245"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rPr>
              <w:t>是否进口</w:t>
            </w:r>
          </w:p>
        </w:tc>
        <w:tc>
          <w:tcPr>
            <w:tcW w:w="999"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rPr>
            </w:pPr>
            <w:r>
              <w:rPr>
                <w:rFonts w:hint="eastAsia" w:ascii="宋体" w:hAnsi="宋体" w:cs="宋体"/>
                <w:b/>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838" w:hRule="atLeast"/>
        </w:trPr>
        <w:tc>
          <w:tcPr>
            <w:tcW w:w="72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c>
          <w:tcPr>
            <w:tcW w:w="1776"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textAlignment w:val="center"/>
              <w:rPr>
                <w:rFonts w:hint="default" w:ascii="宋体" w:hAnsi="宋体" w:eastAsia="宋体" w:cs="宋体"/>
                <w:bCs/>
                <w:color w:val="333333"/>
                <w:sz w:val="24"/>
                <w:szCs w:val="24"/>
                <w:highlight w:val="none"/>
                <w:shd w:val="clear" w:color="auto" w:fill="FFFFFF"/>
                <w:lang w:val="en-US" w:eastAsia="zh-CN"/>
              </w:rPr>
            </w:pPr>
            <w:r>
              <w:rPr>
                <w:rFonts w:hint="eastAsia" w:ascii="宋体" w:hAnsi="宋体" w:eastAsia="宋体" w:cs="宋体"/>
                <w:bCs/>
                <w:color w:val="333333"/>
                <w:sz w:val="24"/>
                <w:szCs w:val="24"/>
                <w:highlight w:val="none"/>
                <w:shd w:val="clear" w:color="auto" w:fill="FFFFFF"/>
                <w:lang w:val="en-US" w:eastAsia="zh-CN"/>
              </w:rPr>
              <w:t>染色机</w:t>
            </w:r>
          </w:p>
        </w:tc>
        <w:tc>
          <w:tcPr>
            <w:tcW w:w="87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套</w:t>
            </w:r>
          </w:p>
        </w:tc>
        <w:tc>
          <w:tcPr>
            <w:tcW w:w="123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12</w:t>
            </w:r>
          </w:p>
        </w:tc>
        <w:tc>
          <w:tcPr>
            <w:tcW w:w="855"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textAlignment w:val="center"/>
              <w:rPr>
                <w:rFonts w:hint="default"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w:t>
            </w:r>
          </w:p>
        </w:tc>
        <w:tc>
          <w:tcPr>
            <w:tcW w:w="1395"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12</w:t>
            </w:r>
          </w:p>
        </w:tc>
        <w:tc>
          <w:tcPr>
            <w:tcW w:w="1245"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拒绝进口</w:t>
            </w:r>
          </w:p>
        </w:tc>
        <w:tc>
          <w:tcPr>
            <w:tcW w:w="999" w:type="dxa"/>
            <w:shd w:val="clear" w:color="000000" w:fill="FFFFFF"/>
            <w:vAlign w:val="center"/>
          </w:tcPr>
          <w:p>
            <w:pPr>
              <w:keepNext w:val="0"/>
              <w:keepLines w:val="0"/>
              <w:pageBreakBefore w:val="0"/>
              <w:widowControl/>
              <w:overflowPunct/>
              <w:topLinePunct w:val="0"/>
              <w:bidi w:val="0"/>
              <w:spacing w:line="240" w:lineRule="auto"/>
              <w:ind w:firstLine="0" w:firstLineChars="0"/>
              <w:jc w:val="both"/>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需提供第一类医疗器械备案证明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838" w:hRule="atLeast"/>
        </w:trPr>
        <w:tc>
          <w:tcPr>
            <w:tcW w:w="2496" w:type="dxa"/>
            <w:gridSpan w:val="2"/>
            <w:shd w:val="clear" w:color="000000" w:fill="FFFFFF"/>
            <w:vAlign w:val="center"/>
          </w:tcPr>
          <w:p>
            <w:pPr>
              <w:keepNext w:val="0"/>
              <w:keepLines w:val="0"/>
              <w:pageBreakBefore w:val="0"/>
              <w:widowControl/>
              <w:overflowPunct/>
              <w:topLinePunct w:val="0"/>
              <w:bidi w:val="0"/>
              <w:spacing w:line="240" w:lineRule="auto"/>
              <w:ind w:firstLine="0" w:firstLineChars="0"/>
              <w:jc w:val="center"/>
              <w:textAlignment w:val="center"/>
              <w:rPr>
                <w:rFonts w:hint="default" w:ascii="宋体" w:hAnsi="宋体" w:eastAsia="宋体" w:cs="宋体"/>
                <w:bCs/>
                <w:color w:val="333333"/>
                <w:sz w:val="24"/>
                <w:szCs w:val="24"/>
                <w:highlight w:val="none"/>
                <w:shd w:val="clear" w:color="auto" w:fill="FFFFFF"/>
                <w:lang w:val="en-US" w:eastAsia="zh-CN"/>
              </w:rPr>
            </w:pPr>
            <w:r>
              <w:rPr>
                <w:rFonts w:hint="eastAsia" w:ascii="宋体" w:hAnsi="宋体" w:eastAsia="宋体" w:cs="宋体"/>
                <w:bCs/>
                <w:color w:val="333333"/>
                <w:sz w:val="24"/>
                <w:szCs w:val="24"/>
                <w:highlight w:val="none"/>
                <w:shd w:val="clear" w:color="auto" w:fill="FFFFFF"/>
                <w:lang w:val="en-US" w:eastAsia="zh-CN"/>
              </w:rPr>
              <w:t>合计</w:t>
            </w:r>
          </w:p>
        </w:tc>
        <w:tc>
          <w:tcPr>
            <w:tcW w:w="87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kern w:val="0"/>
                <w:sz w:val="24"/>
                <w:szCs w:val="24"/>
                <w:highlight w:val="none"/>
                <w:lang w:val="en-US" w:eastAsia="zh-CN"/>
              </w:rPr>
            </w:pPr>
          </w:p>
        </w:tc>
        <w:tc>
          <w:tcPr>
            <w:tcW w:w="1230"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cs="宋体"/>
                <w:kern w:val="0"/>
                <w:sz w:val="24"/>
                <w:szCs w:val="24"/>
                <w:highlight w:val="none"/>
                <w:lang w:val="en-US" w:eastAsia="zh-CN"/>
              </w:rPr>
            </w:pPr>
          </w:p>
        </w:tc>
        <w:tc>
          <w:tcPr>
            <w:tcW w:w="855"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textAlignment w:val="center"/>
              <w:rPr>
                <w:rFonts w:hint="default"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w:t>
            </w:r>
          </w:p>
        </w:tc>
        <w:tc>
          <w:tcPr>
            <w:tcW w:w="1395"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12</w:t>
            </w:r>
          </w:p>
        </w:tc>
        <w:tc>
          <w:tcPr>
            <w:tcW w:w="1245"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kern w:val="0"/>
                <w:sz w:val="24"/>
                <w:szCs w:val="24"/>
                <w:highlight w:val="none"/>
                <w:lang w:val="en-US" w:eastAsia="zh-CN"/>
              </w:rPr>
            </w:pPr>
          </w:p>
        </w:tc>
        <w:tc>
          <w:tcPr>
            <w:tcW w:w="999"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kern w:val="0"/>
                <w:sz w:val="24"/>
                <w:szCs w:val="24"/>
                <w:lang w:val="en-US" w:eastAsia="zh-CN" w:bidi="ar-SA"/>
              </w:rPr>
            </w:pPr>
          </w:p>
        </w:tc>
      </w:tr>
    </w:tbl>
    <w:p>
      <w:pPr>
        <w:pStyle w:val="8"/>
        <w:rPr>
          <w:rFonts w:hint="eastAsia"/>
          <w:lang w:val="en-US" w:eastAsia="zh-CN"/>
        </w:rPr>
      </w:pPr>
    </w:p>
    <w:p>
      <w:pPr>
        <w:ind w:firstLine="480" w:firstLineChars="200"/>
        <w:rPr>
          <w:rFonts w:hint="default"/>
          <w:lang w:val="en-US" w:eastAsia="zh-CN"/>
        </w:rPr>
      </w:pPr>
      <w:r>
        <w:rPr>
          <w:rFonts w:hint="eastAsia"/>
          <w:lang w:val="en-US" w:eastAsia="zh-CN"/>
        </w:rPr>
        <w:t>核心产品：</w:t>
      </w:r>
      <w:r>
        <w:rPr>
          <w:rFonts w:hint="eastAsia"/>
          <w:highlight w:val="yellow"/>
          <w:lang w:val="en-US" w:eastAsia="zh-CN"/>
        </w:rPr>
        <w:t>染色机</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二、供应商（参与人）资格要求：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cs="宋体"/>
          <w:bCs/>
          <w:color w:val="333333"/>
          <w:kern w:val="0"/>
          <w:sz w:val="24"/>
          <w:szCs w:val="24"/>
          <w:highlight w:val="none"/>
          <w:shd w:val="clear" w:color="auto" w:fill="FFFFFF"/>
          <w:lang w:val="en-US" w:eastAsia="zh-CN" w:bidi="ar-SA"/>
        </w:rPr>
      </w:pPr>
      <w:r>
        <w:rPr>
          <w:rFonts w:hint="eastAsia" w:cs="宋体"/>
          <w:bCs/>
          <w:color w:val="333333"/>
          <w:kern w:val="0"/>
          <w:sz w:val="24"/>
          <w:szCs w:val="24"/>
          <w:highlight w:val="none"/>
          <w:shd w:val="clear" w:color="auto" w:fill="FFFFFF"/>
          <w:lang w:val="en-US" w:eastAsia="zh-CN" w:bidi="ar-SA"/>
        </w:rPr>
        <w:t>1</w:t>
      </w:r>
      <w:r>
        <w:rPr>
          <w:rFonts w:hint="eastAsia" w:ascii="宋体" w:hAnsi="宋体" w:eastAsia="宋体" w:cs="宋体"/>
          <w:bCs/>
          <w:color w:val="333333"/>
          <w:kern w:val="0"/>
          <w:sz w:val="24"/>
          <w:szCs w:val="24"/>
          <w:highlight w:val="none"/>
          <w:shd w:val="clear" w:color="auto" w:fill="FFFFFF"/>
          <w:lang w:val="en-US" w:eastAsia="zh-CN" w:bidi="ar-SA"/>
        </w:rPr>
        <w:t>、供应商须是在中华人民共和国境内经注册独立法人单位，具有独立法人资格或者具有独立承担民事责任的能力的其他组织（提供营业执照或事业单位法人证等法人证明扫描件，原件备查）</w:t>
      </w:r>
      <w:r>
        <w:rPr>
          <w:rFonts w:hint="eastAsia" w:cs="宋体"/>
          <w:bCs/>
          <w:color w:val="333333"/>
          <w:kern w:val="0"/>
          <w:sz w:val="24"/>
          <w:szCs w:val="24"/>
          <w:highlight w:val="none"/>
          <w:shd w:val="clear" w:color="auto" w:fill="FFFFFF"/>
          <w:lang w:val="en-US" w:eastAsia="zh-CN" w:bidi="ar-SA"/>
        </w:rPr>
        <w:t>。</w:t>
      </w:r>
    </w:p>
    <w:p>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2、若投标人为所投产品的生产企业，必须提供《医疗器械生产企业许可证》或备案凭证，且生产范围包含该产品。若投标人为所投产品的代理商或授权供应商，必须提供《医疗器械经营企业许可证》或备案凭证，且经营范围包含该产品（须提供相关证书扫描件，原件备查）；当所投产品属于第一类医疗器械时必须提供第一类医疗器械备案证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3、投标人须提供所投产品的《医疗器械注册（备案）证》的复印件，原件备查，开标时，该证应在有效期内；若不在有效期内，则需提供该证和所投产品在该证有效期内生产的国家药品监督管理局出具的证明文件）。</w:t>
      </w:r>
    </w:p>
    <w:p>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4、本项目不接受任何形式的联合体投标，不接受同一母公司下属两家（含两家）以上的分、子公司参与投标。投标人不得将本项目进行分包、转包。</w:t>
      </w:r>
    </w:p>
    <w:p>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5、参与本项目投标前三年内，在经营活动中没有重大违法记录（由供应商在《投标及履约承诺函》中作出声明）。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6、参与本项目政府采购活动时不存在被有关部门禁止参与政府采购活动且在有效期内的情况（由供应商在《投标及履约承诺函》中作出声明）。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7、投标人未被列入失信被执行人、重大税收违法案件当事人名单及政府采购严重违法失信行为记录名单（由供应商在《投标及履约承诺函》中作出声明）。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8、单位负责人为同一人或者存在直接控股、管理关系的不同供应商，不得参加同一包号投标或者未划分包号的同一招标项目投标（由供应商在《投标及履约承诺函》中作出声明）。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9、为采购项目提供整体设计、规范编制或者项目管理、监理、检测等服务的供应商，不得再参加该采购项目的其他采购活动（由供应商在《投标及履约承诺函》中作出声明）。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三、供应商报名资格审查资料清单（复印件加盖公章、原件备查）：</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1、供应商报名表（格式详见附件）；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2、企业法人营业执照、税务登记证、组织机构代码证复印件或三证合一复印件；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3、供应商基本情况表及供应商基本情况表附件（格式详见附件）；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4、法定代表人证明书（格式详见附件）；</w:t>
      </w:r>
    </w:p>
    <w:p>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5、法定代表人授权书（格式详见附件，投标人代表为法定代表人的无需提供本格式）；</w:t>
      </w:r>
    </w:p>
    <w:p>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auto"/>
          <w:kern w:val="0"/>
          <w:sz w:val="24"/>
          <w:szCs w:val="24"/>
          <w:highlight w:val="none"/>
          <w:shd w:val="clear" w:color="auto" w:fill="FFFFFF"/>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6、若投标人为所投产品的生产企业，必须提供《医疗器械生产企业许可证》或备案凭证，且生产范围包含该产品；若投标人为所投产品的代理商或授权供应商，必须提供《医疗器械经营企业许可证》或备案凭证，且经营范围包含该产品（须提供相关证书扫描件，原件备查）；</w:t>
      </w:r>
    </w:p>
    <w:p>
      <w:pPr>
        <w:adjustRightInd w:val="0"/>
        <w:snapToGrid w:val="0"/>
        <w:spacing w:line="460" w:lineRule="atLeast"/>
        <w:ind w:firstLine="480" w:firstLineChars="200"/>
        <w:rPr>
          <w:rFonts w:hint="eastAsia"/>
          <w:lang w:val="en-US" w:eastAsia="zh-CN"/>
        </w:rPr>
      </w:pPr>
      <w:r>
        <w:rPr>
          <w:rFonts w:hint="eastAsia" w:ascii="宋体" w:hAnsi="宋体" w:eastAsia="宋体" w:cs="宋体"/>
          <w:color w:val="auto"/>
          <w:szCs w:val="21"/>
          <w:lang w:val="en-US" w:eastAsia="zh-CN"/>
        </w:rPr>
        <w:t>7、投标人须提供所投产品的《医疗器械注册（备案）证》的复印件，原件备查，开标时，该证应在有效期内；若不在有效期内，则需提供该证和所投产品在该证有效期内生产的国家药品监督管理局出具的证明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auto"/>
          <w:kern w:val="0"/>
          <w:sz w:val="24"/>
          <w:szCs w:val="24"/>
          <w:highlight w:val="none"/>
          <w:shd w:val="clear" w:color="auto" w:fill="FFFFFF"/>
          <w:lang w:val="en-US" w:eastAsia="zh-CN" w:bidi="ar-SA"/>
        </w:rPr>
      </w:pPr>
      <w:r>
        <w:rPr>
          <w:rFonts w:hint="eastAsia" w:ascii="宋体" w:hAnsi="宋体" w:eastAsia="宋体" w:cs="宋体"/>
          <w:bCs/>
          <w:color w:val="auto"/>
          <w:kern w:val="0"/>
          <w:sz w:val="24"/>
          <w:szCs w:val="24"/>
          <w:highlight w:val="none"/>
          <w:shd w:val="clear" w:color="auto" w:fill="FFFFFF"/>
          <w:lang w:val="en-US" w:eastAsia="zh-CN" w:bidi="ar-SA"/>
        </w:rPr>
        <w:t>8、诚信声明函（格式自拟）。在三年内（自招标公告发布之日起倒推），通过“信用中国”（www.creditchina.gov.cn）、“中国政府采购网”（www.ccgp.gov.cn）、“深圳市政府采购监管网”（www.zfcg.sz.gov.cn）三个渠道查询供应商信用记录查询有失信记录，被取消中选资格的，与招标人有合同纠纷，或被索赔过的投标人的投标将被拒绝，需提供查询记录截图；</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FF0000"/>
          <w:kern w:val="0"/>
          <w:sz w:val="24"/>
          <w:szCs w:val="24"/>
          <w:shd w:val="clear" w:color="auto" w:fill="FFFFFF"/>
          <w:lang w:val="en-US" w:eastAsia="zh-CN" w:bidi="ar-SA"/>
        </w:rPr>
      </w:pPr>
      <w:r>
        <w:rPr>
          <w:rFonts w:hint="eastAsia" w:ascii="宋体" w:hAnsi="宋体" w:eastAsia="宋体" w:cs="宋体"/>
          <w:bCs/>
          <w:color w:val="FF0000"/>
          <w:kern w:val="0"/>
          <w:sz w:val="24"/>
          <w:szCs w:val="24"/>
          <w:shd w:val="clear" w:color="auto" w:fill="FFFFFF"/>
          <w:lang w:val="en-US" w:eastAsia="zh-CN" w:bidi="ar-SA"/>
        </w:rPr>
        <w:t>注意：声明函及三个渠道查询供应商信用查询记录截图均须提供。</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9、投标函（格式详见附件）；</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10、</w:t>
      </w:r>
      <w:r>
        <w:rPr>
          <w:rFonts w:hint="eastAsia" w:asciiTheme="minorEastAsia" w:hAnsiTheme="minorEastAsia" w:eastAsiaTheme="minorEastAsia" w:cstheme="minorEastAsia"/>
          <w:bCs/>
          <w:sz w:val="24"/>
          <w:szCs w:val="24"/>
          <w:lang w:val="en-US" w:eastAsia="zh-CN"/>
        </w:rPr>
        <w:t>投标及履约承诺函（格式详见附件）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11、龙岗区进一步规范政商交往行为告知书（格式详见附件）。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FF0000"/>
          <w:kern w:val="0"/>
          <w:sz w:val="24"/>
          <w:szCs w:val="24"/>
          <w:shd w:val="clear" w:color="auto" w:fill="FFFFFF"/>
          <w:lang w:val="en-US" w:eastAsia="zh-CN" w:bidi="ar-SA"/>
        </w:rPr>
        <w:t>以上资料需加盖公章。</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投标人应在</w:t>
      </w:r>
      <w:r>
        <w:rPr>
          <w:rFonts w:hint="eastAsia" w:asciiTheme="minorEastAsia" w:hAnsiTheme="minorEastAsia" w:eastAsiaTheme="minorEastAsia" w:cstheme="minorEastAsia"/>
          <w:b/>
          <w:bCs w:val="0"/>
          <w:sz w:val="24"/>
          <w:szCs w:val="24"/>
          <w:highlight w:val="none"/>
          <w:lang w:val="en-US" w:eastAsia="zh-CN"/>
        </w:rPr>
        <w:t>2025年</w:t>
      </w:r>
      <w:r>
        <w:rPr>
          <w:rFonts w:hint="eastAsia" w:asciiTheme="minorEastAsia" w:hAnsiTheme="minorEastAsia" w:cstheme="minorEastAsia"/>
          <w:b/>
          <w:bCs w:val="0"/>
          <w:sz w:val="24"/>
          <w:szCs w:val="24"/>
          <w:highlight w:val="none"/>
          <w:lang w:val="en-US" w:eastAsia="zh-CN"/>
        </w:rPr>
        <w:t>6</w:t>
      </w:r>
      <w:r>
        <w:rPr>
          <w:rFonts w:hint="eastAsia" w:asciiTheme="minorEastAsia" w:hAnsiTheme="minorEastAsia" w:eastAsiaTheme="minorEastAsia" w:cstheme="minorEastAsia"/>
          <w:b/>
          <w:bCs w:val="0"/>
          <w:sz w:val="24"/>
          <w:szCs w:val="24"/>
          <w:highlight w:val="none"/>
          <w:lang w:val="en-US" w:eastAsia="zh-CN"/>
        </w:rPr>
        <w:t>月</w:t>
      </w:r>
      <w:r>
        <w:rPr>
          <w:rFonts w:hint="eastAsia" w:asciiTheme="minorEastAsia" w:hAnsiTheme="minorEastAsia" w:cstheme="minorEastAsia"/>
          <w:b/>
          <w:bCs w:val="0"/>
          <w:sz w:val="24"/>
          <w:szCs w:val="24"/>
          <w:highlight w:val="none"/>
          <w:lang w:val="en-US" w:eastAsia="zh-CN"/>
        </w:rPr>
        <w:t>27</w:t>
      </w:r>
      <w:r>
        <w:rPr>
          <w:rFonts w:hint="eastAsia" w:asciiTheme="minorEastAsia" w:hAnsiTheme="minorEastAsia" w:eastAsiaTheme="minorEastAsia" w:cstheme="minorEastAsia"/>
          <w:b/>
          <w:bCs w:val="0"/>
          <w:sz w:val="24"/>
          <w:szCs w:val="24"/>
          <w:highlight w:val="none"/>
          <w:lang w:val="en-US" w:eastAsia="zh-CN"/>
        </w:rPr>
        <w:t>日-2025年</w:t>
      </w:r>
      <w:r>
        <w:rPr>
          <w:rFonts w:hint="eastAsia" w:asciiTheme="minorEastAsia" w:hAnsiTheme="minorEastAsia" w:cstheme="minorEastAsia"/>
          <w:b/>
          <w:bCs w:val="0"/>
          <w:sz w:val="24"/>
          <w:szCs w:val="24"/>
          <w:highlight w:val="none"/>
          <w:lang w:val="en-US" w:eastAsia="zh-CN"/>
        </w:rPr>
        <w:t>7</w:t>
      </w:r>
      <w:r>
        <w:rPr>
          <w:rFonts w:hint="eastAsia" w:asciiTheme="minorEastAsia" w:hAnsiTheme="minorEastAsia" w:eastAsiaTheme="minorEastAsia" w:cstheme="minorEastAsia"/>
          <w:b/>
          <w:bCs w:val="0"/>
          <w:sz w:val="24"/>
          <w:szCs w:val="24"/>
          <w:highlight w:val="none"/>
          <w:lang w:val="en-US" w:eastAsia="zh-CN"/>
        </w:rPr>
        <w:t>月</w:t>
      </w:r>
      <w:r>
        <w:rPr>
          <w:rFonts w:hint="eastAsia" w:asciiTheme="minorEastAsia" w:hAnsiTheme="minorEastAsia" w:cstheme="minorEastAsia"/>
          <w:b/>
          <w:bCs w:val="0"/>
          <w:sz w:val="24"/>
          <w:szCs w:val="24"/>
          <w:highlight w:val="none"/>
          <w:lang w:val="en-US" w:eastAsia="zh-CN"/>
        </w:rPr>
        <w:t>3</w:t>
      </w:r>
      <w:r>
        <w:rPr>
          <w:rFonts w:hint="eastAsia" w:asciiTheme="minorEastAsia" w:hAnsiTheme="minorEastAsia" w:eastAsiaTheme="minorEastAsia" w:cstheme="minorEastAsia"/>
          <w:b/>
          <w:bCs w:val="0"/>
          <w:sz w:val="24"/>
          <w:szCs w:val="24"/>
          <w:highlight w:val="none"/>
          <w:lang w:val="en-US" w:eastAsia="zh-CN"/>
        </w:rPr>
        <w:t>日</w:t>
      </w:r>
      <w:r>
        <w:rPr>
          <w:rFonts w:hint="eastAsia" w:asciiTheme="minorEastAsia" w:hAnsiTheme="minorEastAsia" w:eastAsiaTheme="minorEastAsia" w:cstheme="minorEastAsia"/>
          <w:bCs/>
          <w:sz w:val="24"/>
          <w:szCs w:val="24"/>
          <w:highlight w:val="none"/>
          <w:lang w:val="en-US" w:eastAsia="zh-CN"/>
        </w:rPr>
        <w:t>，</w:t>
      </w:r>
      <w:r>
        <w:rPr>
          <w:rFonts w:hint="eastAsia" w:asciiTheme="minorEastAsia" w:hAnsiTheme="minorEastAsia" w:eastAsiaTheme="minorEastAsia" w:cstheme="minorEastAsia"/>
          <w:b/>
          <w:bCs w:val="0"/>
          <w:sz w:val="24"/>
          <w:szCs w:val="24"/>
          <w:highlight w:val="none"/>
          <w:lang w:val="en-US" w:eastAsia="zh-CN"/>
        </w:rPr>
        <w:t>工作日</w:t>
      </w:r>
      <w:r>
        <w:rPr>
          <w:rFonts w:hint="eastAsia" w:asciiTheme="minorEastAsia" w:hAnsiTheme="minorEastAsia" w:eastAsiaTheme="minorEastAsia" w:cstheme="minorEastAsia"/>
          <w:bCs/>
          <w:sz w:val="24"/>
          <w:szCs w:val="24"/>
          <w:lang w:val="en-US" w:eastAsia="zh-CN"/>
        </w:rPr>
        <w:t>上午8:00-12:00，下午2:00-5:00，提交以上报名资料到深圳市</w:t>
      </w:r>
      <w:r>
        <w:rPr>
          <w:rFonts w:hint="eastAsia" w:asciiTheme="minorEastAsia" w:hAnsiTheme="minorEastAsia" w:cstheme="minorEastAsia"/>
          <w:bCs/>
          <w:sz w:val="24"/>
          <w:szCs w:val="24"/>
          <w:lang w:val="en-US" w:eastAsia="zh-CN"/>
        </w:rPr>
        <w:t>龙岗区龙城街道黄阁路186号</w:t>
      </w:r>
      <w:r>
        <w:rPr>
          <w:rFonts w:hint="eastAsia" w:asciiTheme="minorEastAsia" w:hAnsiTheme="minorEastAsia" w:eastAsiaTheme="minorEastAsia" w:cstheme="minorEastAsia"/>
          <w:bCs/>
          <w:sz w:val="24"/>
          <w:szCs w:val="24"/>
          <w:lang w:val="en-US" w:eastAsia="zh-CN"/>
        </w:rPr>
        <w:t>龙</w:t>
      </w:r>
      <w:r>
        <w:rPr>
          <w:rFonts w:hint="eastAsia" w:asciiTheme="minorEastAsia" w:hAnsiTheme="minorEastAsia" w:eastAsiaTheme="minorEastAsia" w:cstheme="minorEastAsia"/>
          <w:bCs/>
          <w:sz w:val="24"/>
          <w:szCs w:val="24"/>
          <w:highlight w:val="none"/>
          <w:lang w:val="en-US" w:eastAsia="zh-CN"/>
        </w:rPr>
        <w:t>岗区耳鼻咽喉医院</w:t>
      </w:r>
      <w:r>
        <w:rPr>
          <w:rFonts w:hint="eastAsia" w:asciiTheme="minorEastAsia" w:hAnsiTheme="minorEastAsia" w:cstheme="minorEastAsia"/>
          <w:bCs/>
          <w:sz w:val="24"/>
          <w:szCs w:val="24"/>
          <w:highlight w:val="none"/>
          <w:lang w:val="en-US" w:eastAsia="zh-CN"/>
        </w:rPr>
        <w:t>科研楼1106招采办</w:t>
      </w:r>
      <w:r>
        <w:rPr>
          <w:rFonts w:hint="eastAsia" w:asciiTheme="minorEastAsia" w:hAnsiTheme="minorEastAsia" w:eastAsiaTheme="minorEastAsia" w:cstheme="minorEastAsia"/>
          <w:bCs/>
          <w:sz w:val="24"/>
          <w:szCs w:val="24"/>
          <w:highlight w:val="none"/>
          <w:lang w:val="en-US" w:eastAsia="zh-CN"/>
        </w:rPr>
        <w:t>审核，联系人：</w:t>
      </w:r>
      <w:r>
        <w:rPr>
          <w:rFonts w:hint="eastAsia" w:asciiTheme="minorEastAsia" w:hAnsiTheme="minorEastAsia" w:cstheme="minorEastAsia"/>
          <w:bCs/>
          <w:sz w:val="24"/>
          <w:szCs w:val="24"/>
          <w:highlight w:val="none"/>
          <w:lang w:val="en-US" w:eastAsia="zh-CN"/>
        </w:rPr>
        <w:t>曹老师</w:t>
      </w:r>
      <w:r>
        <w:rPr>
          <w:rFonts w:hint="eastAsia" w:asciiTheme="minorEastAsia" w:hAnsiTheme="minorEastAsia" w:eastAsiaTheme="minorEastAsia" w:cstheme="minorEastAsia"/>
          <w:bCs/>
          <w:sz w:val="24"/>
          <w:szCs w:val="24"/>
          <w:highlight w:val="none"/>
          <w:lang w:val="en-US" w:eastAsia="zh-CN"/>
        </w:rPr>
        <w:t>，联系方式：</w:t>
      </w:r>
      <w:r>
        <w:rPr>
          <w:rFonts w:hint="eastAsia" w:asciiTheme="minorEastAsia" w:hAnsiTheme="minorEastAsia" w:cstheme="minorEastAsia"/>
          <w:bCs/>
          <w:sz w:val="24"/>
          <w:szCs w:val="24"/>
          <w:highlight w:val="none"/>
          <w:lang w:val="en-US" w:eastAsia="zh-CN"/>
        </w:rPr>
        <w:t>0755-28989999-8810</w:t>
      </w:r>
      <w:r>
        <w:rPr>
          <w:rFonts w:hint="eastAsia" w:asciiTheme="minorEastAsia" w:hAnsiTheme="minorEastAsia" w:eastAsiaTheme="minorEastAsia" w:cstheme="minorEastAsia"/>
          <w:bCs/>
          <w:sz w:val="24"/>
          <w:szCs w:val="24"/>
          <w:highlight w:val="none"/>
          <w:lang w:val="en-US" w:eastAsia="zh-CN"/>
        </w:rPr>
        <w:t>。</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四、投标资料（详见招标文件）</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投标资料须加盖公章，密封在一个档案袋里面加盖骑缝章，一正五副，</w:t>
      </w:r>
      <w:r>
        <w:rPr>
          <w:rFonts w:hint="eastAsia" w:asciiTheme="minorEastAsia" w:hAnsiTheme="minorEastAsia" w:eastAsiaTheme="minorEastAsia" w:cstheme="minorEastAsia"/>
          <w:bCs/>
          <w:color w:val="FF0000"/>
          <w:sz w:val="24"/>
          <w:szCs w:val="24"/>
          <w:lang w:val="en-US" w:eastAsia="zh-CN"/>
        </w:rPr>
        <w:t>电子文件一份，U盘储存</w:t>
      </w:r>
      <w:r>
        <w:rPr>
          <w:rFonts w:hint="eastAsia" w:asciiTheme="minorEastAsia" w:hAnsiTheme="minorEastAsia" w:eastAsiaTheme="minorEastAsia" w:cstheme="minorEastAsia"/>
          <w:bCs/>
          <w:sz w:val="24"/>
          <w:szCs w:val="24"/>
          <w:lang w:val="en-US" w:eastAsia="zh-CN"/>
        </w:rPr>
        <w:t>（投标文件正本盖章后的扫描件，PDF格式）。供应商须将密封完好的投标资料带到开标现场，于开标时在现场提交评审。项目需求中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五、评分方法：综合评分法</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cs="宋体"/>
          <w:bCs/>
          <w:color w:val="333333"/>
          <w:kern w:val="0"/>
          <w:sz w:val="24"/>
          <w:szCs w:val="24"/>
          <w:shd w:val="clear" w:color="auto" w:fill="FFFFFF"/>
          <w:lang w:val="en-US" w:eastAsia="zh-CN" w:bidi="ar-SA"/>
        </w:rPr>
        <w:t>六</w:t>
      </w:r>
      <w:r>
        <w:rPr>
          <w:rFonts w:hint="eastAsia" w:ascii="宋体" w:hAnsi="宋体" w:eastAsia="宋体" w:cs="宋体"/>
          <w:bCs/>
          <w:color w:val="333333"/>
          <w:kern w:val="0"/>
          <w:sz w:val="24"/>
          <w:szCs w:val="24"/>
          <w:shd w:val="clear" w:color="auto" w:fill="FFFFFF"/>
          <w:lang w:val="en-US" w:eastAsia="zh-CN" w:bidi="ar-SA"/>
        </w:rPr>
        <w:t>、开标时间：另行通知</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附件1：报名表</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附件2：招标文件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Theme="minorEastAsia" w:hAnsiTheme="minorEastAsia" w:eastAsiaTheme="minorEastAsia" w:cstheme="minorEastAsia"/>
          <w:bCs/>
          <w:sz w:val="24"/>
          <w:szCs w:val="24"/>
          <w:lang w:val="en-US" w:eastAsia="zh-CN"/>
        </w:rPr>
        <w:t>附件3：供应商基本情况表及供应商基本情况表附件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附件4：法定代表人证明书</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附件5：法定代表人授权书</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附件6：信用声明函及证明文件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附件7：投标函</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default"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附件8：投标及履约承诺函</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leftChars="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附件9：龙岗区进一步规范政商交往行为告知书</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spacing w:line="360" w:lineRule="auto"/>
        <w:jc w:val="center"/>
        <w:rPr>
          <w:rFonts w:hint="eastAsia" w:asciiTheme="minorEastAsia" w:hAnsiTheme="minorEastAsia" w:eastAsiaTheme="minorEastAsia" w:cstheme="minorEastAsia"/>
          <w:b/>
          <w:sz w:val="24"/>
          <w:szCs w:val="24"/>
        </w:rPr>
      </w:pPr>
    </w:p>
    <w:p>
      <w:pPr>
        <w:spacing w:line="360" w:lineRule="auto"/>
        <w:jc w:val="center"/>
        <w:rPr>
          <w:rFonts w:hint="eastAsia" w:asciiTheme="minorEastAsia" w:hAnsiTheme="minorEastAsia" w:eastAsiaTheme="minorEastAsia" w:cstheme="minorEastAsia"/>
          <w:b/>
          <w:sz w:val="24"/>
          <w:szCs w:val="24"/>
        </w:rPr>
      </w:pPr>
    </w:p>
    <w:p>
      <w:pPr>
        <w:spacing w:line="360" w:lineRule="auto"/>
        <w:jc w:val="center"/>
        <w:rPr>
          <w:rFonts w:hint="eastAsia" w:asciiTheme="minorEastAsia" w:hAnsiTheme="minorEastAsia" w:eastAsiaTheme="minorEastAsia" w:cstheme="minorEastAsia"/>
          <w:b/>
          <w:sz w:val="24"/>
          <w:szCs w:val="24"/>
        </w:rPr>
      </w:pPr>
    </w:p>
    <w:p>
      <w:pPr>
        <w:spacing w:line="360" w:lineRule="auto"/>
        <w:jc w:val="center"/>
        <w:rPr>
          <w:rFonts w:hint="eastAsia" w:asciiTheme="minorEastAsia" w:hAnsiTheme="minorEastAsia" w:eastAsiaTheme="minorEastAsia" w:cstheme="minorEastAsia"/>
          <w:b/>
          <w:sz w:val="24"/>
          <w:szCs w:val="24"/>
        </w:rPr>
      </w:pPr>
    </w:p>
    <w:p>
      <w:pPr>
        <w:spacing w:line="360" w:lineRule="auto"/>
        <w:jc w:val="center"/>
        <w:rPr>
          <w:rFonts w:hint="eastAsia" w:asciiTheme="minorEastAsia" w:hAnsiTheme="minorEastAsia" w:eastAsiaTheme="minorEastAsia" w:cstheme="minorEastAsia"/>
          <w:b/>
          <w:sz w:val="24"/>
          <w:szCs w:val="24"/>
        </w:rPr>
      </w:pPr>
    </w:p>
    <w:p>
      <w:pPr>
        <w:spacing w:line="360" w:lineRule="auto"/>
        <w:jc w:val="center"/>
        <w:rPr>
          <w:rFonts w:hint="eastAsia" w:asciiTheme="minorEastAsia" w:hAnsiTheme="minorEastAsia" w:eastAsiaTheme="minorEastAsia" w:cstheme="minorEastAsia"/>
          <w:b/>
          <w:sz w:val="24"/>
          <w:szCs w:val="24"/>
        </w:rPr>
      </w:pPr>
    </w:p>
    <w:p>
      <w:pPr>
        <w:spacing w:line="360" w:lineRule="auto"/>
        <w:jc w:val="center"/>
        <w:rPr>
          <w:rFonts w:hint="eastAsia" w:asciiTheme="minorEastAsia" w:hAnsiTheme="minorEastAsia" w:eastAsiaTheme="minorEastAsia" w:cstheme="minorEastAsia"/>
          <w:b/>
          <w:sz w:val="24"/>
          <w:szCs w:val="24"/>
        </w:rPr>
      </w:pPr>
    </w:p>
    <w:p>
      <w:pPr>
        <w:spacing w:line="360" w:lineRule="auto"/>
        <w:jc w:val="center"/>
        <w:rPr>
          <w:rFonts w:hint="eastAsia" w:asciiTheme="minorEastAsia" w:hAnsiTheme="minorEastAsia" w:eastAsiaTheme="minorEastAsia" w:cstheme="minorEastAsia"/>
          <w:b/>
          <w:sz w:val="24"/>
          <w:szCs w:val="24"/>
        </w:rPr>
      </w:pPr>
    </w:p>
    <w:p>
      <w:pPr>
        <w:rPr>
          <w:rFonts w:hint="eastAsia" w:ascii="Cambria" w:hAnsi="Cambria" w:cs="Times New Roman" w:eastAsiaTheme="minorEastAsia"/>
          <w:b/>
          <w:bCs/>
          <w:kern w:val="28"/>
          <w:sz w:val="28"/>
          <w:szCs w:val="32"/>
          <w:lang w:val="en-US" w:eastAsia="zh-CN" w:bidi="ar-SA"/>
        </w:rPr>
      </w:pPr>
      <w:r>
        <w:rPr>
          <w:rFonts w:hint="eastAsia" w:ascii="Cambria" w:hAnsi="Cambria" w:cs="Times New Roman" w:eastAsiaTheme="minorEastAsia"/>
          <w:b/>
          <w:bCs/>
          <w:kern w:val="28"/>
          <w:sz w:val="28"/>
          <w:szCs w:val="32"/>
          <w:lang w:val="en-US" w:eastAsia="zh-CN" w:bidi="ar-SA"/>
        </w:rPr>
        <w:br w:type="page"/>
      </w:r>
    </w:p>
    <w:p>
      <w:pPr>
        <w:spacing w:line="360" w:lineRule="auto"/>
        <w:jc w:val="center"/>
        <w:rPr>
          <w:rFonts w:hint="eastAsia" w:ascii="Cambria" w:hAnsi="Cambria" w:cs="Times New Roman" w:eastAsiaTheme="minorEastAsia"/>
          <w:b/>
          <w:bCs/>
          <w:kern w:val="28"/>
          <w:sz w:val="28"/>
          <w:szCs w:val="32"/>
          <w:lang w:val="en-US" w:eastAsia="zh-CN" w:bidi="ar-SA"/>
        </w:rPr>
      </w:pPr>
      <w:r>
        <w:rPr>
          <w:rFonts w:hint="eastAsia" w:ascii="Cambria" w:hAnsi="Cambria" w:cs="Times New Roman" w:eastAsiaTheme="minorEastAsia"/>
          <w:b/>
          <w:bCs/>
          <w:kern w:val="28"/>
          <w:sz w:val="28"/>
          <w:szCs w:val="32"/>
          <w:lang w:val="en-US" w:eastAsia="zh-CN" w:bidi="ar-SA"/>
        </w:rPr>
        <w:t>第二章   投标人须知</w:t>
      </w:r>
    </w:p>
    <w:p>
      <w:pPr>
        <w:pStyle w:val="43"/>
        <w:numPr>
          <w:ilvl w:val="0"/>
          <w:numId w:val="0"/>
        </w:numPr>
        <w:spacing w:line="460" w:lineRule="exact"/>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招标简介：</w:t>
      </w:r>
    </w:p>
    <w:p>
      <w:pPr>
        <w:widowControl w:val="0"/>
        <w:tabs>
          <w:tab w:val="left" w:pos="720"/>
        </w:tabs>
        <w:spacing w:line="460" w:lineRule="exact"/>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（一）招标单位：</w:t>
      </w:r>
      <w:r>
        <w:rPr>
          <w:rFonts w:hint="eastAsia" w:asciiTheme="minorEastAsia" w:hAnsiTheme="minorEastAsia" w:eastAsiaTheme="minorEastAsia" w:cstheme="minorEastAsia"/>
          <w:sz w:val="24"/>
          <w:szCs w:val="24"/>
          <w:lang w:eastAsia="zh-CN"/>
        </w:rPr>
        <w:t>深圳市龙岗区耳鼻咽喉医院</w:t>
      </w:r>
    </w:p>
    <w:p>
      <w:pPr>
        <w:widowControl w:val="0"/>
        <w:tabs>
          <w:tab w:val="left" w:pos="720"/>
        </w:tabs>
        <w:spacing w:line="460" w:lineRule="exact"/>
        <w:ind w:firstLine="240"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（二）地    址：深圳市龙岗区龙岗大道</w:t>
      </w:r>
      <w:r>
        <w:rPr>
          <w:rFonts w:hint="eastAsia" w:asciiTheme="minorEastAsia" w:hAnsiTheme="minorEastAsia" w:eastAsiaTheme="minorEastAsia" w:cstheme="minorEastAsia"/>
          <w:sz w:val="24"/>
          <w:szCs w:val="24"/>
          <w:lang w:val="en-US" w:eastAsia="zh-CN"/>
        </w:rPr>
        <w:t>3004</w:t>
      </w:r>
      <w:r>
        <w:rPr>
          <w:rFonts w:hint="eastAsia" w:asciiTheme="minorEastAsia" w:hAnsiTheme="minorEastAsia" w:eastAsiaTheme="minorEastAsia" w:cstheme="minorEastAsia"/>
          <w:sz w:val="24"/>
          <w:szCs w:val="24"/>
        </w:rPr>
        <w:t>号</w:t>
      </w:r>
    </w:p>
    <w:p>
      <w:pPr>
        <w:widowControl w:val="0"/>
        <w:tabs>
          <w:tab w:val="left" w:pos="720"/>
        </w:tabs>
        <w:spacing w:line="460" w:lineRule="exact"/>
        <w:ind w:firstLine="240" w:firstLineChars="100"/>
        <w:jc w:val="both"/>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color w:val="auto"/>
          <w:sz w:val="24"/>
          <w:szCs w:val="24"/>
          <w:highlight w:val="yellow"/>
        </w:rPr>
        <w:t>资金来源：</w:t>
      </w:r>
      <w:r>
        <w:rPr>
          <w:rFonts w:hint="eastAsia" w:asciiTheme="minorEastAsia" w:hAnsiTheme="minorEastAsia" w:cstheme="minorEastAsia"/>
          <w:color w:val="auto"/>
          <w:sz w:val="24"/>
          <w:szCs w:val="24"/>
          <w:highlight w:val="yellow"/>
          <w:lang w:val="en-US" w:eastAsia="zh-CN"/>
        </w:rPr>
        <w:t>财政资金</w:t>
      </w:r>
    </w:p>
    <w:p>
      <w:pPr>
        <w:spacing w:line="460" w:lineRule="exact"/>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cstheme="minorEastAsia"/>
          <w:b/>
          <w:sz w:val="24"/>
          <w:szCs w:val="24"/>
          <w:lang w:val="en-US" w:eastAsia="zh-CN"/>
        </w:rPr>
        <w:t>采购</w:t>
      </w:r>
      <w:r>
        <w:rPr>
          <w:rFonts w:hint="eastAsia" w:asciiTheme="minorEastAsia" w:hAnsiTheme="minorEastAsia" w:eastAsiaTheme="minorEastAsia" w:cstheme="minorEastAsia"/>
          <w:b/>
          <w:sz w:val="24"/>
          <w:szCs w:val="24"/>
        </w:rPr>
        <w:t>方式：</w:t>
      </w:r>
    </w:p>
    <w:p>
      <w:pPr>
        <w:spacing w:line="460" w:lineRule="exact"/>
        <w:jc w:val="both"/>
        <w:rPr>
          <w:rFonts w:hint="eastAsia" w:ascii="宋体" w:hAnsi="宋体"/>
          <w:sz w:val="24"/>
          <w:szCs w:val="24"/>
          <w:highlight w:val="none"/>
        </w:rPr>
      </w:pPr>
      <w:r>
        <w:rPr>
          <w:rFonts w:hint="eastAsia" w:ascii="宋体" w:hAnsi="宋体"/>
          <w:sz w:val="24"/>
          <w:szCs w:val="24"/>
          <w:highlight w:val="none"/>
          <w:lang w:val="en-US" w:eastAsia="zh-CN"/>
        </w:rPr>
        <w:t>深圳市龙岗区耳鼻咽喉医院</w:t>
      </w:r>
      <w:r>
        <w:rPr>
          <w:rFonts w:hint="eastAsia" w:ascii="宋体" w:hAnsi="宋体"/>
          <w:sz w:val="24"/>
          <w:szCs w:val="24"/>
          <w:highlight w:val="none"/>
        </w:rPr>
        <w:t>院内公开</w:t>
      </w:r>
      <w:r>
        <w:rPr>
          <w:rFonts w:hint="eastAsia" w:ascii="宋体" w:hAnsi="宋体"/>
          <w:sz w:val="24"/>
          <w:szCs w:val="24"/>
          <w:highlight w:val="none"/>
          <w:lang w:val="en-US" w:eastAsia="zh-CN"/>
        </w:rPr>
        <w:t>招标</w:t>
      </w:r>
      <w:r>
        <w:rPr>
          <w:rFonts w:hint="eastAsia" w:ascii="宋体" w:hAnsi="宋体"/>
          <w:sz w:val="24"/>
          <w:szCs w:val="24"/>
          <w:highlight w:val="none"/>
        </w:rPr>
        <w:t>。</w:t>
      </w:r>
    </w:p>
    <w:p>
      <w:pPr>
        <w:spacing w:line="460" w:lineRule="exact"/>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三</w:t>
      </w:r>
      <w:r>
        <w:rPr>
          <w:rFonts w:hint="eastAsia" w:asciiTheme="minorEastAsia" w:hAnsiTheme="minorEastAsia" w:eastAsiaTheme="minorEastAsia" w:cstheme="minorEastAsia"/>
          <w:b/>
          <w:sz w:val="24"/>
          <w:szCs w:val="24"/>
          <w:highlight w:val="none"/>
        </w:rPr>
        <w:t>、投标</w:t>
      </w:r>
      <w:r>
        <w:rPr>
          <w:rFonts w:hint="eastAsia" w:asciiTheme="minorEastAsia" w:hAnsiTheme="minorEastAsia" w:eastAsiaTheme="minorEastAsia" w:cstheme="minorEastAsia"/>
          <w:b/>
          <w:sz w:val="24"/>
          <w:szCs w:val="24"/>
          <w:highlight w:val="none"/>
          <w:lang w:val="en-US" w:eastAsia="zh-CN"/>
        </w:rPr>
        <w:t>人</w:t>
      </w:r>
      <w:r>
        <w:rPr>
          <w:rFonts w:hint="eastAsia" w:asciiTheme="minorEastAsia" w:hAnsiTheme="minorEastAsia" w:eastAsiaTheme="minorEastAsia" w:cstheme="minorEastAsia"/>
          <w:b/>
          <w:sz w:val="24"/>
          <w:szCs w:val="24"/>
          <w:highlight w:val="none"/>
        </w:rPr>
        <w:t>应满足及同意如下条款：</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（一）同意按招标文件的要求提供完整投标资料，不在</w:t>
      </w:r>
      <w:r>
        <w:rPr>
          <w:rFonts w:hint="eastAsia" w:asciiTheme="minorEastAsia" w:hAnsiTheme="minorEastAsia" w:eastAsiaTheme="minorEastAsia" w:cstheme="minorEastAsia"/>
          <w:bCs/>
          <w:kern w:val="44"/>
          <w:sz w:val="24"/>
          <w:szCs w:val="24"/>
          <w:highlight w:val="none"/>
        </w:rPr>
        <w:t>投标文件的行间插字、涂改或增删。</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（二）同意承担因中标后违反招标文件要求而直接影响招标单位的工作正常运转，甚至造成不良后果的全部责任。</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（三）同意招标单位的招标项目需求。</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（四）保证在投标报价时按实际情况报价，并保证按质按量完成交付成果。</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（五）同意承担因用极端低价进行恶意竞争而造成的各种不良后果的全部责任。</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（六）同意中标后，如在履行合同过程中不能按本招标文件的要求和服务满足招标方，同意招标方单方中止合同。</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（七）在中标人被终止合同后，候选中标人如接到招标方通知要求时，应按照投标文件的要求提供服务启动签合同程序。</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（八）同意在接到中标通知书之日起10个工作日内到招标单位签订合同。</w:t>
      </w:r>
    </w:p>
    <w:p>
      <w:pPr>
        <w:spacing w:line="460" w:lineRule="exact"/>
        <w:ind w:firstLine="241"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sz w:val="24"/>
          <w:szCs w:val="24"/>
          <w:highlight w:val="none"/>
          <w:lang w:val="en-US" w:eastAsia="zh-CN"/>
        </w:rPr>
        <w:t>四、中标结果公示：</w:t>
      </w:r>
      <w:r>
        <w:rPr>
          <w:rFonts w:hint="eastAsia" w:asciiTheme="minorEastAsia" w:hAnsiTheme="minorEastAsia" w:eastAsiaTheme="minorEastAsia" w:cstheme="minorEastAsia"/>
          <w:sz w:val="24"/>
          <w:szCs w:val="24"/>
          <w:highlight w:val="none"/>
        </w:rPr>
        <w:t>中标结果将在龙岗区政府在线网公示3</w:t>
      </w:r>
      <w:r>
        <w:rPr>
          <w:rFonts w:hint="eastAsia" w:asciiTheme="minorEastAsia" w:hAnsiTheme="minorEastAsia" w:cstheme="minorEastAsia"/>
          <w:sz w:val="24"/>
          <w:szCs w:val="24"/>
          <w:highlight w:val="none"/>
          <w:lang w:val="en-US" w:eastAsia="zh-CN"/>
        </w:rPr>
        <w:t>个工作</w:t>
      </w:r>
      <w:r>
        <w:rPr>
          <w:rFonts w:hint="eastAsia" w:asciiTheme="minorEastAsia" w:hAnsiTheme="minorEastAsia" w:eastAsiaTheme="minorEastAsia" w:cstheme="minorEastAsia"/>
          <w:sz w:val="24"/>
          <w:szCs w:val="24"/>
          <w:highlight w:val="none"/>
        </w:rPr>
        <w:t>日，如无质疑，医院将与中标单位签订合同，未入围的单位不再另行通知。</w:t>
      </w:r>
    </w:p>
    <w:p>
      <w:pPr>
        <w:spacing w:line="460" w:lineRule="exact"/>
        <w:ind w:firstLine="241" w:firstLineChars="1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五</w:t>
      </w:r>
      <w:r>
        <w:rPr>
          <w:rFonts w:hint="eastAsia" w:asciiTheme="minorEastAsia" w:hAnsiTheme="minorEastAsia" w:eastAsiaTheme="minorEastAsia" w:cstheme="minorEastAsia"/>
          <w:b/>
          <w:sz w:val="24"/>
          <w:szCs w:val="24"/>
          <w:highlight w:val="none"/>
        </w:rPr>
        <w:t>、定标原则：</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（一）遵循公开、公平、公正的原则；</w:t>
      </w:r>
    </w:p>
    <w:p>
      <w:pPr>
        <w:tabs>
          <w:tab w:val="left" w:pos="7200"/>
        </w:tabs>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（二）坚持质量优先、服务至上的原则。</w:t>
      </w:r>
    </w:p>
    <w:p>
      <w:pPr>
        <w:tabs>
          <w:tab w:val="left" w:pos="7200"/>
        </w:tabs>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pacing w:val="6"/>
          <w:kern w:val="11"/>
          <w:sz w:val="24"/>
          <w:szCs w:val="24"/>
          <w:highlight w:val="none"/>
        </w:rPr>
        <w:t>开标评审（定标）</w:t>
      </w:r>
      <w:r>
        <w:rPr>
          <w:rFonts w:hint="eastAsia" w:asciiTheme="minorEastAsia" w:hAnsiTheme="minorEastAsia" w:eastAsiaTheme="minorEastAsia" w:cstheme="minorEastAsia"/>
          <w:sz w:val="24"/>
          <w:szCs w:val="24"/>
          <w:highlight w:val="none"/>
        </w:rPr>
        <w:t>：招标人当众拆封，宣读投标人名称、投标价格以及投标文件中的其他主要内容，并进行审查。</w:t>
      </w:r>
    </w:p>
    <w:p>
      <w:pPr>
        <w:spacing w:line="460" w:lineRule="exact"/>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（四）医院纪审部门全程有效监督。</w:t>
      </w:r>
    </w:p>
    <w:p>
      <w:pPr>
        <w:widowControl/>
        <w:shd w:val="clear" w:color="auto" w:fill="FFFFFF"/>
        <w:spacing w:line="500" w:lineRule="exact"/>
        <w:ind w:firstLine="241" w:firstLineChars="100"/>
        <w:jc w:val="left"/>
        <w:rPr>
          <w:rFonts w:ascii="仿宋" w:hAnsi="仿宋" w:eastAsia="仿宋" w:cs="仿宋"/>
          <w:b/>
          <w:bCs/>
          <w:color w:val="000000"/>
          <w:sz w:val="24"/>
          <w:szCs w:val="24"/>
          <w:highlight w:val="none"/>
        </w:rPr>
      </w:pPr>
      <w:r>
        <w:rPr>
          <w:rFonts w:hint="eastAsia" w:asciiTheme="minorEastAsia" w:hAnsiTheme="minorEastAsia" w:cstheme="minorEastAsia"/>
          <w:b/>
          <w:sz w:val="24"/>
          <w:szCs w:val="24"/>
          <w:highlight w:val="none"/>
          <w:lang w:val="en-US" w:eastAsia="zh-CN"/>
        </w:rPr>
        <w:t>六、评标方法</w:t>
      </w:r>
    </w:p>
    <w:p>
      <w:pPr>
        <w:spacing w:line="460" w:lineRule="exact"/>
        <w:ind w:firstLine="480" w:firstLineChars="200"/>
        <w:rPr>
          <w:rFonts w:hint="eastAsia"/>
          <w:sz w:val="24"/>
          <w:szCs w:val="24"/>
          <w:highlight w:val="none"/>
        </w:rPr>
      </w:pPr>
      <w:r>
        <w:rPr>
          <w:rFonts w:hint="eastAsia" w:asciiTheme="minorEastAsia" w:hAnsiTheme="minorEastAsia" w:eastAsiaTheme="minorEastAsia" w:cstheme="minorEastAsia"/>
          <w:sz w:val="24"/>
          <w:szCs w:val="24"/>
          <w:highlight w:val="none"/>
        </w:rPr>
        <w:t>本次采用综合评标法，最高分为中标单位，并经龙岗</w:t>
      </w:r>
      <w:r>
        <w:rPr>
          <w:rFonts w:hint="eastAsia" w:asciiTheme="minorEastAsia" w:hAnsiTheme="minorEastAsia" w:cstheme="minorEastAsia"/>
          <w:sz w:val="24"/>
          <w:szCs w:val="24"/>
          <w:highlight w:val="none"/>
          <w:lang w:val="en-US" w:eastAsia="zh-CN"/>
        </w:rPr>
        <w:t>区耳鼻咽喉医院</w:t>
      </w:r>
      <w:r>
        <w:rPr>
          <w:rFonts w:hint="eastAsia" w:asciiTheme="minorEastAsia" w:hAnsiTheme="minorEastAsia" w:eastAsiaTheme="minorEastAsia" w:cstheme="minorEastAsia"/>
          <w:sz w:val="24"/>
          <w:szCs w:val="24"/>
          <w:highlight w:val="none"/>
        </w:rPr>
        <w:t>评标小组审核确定中标单位。</w:t>
      </w:r>
    </w:p>
    <w:p>
      <w:pPr>
        <w:spacing w:line="460" w:lineRule="exact"/>
        <w:ind w:firstLine="241" w:firstLineChars="1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bCs/>
          <w:sz w:val="24"/>
          <w:szCs w:val="24"/>
          <w:highlight w:val="none"/>
          <w:lang w:val="en-US" w:eastAsia="zh-CN"/>
        </w:rPr>
        <w:t>七</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sz w:val="24"/>
          <w:szCs w:val="24"/>
          <w:highlight w:val="none"/>
        </w:rPr>
        <w:t>无效标（废标）的认定：</w:t>
      </w:r>
    </w:p>
    <w:p>
      <w:pPr>
        <w:spacing w:line="460" w:lineRule="exact"/>
        <w:ind w:firstLine="360" w:firstLineChars="15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出现下列情况之一，“投标文件”为无效标（废标）：</w:t>
      </w:r>
    </w:p>
    <w:p>
      <w:pPr>
        <w:spacing w:line="460" w:lineRule="exact"/>
        <w:ind w:firstLine="360" w:firstLineChars="15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未按招投标文件的要求填报相关资料（包括样式和顺序等）；</w:t>
      </w:r>
    </w:p>
    <w:p>
      <w:pPr>
        <w:spacing w:line="460" w:lineRule="exact"/>
        <w:ind w:firstLine="360" w:firstLineChars="15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违反本招标文件的规定；</w:t>
      </w:r>
    </w:p>
    <w:p>
      <w:pPr>
        <w:spacing w:line="460" w:lineRule="exact"/>
        <w:ind w:firstLine="360" w:firstLineChars="15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未准时递交投标书，未准时出席开标评审会议；</w:t>
      </w:r>
    </w:p>
    <w:p>
      <w:pPr>
        <w:spacing w:line="460" w:lineRule="exact"/>
        <w:ind w:firstLine="360" w:firstLineChars="150"/>
        <w:jc w:val="both"/>
        <w:rPr>
          <w:rFonts w:hint="eastAsia" w:asciiTheme="minorEastAsia" w:hAnsiTheme="minorEastAsia" w:eastAsiaTheme="minorEastAsia" w:cstheme="minorEastAsia"/>
          <w:bCs/>
          <w:kern w:val="44"/>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的投标文件资料不齐全或填报不完整或</w:t>
      </w:r>
      <w:r>
        <w:rPr>
          <w:rFonts w:hint="eastAsia" w:asciiTheme="minorEastAsia" w:hAnsiTheme="minorEastAsia" w:eastAsiaTheme="minorEastAsia" w:cstheme="minorEastAsia"/>
          <w:bCs/>
          <w:kern w:val="44"/>
          <w:sz w:val="24"/>
          <w:szCs w:val="24"/>
          <w:highlight w:val="none"/>
        </w:rPr>
        <w:t>对提交的投标文件行间插字、涂改</w:t>
      </w:r>
      <w:r>
        <w:rPr>
          <w:rFonts w:hint="eastAsia" w:asciiTheme="minorEastAsia" w:hAnsiTheme="minorEastAsia" w:cstheme="minorEastAsia"/>
          <w:bCs/>
          <w:kern w:val="44"/>
          <w:sz w:val="24"/>
          <w:szCs w:val="24"/>
          <w:highlight w:val="none"/>
          <w:lang w:eastAsia="zh-CN"/>
        </w:rPr>
        <w:t>、</w:t>
      </w:r>
      <w:r>
        <w:rPr>
          <w:rFonts w:hint="eastAsia" w:asciiTheme="minorEastAsia" w:hAnsiTheme="minorEastAsia" w:eastAsiaTheme="minorEastAsia" w:cstheme="minorEastAsia"/>
          <w:bCs/>
          <w:kern w:val="44"/>
          <w:sz w:val="24"/>
          <w:szCs w:val="24"/>
          <w:highlight w:val="none"/>
        </w:rPr>
        <w:t>增删；</w:t>
      </w:r>
    </w:p>
    <w:p>
      <w:pPr>
        <w:spacing w:line="460" w:lineRule="exact"/>
        <w:ind w:firstLine="241" w:firstLineChars="1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八</w:t>
      </w:r>
      <w:r>
        <w:rPr>
          <w:rFonts w:hint="eastAsia" w:asciiTheme="minorEastAsia" w:hAnsiTheme="minorEastAsia" w:eastAsiaTheme="minorEastAsia" w:cstheme="minorEastAsia"/>
          <w:b/>
          <w:sz w:val="24"/>
          <w:szCs w:val="24"/>
          <w:highlight w:val="none"/>
        </w:rPr>
        <w:t>、其他要求：</w:t>
      </w:r>
    </w:p>
    <w:p>
      <w:pPr>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投标报价表建议采用电脑打印，如手工填写必须在有涂改的地方盖上公章，否则视为报价不规范。如出现报价不规范的视为废标，有故意涂改情节的单位列入我院黑名单，3年内不得参加我院的任何投标。</w:t>
      </w:r>
    </w:p>
    <w:p>
      <w:pPr>
        <w:spacing w:line="340" w:lineRule="exact"/>
        <w:ind w:firstLine="2891" w:firstLineChars="1200"/>
        <w:rPr>
          <w:rFonts w:hint="eastAsia" w:asciiTheme="minorEastAsia" w:hAnsiTheme="minorEastAsia" w:eastAsiaTheme="minorEastAsia" w:cstheme="minorEastAsia"/>
          <w:b/>
          <w:sz w:val="24"/>
          <w:szCs w:val="24"/>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0"/>
        <w:jc w:val="left"/>
        <w:textAlignment w:val="auto"/>
        <w:rPr>
          <w:rFonts w:hint="eastAsia" w:ascii="宋体" w:hAnsi="宋体" w:eastAsia="宋体" w:cs="宋体"/>
          <w:bCs/>
          <w:color w:val="333333"/>
          <w:kern w:val="0"/>
          <w:sz w:val="24"/>
          <w:szCs w:val="24"/>
          <w:shd w:val="clear" w:color="auto" w:fill="FFFFFF"/>
          <w:lang w:val="en-US" w:eastAsia="zh-CN" w:bidi="ar-SA"/>
        </w:rPr>
      </w:pPr>
    </w:p>
    <w:p>
      <w:pPr>
        <w:rPr>
          <w:rFonts w:hint="eastAsia" w:asciiTheme="minorEastAsia" w:hAnsiTheme="minorEastAsia" w:eastAsiaTheme="minorEastAsia" w:cstheme="minorEastAsia"/>
          <w:sz w:val="24"/>
          <w:szCs w:val="24"/>
        </w:rPr>
      </w:pPr>
    </w:p>
    <w:p>
      <w:pPr>
        <w:spacing w:line="340" w:lineRule="exact"/>
        <w:jc w:val="center"/>
        <w:rPr>
          <w:rFonts w:hint="eastAsia" w:asciiTheme="minorEastAsia" w:hAnsiTheme="minorEastAsia" w:eastAsiaTheme="minorEastAsia" w:cstheme="minorEastAsia"/>
          <w:b/>
          <w:sz w:val="24"/>
          <w:szCs w:val="24"/>
        </w:rPr>
      </w:pPr>
      <w:bookmarkStart w:id="21" w:name="_Toc128884461"/>
      <w:bookmarkStart w:id="22" w:name="_Toc3776"/>
    </w:p>
    <w:p>
      <w:pPr>
        <w:spacing w:line="360" w:lineRule="auto"/>
        <w:jc w:val="center"/>
        <w:rPr>
          <w:rFonts w:hint="eastAsia" w:ascii="Cambria" w:hAnsi="Cambria" w:cs="Times New Roman" w:eastAsiaTheme="minorEastAsia"/>
          <w:b/>
          <w:bCs/>
          <w:kern w:val="28"/>
          <w:sz w:val="28"/>
          <w:szCs w:val="32"/>
          <w:lang w:val="en-US" w:eastAsia="zh-CN" w:bidi="ar-SA"/>
        </w:rPr>
      </w:pPr>
      <w:r>
        <w:rPr>
          <w:rFonts w:hint="eastAsia" w:ascii="Cambria" w:hAnsi="Cambria" w:cs="Times New Roman" w:eastAsiaTheme="minorEastAsia"/>
          <w:b/>
          <w:bCs/>
          <w:kern w:val="28"/>
          <w:sz w:val="28"/>
          <w:szCs w:val="32"/>
          <w:lang w:val="en-US" w:eastAsia="zh-CN" w:bidi="ar-SA"/>
        </w:rPr>
        <w:t>第三章   用户需求书</w:t>
      </w:r>
    </w:p>
    <w:p>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说明：</w:t>
      </w:r>
    </w:p>
    <w:p>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cstheme="minorEastAsia"/>
          <w:b/>
          <w:bCs/>
          <w:color w:val="FF0000"/>
          <w:sz w:val="24"/>
          <w:szCs w:val="24"/>
          <w:lang w:val="en-US" w:eastAsia="zh-CN"/>
        </w:rPr>
        <w:t>1.</w:t>
      </w:r>
      <w:r>
        <w:rPr>
          <w:rFonts w:hint="eastAsia" w:asciiTheme="minorEastAsia" w:hAnsiTheme="minorEastAsia" w:eastAsiaTheme="minorEastAsia" w:cstheme="minorEastAsia"/>
          <w:b/>
          <w:bCs/>
          <w:color w:val="FF0000"/>
          <w:sz w:val="24"/>
          <w:szCs w:val="24"/>
        </w:rPr>
        <w:t>投标人须对本项目的采购标的或服务内容进行整体响应，任何只对采购标的或服务内容其中一部分内容进行的响应都被视为无效投标。</w:t>
      </w:r>
    </w:p>
    <w:p>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cstheme="minorEastAsia"/>
          <w:b/>
          <w:bCs/>
          <w:color w:val="FF0000"/>
          <w:sz w:val="24"/>
          <w:szCs w:val="24"/>
          <w:lang w:val="en-US" w:eastAsia="zh-CN"/>
        </w:rPr>
        <w:t>2.</w:t>
      </w:r>
      <w:r>
        <w:rPr>
          <w:rFonts w:hint="eastAsia" w:asciiTheme="minorEastAsia" w:hAnsiTheme="minorEastAsia" w:eastAsiaTheme="minorEastAsia" w:cstheme="minorEastAsia"/>
          <w:b/>
          <w:bCs/>
          <w:color w:val="FF0000"/>
          <w:sz w:val="24"/>
          <w:szCs w:val="24"/>
          <w:lang w:val="en-US" w:eastAsia="zh-CN"/>
        </w:rPr>
        <w:t>评分时，如对一项招标商务要求（以划分框为准）中的内容存在两处（或以上）负偏离的，</w:t>
      </w:r>
      <w:r>
        <w:rPr>
          <w:rFonts w:hint="eastAsia" w:asciiTheme="minorEastAsia" w:hAnsiTheme="minorEastAsia" w:cstheme="minorEastAsia"/>
          <w:b/>
          <w:bCs/>
          <w:color w:val="FF0000"/>
          <w:sz w:val="24"/>
          <w:szCs w:val="24"/>
          <w:lang w:val="en-US" w:eastAsia="zh-CN"/>
        </w:rPr>
        <w:t>每条内容</w:t>
      </w:r>
      <w:r>
        <w:rPr>
          <w:rFonts w:hint="eastAsia" w:asciiTheme="minorEastAsia" w:hAnsiTheme="minorEastAsia" w:eastAsiaTheme="minorEastAsia" w:cstheme="minorEastAsia"/>
          <w:b/>
          <w:bCs/>
          <w:color w:val="FF0000"/>
          <w:sz w:val="24"/>
          <w:szCs w:val="24"/>
          <w:lang w:val="en-US" w:eastAsia="zh-CN"/>
        </w:rPr>
        <w:t>作一项负偏离扣分。</w:t>
      </w:r>
    </w:p>
    <w:p>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3.</w:t>
      </w:r>
      <w:r>
        <w:rPr>
          <w:rFonts w:hint="eastAsia" w:asciiTheme="minorEastAsia" w:hAnsiTheme="minorEastAsia" w:eastAsiaTheme="minorEastAsia" w:cstheme="minorEastAsia"/>
          <w:b/>
          <w:bCs/>
          <w:color w:val="FF0000"/>
          <w:sz w:val="24"/>
          <w:szCs w:val="24"/>
        </w:rPr>
        <w:t>用户需求书中打“★”号条款为实质性条款，有任何一条负偏离则导致无效投标。</w:t>
      </w:r>
    </w:p>
    <w:p>
      <w:pPr>
        <w:tabs>
          <w:tab w:val="left" w:pos="360"/>
        </w:tabs>
        <w:spacing w:line="460" w:lineRule="exact"/>
        <w:ind w:firstLine="482" w:firstLineChars="200"/>
        <w:jc w:val="both"/>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b/>
          <w:bCs/>
          <w:color w:val="FF0000"/>
          <w:sz w:val="24"/>
          <w:szCs w:val="24"/>
          <w:lang w:val="en-US" w:eastAsia="zh-CN"/>
        </w:rPr>
        <w:t>4.</w:t>
      </w:r>
      <w:r>
        <w:rPr>
          <w:rFonts w:hint="eastAsia" w:asciiTheme="minorEastAsia" w:hAnsiTheme="minorEastAsia" w:eastAsiaTheme="minorEastAsia" w:cstheme="minorEastAsia"/>
          <w:b/>
          <w:bCs/>
          <w:color w:val="FF0000"/>
          <w:sz w:val="24"/>
          <w:szCs w:val="24"/>
        </w:rPr>
        <w:t>用户需求书中打“▲”号条款为重要技术参数，但不作为无效投标条款。</w:t>
      </w:r>
    </w:p>
    <w:p>
      <w:pPr>
        <w:keepNext w:val="0"/>
        <w:keepLines w:val="0"/>
        <w:pageBreakBefore w:val="0"/>
        <w:overflowPunct/>
        <w:topLinePunct w:val="0"/>
        <w:bidi w:val="0"/>
        <w:spacing w:line="240" w:lineRule="auto"/>
        <w:ind w:left="351" w:firstLine="0" w:firstLineChars="0"/>
        <w:rPr>
          <w:rFonts w:hint="eastAsia" w:ascii="宋体" w:hAnsi="宋体" w:eastAsia="宋体" w:cs="宋体"/>
          <w:b/>
          <w:bCs/>
          <w:sz w:val="24"/>
          <w:szCs w:val="24"/>
          <w:lang w:eastAsia="zh-CN"/>
        </w:rPr>
      </w:pPr>
      <w:r>
        <w:rPr>
          <w:rFonts w:hint="eastAsia" w:ascii="宋体" w:hAnsi="宋体" w:eastAsia="宋体" w:cs="宋体"/>
          <w:b/>
          <w:bCs/>
          <w:spacing w:val="4"/>
          <w:sz w:val="24"/>
          <w:szCs w:val="24"/>
          <w:lang w:eastAsia="zh-CN"/>
        </w:rPr>
        <w:t>一、项目基本情况</w:t>
      </w:r>
    </w:p>
    <w:tbl>
      <w:tblPr>
        <w:tblStyle w:val="26"/>
        <w:tblpPr w:leftFromText="180" w:rightFromText="180" w:vertAnchor="text" w:horzAnchor="page" w:tblpX="1560" w:tblpY="586"/>
        <w:tblOverlap w:val="never"/>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028"/>
        <w:gridCol w:w="2113"/>
        <w:gridCol w:w="962"/>
        <w:gridCol w:w="825"/>
        <w:gridCol w:w="1348"/>
        <w:gridCol w:w="1554"/>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28"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113"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货物</w:t>
            </w:r>
            <w:r>
              <w:rPr>
                <w:rFonts w:hint="eastAsia" w:ascii="宋体" w:hAnsi="宋体" w:eastAsia="宋体" w:cs="宋体"/>
                <w:b/>
                <w:kern w:val="0"/>
                <w:sz w:val="24"/>
                <w:szCs w:val="24"/>
              </w:rPr>
              <w:t>名称</w:t>
            </w:r>
          </w:p>
        </w:tc>
        <w:tc>
          <w:tcPr>
            <w:tcW w:w="962"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rPr>
              <w:t>单位</w:t>
            </w:r>
          </w:p>
        </w:tc>
        <w:tc>
          <w:tcPr>
            <w:tcW w:w="825"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1348"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rPr>
            </w:pPr>
            <w:r>
              <w:rPr>
                <w:rFonts w:hint="eastAsia" w:ascii="宋体" w:hAnsi="宋体" w:eastAsia="宋体" w:cs="宋体"/>
                <w:b/>
                <w:kern w:val="0"/>
                <w:sz w:val="24"/>
                <w:szCs w:val="24"/>
              </w:rPr>
              <w:t>预算总价（万元）</w:t>
            </w:r>
          </w:p>
        </w:tc>
        <w:tc>
          <w:tcPr>
            <w:tcW w:w="1554"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rPr>
              <w:t>是否进口</w:t>
            </w:r>
          </w:p>
        </w:tc>
        <w:tc>
          <w:tcPr>
            <w:tcW w:w="1383"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b/>
                <w:kern w:val="0"/>
                <w:sz w:val="24"/>
                <w:szCs w:val="24"/>
              </w:rPr>
            </w:pPr>
            <w:r>
              <w:rPr>
                <w:rFonts w:hint="eastAsia" w:ascii="宋体" w:hAnsi="宋体" w:cs="宋体"/>
                <w:b/>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28" w:type="dxa"/>
            <w:shd w:val="clear" w:color="000000"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113"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染色机</w:t>
            </w:r>
          </w:p>
        </w:tc>
        <w:tc>
          <w:tcPr>
            <w:tcW w:w="962"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套</w:t>
            </w:r>
          </w:p>
        </w:tc>
        <w:tc>
          <w:tcPr>
            <w:tcW w:w="825"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348"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1554"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拒绝进口</w:t>
            </w:r>
          </w:p>
        </w:tc>
        <w:tc>
          <w:tcPr>
            <w:tcW w:w="1383" w:type="dxa"/>
            <w:shd w:val="clear" w:color="000000" w:fill="FFFFFF"/>
            <w:vAlign w:val="center"/>
          </w:tcPr>
          <w:p>
            <w:pPr>
              <w:keepNext w:val="0"/>
              <w:keepLines w:val="0"/>
              <w:pageBreakBefore w:val="0"/>
              <w:widowControl/>
              <w:overflowPunct/>
              <w:topLinePunct w:val="0"/>
              <w:bidi w:val="0"/>
              <w:spacing w:line="240" w:lineRule="auto"/>
              <w:ind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SA"/>
              </w:rPr>
              <w:t>需提供第一类医疗器械备案证明</w:t>
            </w:r>
          </w:p>
        </w:tc>
      </w:tr>
    </w:tbl>
    <w:p>
      <w:pPr>
        <w:keepNext w:val="0"/>
        <w:keepLines w:val="0"/>
        <w:pageBreakBefore w:val="0"/>
        <w:numPr>
          <w:ilvl w:val="0"/>
          <w:numId w:val="0"/>
        </w:numPr>
        <w:overflowPunct/>
        <w:topLinePunct w:val="0"/>
        <w:bidi w:val="0"/>
        <w:spacing w:line="240" w:lineRule="auto"/>
        <w:rPr>
          <w:rFonts w:hint="eastAsia" w:ascii="宋体" w:hAnsi="宋体" w:eastAsia="宋体" w:cs="宋体"/>
          <w:bCs/>
          <w:color w:val="333333"/>
          <w:sz w:val="24"/>
          <w:szCs w:val="24"/>
          <w:highlight w:val="none"/>
          <w:shd w:val="clear" w:color="auto" w:fill="FFFFFF"/>
          <w:lang w:val="en-US" w:eastAsia="zh-CN"/>
        </w:rPr>
      </w:pPr>
      <w:r>
        <w:rPr>
          <w:rFonts w:hint="eastAsia" w:ascii="宋体" w:hAnsi="宋体" w:eastAsia="宋体" w:cs="宋体"/>
          <w:bCs/>
          <w:color w:val="333333"/>
          <w:sz w:val="24"/>
          <w:szCs w:val="24"/>
          <w:highlight w:val="none"/>
          <w:shd w:val="clear" w:color="auto" w:fill="FFFFFF"/>
          <w:lang w:val="en-US" w:eastAsia="zh-CN"/>
        </w:rPr>
        <w:t>核心产品：染色机</w:t>
      </w:r>
    </w:p>
    <w:p>
      <w:pPr>
        <w:pStyle w:val="2"/>
        <w:rPr>
          <w:rFonts w:hint="default"/>
          <w:lang w:val="en-US" w:eastAsia="zh-CN"/>
        </w:rPr>
      </w:pPr>
    </w:p>
    <w:p>
      <w:pPr>
        <w:keepNext w:val="0"/>
        <w:keepLines w:val="0"/>
        <w:pageBreakBefore w:val="0"/>
        <w:numPr>
          <w:ilvl w:val="0"/>
          <w:numId w:val="1"/>
        </w:numPr>
        <w:overflowPunct/>
        <w:topLinePunct w:val="0"/>
        <w:bidi w:val="0"/>
        <w:spacing w:line="240" w:lineRule="auto"/>
        <w:rPr>
          <w:rFonts w:hint="eastAsia"/>
          <w:sz w:val="24"/>
          <w:szCs w:val="24"/>
          <w:lang w:eastAsia="zh-CN"/>
        </w:rPr>
      </w:pPr>
      <w:r>
        <w:rPr>
          <w:rFonts w:hint="eastAsia" w:ascii="宋体" w:hAnsi="宋体" w:eastAsia="宋体" w:cs="宋体"/>
          <w:b/>
          <w:bCs/>
          <w:spacing w:val="6"/>
          <w:sz w:val="24"/>
          <w:szCs w:val="24"/>
          <w:lang w:eastAsia="zh-CN"/>
        </w:rPr>
        <w:t>技术要求与商务要求</w:t>
      </w:r>
    </w:p>
    <w:tbl>
      <w:tblPr>
        <w:tblStyle w:val="26"/>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配置</w:t>
            </w:r>
          </w:p>
        </w:tc>
        <w:tc>
          <w:tcPr>
            <w:tcW w:w="784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主要技术参数和指标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用途</w:t>
            </w:r>
          </w:p>
        </w:tc>
        <w:tc>
          <w:tcPr>
            <w:tcW w:w="78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overflowPunct/>
              <w:topLinePunct w:val="0"/>
              <w:bidi w:val="0"/>
              <w:spacing w:line="24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用于样本分析前对血液或其他体液的染色。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p>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p>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p>
          <w:p>
            <w:pPr>
              <w:keepNext w:val="0"/>
              <w:keepLines w:val="0"/>
              <w:pageBreakBefore w:val="0"/>
              <w:widowControl/>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一、主要技术及系统要求：</w:t>
            </w:r>
          </w:p>
        </w:tc>
        <w:tc>
          <w:tcPr>
            <w:tcW w:w="78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1.设备用途：用于微生物涂片的自动化革兰氏染色和抗酸染色。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2.▲染色模式：采用注液离心浸染方式，染液喷嘴使用大口径。</w:t>
            </w:r>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3.染色功能：二合一功能设计；采用经典四步法的革兰氏染色和抗酸染色（萋尼氏法/冷染法/荧光法、三选一），其中内置加热模块用于抗酸染色（萋尼氏法）。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4.具有触摸屏显示。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5.可设置中文操作界面。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6.染色进度条可实时显示。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7.染色程序可调节染液注入时间，染色等待时间。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8.染色舱内玻片架采用镀层处理，确保玻片架不被染液侵蚀；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9.每种试剂有单独输送管路，泵和喷嘴，避免交叉污染；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10.染色完成时，染片已经过离心干燥，可直接用于镜检。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11.▲具备水平仪设计，用于调整设备安装的水平位置，垂直位置。</w:t>
            </w:r>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12.▲染片量：≥16张片/轮。</w:t>
            </w:r>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13.▲染色速度：革兰氏染色≥80片/小时，抗酸染色（萋尼氏法）≥90片/小时，抗酸染色（冷染法）≥60片/小时，抗酸染色（荧光法）≥48片/小时。</w:t>
            </w:r>
            <w:bookmarkStart w:id="23" w:name="OLE_LINK1"/>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bookmarkEnd w:id="23"/>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14.染色液用量：≤2mL/片。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15.提供染色用标准玻片，用于仪器染色效果评估以及性能验证。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16.提供玻片处理仪，用于染色完成时玻片的干燥。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17.▲安全性能：只有盖子闭合时才能进行操作，仪器运行时自动开启电子锁。</w:t>
            </w:r>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18.低速离心：0～400rpm，保证操作人员的安全。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19.日常维护：染色机带有自动清洗功能，无需人工清洗。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20.具备液量报警系统。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lang w:val="en-US" w:eastAsia="zh-CN"/>
              </w:rPr>
            </w:pPr>
            <w:r>
              <w:rPr>
                <w:rFonts w:hint="eastAsia" w:ascii="宋体" w:hAnsi="宋体" w:eastAsia="宋体" w:cs="宋体"/>
                <w:color w:val="auto"/>
                <w:sz w:val="24"/>
                <w:szCs w:val="24"/>
                <w:highlight w:val="none"/>
                <w:lang w:val="en-US" w:eastAsia="zh-CN"/>
              </w:rPr>
              <w:t>21.具备故障报警系统。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85" w:type="dxa"/>
            <w:tcBorders>
              <w:top w:val="single" w:color="auto" w:sz="4" w:space="0"/>
              <w:left w:val="single" w:color="auto" w:sz="4" w:space="0"/>
              <w:bottom w:val="single" w:color="auto" w:sz="4" w:space="0"/>
              <w:right w:val="single" w:color="auto" w:sz="4" w:space="0"/>
            </w:tcBorders>
          </w:tcPr>
          <w:p>
            <w:pPr>
              <w:pStyle w:val="17"/>
              <w:bidi w:val="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★二、配置要求：</w:t>
            </w:r>
          </w:p>
        </w:tc>
        <w:tc>
          <w:tcPr>
            <w:tcW w:w="7847" w:type="dxa"/>
            <w:tcBorders>
              <w:top w:val="single" w:color="auto" w:sz="4" w:space="0"/>
              <w:left w:val="single" w:color="auto" w:sz="4" w:space="0"/>
              <w:bottom w:val="single" w:color="auto" w:sz="4" w:space="0"/>
              <w:right w:val="single" w:color="auto" w:sz="4" w:space="0"/>
            </w:tcBorders>
          </w:tcPr>
          <w:p>
            <w:pPr>
              <w:pStyle w:val="2"/>
              <w:numPr>
                <w:ilvl w:val="0"/>
                <w:numId w:val="0"/>
              </w:numPr>
              <w:ind w:leftChars="0"/>
              <w:rPr>
                <w:rFonts w:hint="default"/>
                <w:lang w:val="en-US" w:eastAsia="zh-CN"/>
              </w:rPr>
            </w:pPr>
            <w:r>
              <w:rPr>
                <w:rFonts w:hint="default"/>
                <w:lang w:val="en-US" w:eastAsia="zh-CN"/>
              </w:rPr>
              <w:t>1.主机1台</w:t>
            </w:r>
          </w:p>
          <w:p>
            <w:pPr>
              <w:pStyle w:val="2"/>
              <w:numPr>
                <w:ilvl w:val="0"/>
                <w:numId w:val="0"/>
              </w:numPr>
              <w:ind w:leftChars="0"/>
              <w:rPr>
                <w:rFonts w:hint="default"/>
                <w:lang w:val="en-US" w:eastAsia="zh-CN"/>
              </w:rPr>
            </w:pPr>
            <w:r>
              <w:rPr>
                <w:rFonts w:hint="default"/>
                <w:lang w:val="en-US" w:eastAsia="zh-CN"/>
              </w:rPr>
              <w:t>2.电源线1条</w:t>
            </w:r>
          </w:p>
          <w:p>
            <w:pPr>
              <w:pStyle w:val="2"/>
              <w:numPr>
                <w:ilvl w:val="0"/>
                <w:numId w:val="0"/>
              </w:numPr>
              <w:ind w:leftChars="0"/>
              <w:rPr>
                <w:rFonts w:hint="default"/>
                <w:lang w:val="en-US" w:eastAsia="zh-CN"/>
              </w:rPr>
            </w:pPr>
            <w:r>
              <w:rPr>
                <w:rFonts w:hint="default"/>
                <w:lang w:val="en-US" w:eastAsia="zh-CN"/>
              </w:rPr>
              <w:t>3.备用保险丝3A1个</w:t>
            </w:r>
          </w:p>
          <w:p>
            <w:pPr>
              <w:pStyle w:val="2"/>
              <w:numPr>
                <w:ilvl w:val="0"/>
                <w:numId w:val="0"/>
              </w:numPr>
              <w:ind w:leftChars="0"/>
              <w:rPr>
                <w:rFonts w:hint="default"/>
                <w:lang w:val="en-US" w:eastAsia="zh-CN"/>
              </w:rPr>
            </w:pPr>
            <w:r>
              <w:rPr>
                <w:rFonts w:hint="default"/>
                <w:lang w:val="en-US" w:eastAsia="zh-CN"/>
              </w:rPr>
              <w:t>4.备用保险丝15A1个</w:t>
            </w:r>
          </w:p>
          <w:p>
            <w:pPr>
              <w:pStyle w:val="2"/>
              <w:numPr>
                <w:ilvl w:val="0"/>
                <w:numId w:val="0"/>
              </w:numPr>
              <w:ind w:leftChars="0"/>
              <w:rPr>
                <w:rFonts w:hint="default"/>
                <w:lang w:val="en-US" w:eastAsia="zh-CN"/>
              </w:rPr>
            </w:pPr>
            <w:r>
              <w:rPr>
                <w:rFonts w:hint="eastAsia"/>
                <w:lang w:val="en-US" w:eastAsia="zh-CN"/>
              </w:rPr>
              <w:t>5.</w:t>
            </w:r>
            <w:r>
              <w:rPr>
                <w:rFonts w:hint="default"/>
                <w:lang w:val="en-US" w:eastAsia="zh-CN"/>
              </w:rPr>
              <w:t>废液管1根</w:t>
            </w:r>
          </w:p>
          <w:p>
            <w:pPr>
              <w:pStyle w:val="2"/>
              <w:numPr>
                <w:ilvl w:val="0"/>
                <w:numId w:val="0"/>
              </w:numPr>
              <w:ind w:leftChars="0"/>
              <w:rPr>
                <w:rFonts w:hint="default"/>
                <w:lang w:val="en-US" w:eastAsia="zh-CN"/>
              </w:rPr>
            </w:pPr>
            <w:r>
              <w:rPr>
                <w:rFonts w:hint="eastAsia"/>
                <w:lang w:val="en-US" w:eastAsia="zh-CN"/>
              </w:rPr>
              <w:t>6</w:t>
            </w:r>
            <w:r>
              <w:rPr>
                <w:rFonts w:hint="default"/>
                <w:lang w:val="en-US" w:eastAsia="zh-CN"/>
              </w:rPr>
              <w:t>.废液桶2个</w:t>
            </w:r>
          </w:p>
          <w:p>
            <w:pPr>
              <w:pStyle w:val="2"/>
              <w:numPr>
                <w:ilvl w:val="0"/>
                <w:numId w:val="0"/>
              </w:numPr>
              <w:ind w:leftChars="0"/>
              <w:rPr>
                <w:rFonts w:hint="default"/>
                <w:lang w:val="en-US" w:eastAsia="zh-CN"/>
              </w:rPr>
            </w:pPr>
            <w:r>
              <w:rPr>
                <w:rFonts w:hint="eastAsia"/>
                <w:lang w:val="en-US" w:eastAsia="zh-CN"/>
              </w:rPr>
              <w:t>7</w:t>
            </w:r>
            <w:r>
              <w:rPr>
                <w:rFonts w:hint="default"/>
                <w:lang w:val="en-US" w:eastAsia="zh-CN"/>
              </w:rPr>
              <w:t>.清水瓶1个</w:t>
            </w:r>
          </w:p>
          <w:p>
            <w:pPr>
              <w:pStyle w:val="2"/>
              <w:numPr>
                <w:ilvl w:val="0"/>
                <w:numId w:val="0"/>
              </w:numPr>
              <w:ind w:leftChars="0"/>
              <w:rPr>
                <w:rFonts w:hint="default"/>
                <w:lang w:val="en-US" w:eastAsia="zh-CN"/>
              </w:rPr>
            </w:pPr>
            <w:r>
              <w:rPr>
                <w:rFonts w:hint="eastAsia"/>
                <w:lang w:val="en-US" w:eastAsia="zh-CN"/>
              </w:rPr>
              <w:t>8</w:t>
            </w:r>
            <w:r>
              <w:rPr>
                <w:rFonts w:hint="default"/>
                <w:lang w:val="en-US" w:eastAsia="zh-CN"/>
              </w:rPr>
              <w:t>.试剂瓶座1个</w:t>
            </w:r>
          </w:p>
          <w:p>
            <w:pPr>
              <w:pStyle w:val="2"/>
              <w:numPr>
                <w:ilvl w:val="0"/>
                <w:numId w:val="0"/>
              </w:numPr>
              <w:ind w:leftChars="0"/>
              <w:rPr>
                <w:rFonts w:hint="default"/>
                <w:lang w:val="en-US" w:eastAsia="zh-CN"/>
              </w:rPr>
            </w:pPr>
            <w:r>
              <w:rPr>
                <w:rFonts w:hint="eastAsia"/>
                <w:lang w:val="en-US" w:eastAsia="zh-CN"/>
              </w:rPr>
              <w:t>9</w:t>
            </w:r>
            <w:r>
              <w:rPr>
                <w:rFonts w:hint="default"/>
                <w:lang w:val="en-US" w:eastAsia="zh-CN"/>
              </w:rPr>
              <w:t>.试剂瓶盖及连接管5个</w:t>
            </w:r>
          </w:p>
          <w:p>
            <w:pPr>
              <w:pStyle w:val="2"/>
              <w:numPr>
                <w:ilvl w:val="0"/>
                <w:numId w:val="0"/>
              </w:numPr>
              <w:ind w:leftChars="0"/>
              <w:rPr>
                <w:rFonts w:hint="eastAsia"/>
                <w:lang w:val="en-US" w:eastAsia="zh-CN"/>
              </w:rPr>
            </w:pPr>
            <w:r>
              <w:rPr>
                <w:rFonts w:hint="eastAsia"/>
                <w:lang w:val="en-US" w:eastAsia="zh-CN"/>
              </w:rPr>
              <w:t>10.玻片处理仪1个</w:t>
            </w:r>
          </w:p>
          <w:p>
            <w:pPr>
              <w:pStyle w:val="2"/>
              <w:numPr>
                <w:ilvl w:val="0"/>
                <w:numId w:val="0"/>
              </w:numPr>
              <w:ind w:leftChars="0"/>
              <w:rPr>
                <w:rFonts w:hint="default"/>
                <w:lang w:val="en-US" w:eastAsia="zh-CN"/>
              </w:rPr>
            </w:pPr>
            <w:r>
              <w:rPr>
                <w:rFonts w:hint="eastAsia"/>
                <w:lang w:val="en-US" w:eastAsia="zh-CN"/>
              </w:rPr>
              <w:t>11.染色用标准玻片1个</w:t>
            </w:r>
          </w:p>
        </w:tc>
      </w:tr>
    </w:tbl>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pacing w:val="6"/>
          <w:sz w:val="28"/>
          <w:szCs w:val="28"/>
          <w:lang w:val="en-US" w:eastAsia="zh-CN"/>
        </w:rPr>
      </w:pPr>
    </w:p>
    <w:p>
      <w:pPr>
        <w:keepNext w:val="0"/>
        <w:keepLines w:val="0"/>
        <w:pageBreakBefore w:val="0"/>
        <w:numPr>
          <w:ilvl w:val="0"/>
          <w:numId w:val="1"/>
        </w:numPr>
        <w:overflowPunct/>
        <w:topLinePunct w:val="0"/>
        <w:bidi w:val="0"/>
        <w:spacing w:line="240" w:lineRule="auto"/>
        <w:ind w:left="0" w:leftChars="0" w:firstLine="0" w:firstLineChars="0"/>
        <w:rPr>
          <w:rFonts w:hint="eastAsia"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商务要求</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报价</w:t>
            </w:r>
          </w:p>
        </w:tc>
        <w:tc>
          <w:tcPr>
            <w:tcW w:w="4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sz w:val="21"/>
                <w:szCs w:val="21"/>
                <w:highlight w:val="none"/>
              </w:rPr>
              <w:t>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交货地点</w:t>
            </w:r>
          </w:p>
        </w:tc>
        <w:tc>
          <w:tcPr>
            <w:tcW w:w="4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采购人指定位置</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深圳市龙岗区龙城街道黄阁路186号</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交货期</w:t>
            </w:r>
          </w:p>
        </w:tc>
        <w:tc>
          <w:tcPr>
            <w:tcW w:w="4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sz w:val="21"/>
                <w:szCs w:val="21"/>
                <w:highlight w:val="yellow"/>
                <w:lang w:val="en-US" w:eastAsia="zh-CN"/>
              </w:rPr>
              <w:t>合同签订后</w:t>
            </w:r>
            <w:r>
              <w:rPr>
                <w:rFonts w:hint="eastAsia" w:asciiTheme="minorEastAsia" w:hAnsiTheme="minorEastAsia" w:cstheme="minorEastAsia"/>
                <w:b w:val="0"/>
                <w:bCs w:val="0"/>
                <w:color w:val="10243F" w:themeColor="text2" w:themeShade="80"/>
                <w:sz w:val="21"/>
                <w:szCs w:val="21"/>
                <w:highlight w:val="yellow"/>
                <w:lang w:val="en-US" w:eastAsia="zh-CN"/>
              </w:rPr>
              <w:t>接到甲方通知</w:t>
            </w:r>
            <w:r>
              <w:rPr>
                <w:rFonts w:hint="eastAsia" w:asciiTheme="minorEastAsia" w:hAnsiTheme="minorEastAsia" w:eastAsiaTheme="minorEastAsia" w:cstheme="minorEastAsia"/>
                <w:b w:val="0"/>
                <w:bCs w:val="0"/>
                <w:color w:val="10243F" w:themeColor="text2" w:themeShade="80"/>
                <w:sz w:val="21"/>
                <w:szCs w:val="21"/>
                <w:highlight w:val="yellow"/>
                <w:lang w:val="en-US" w:eastAsia="zh-CN"/>
              </w:rPr>
              <w:t>30个日历日内完成交货。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付款方式</w:t>
            </w:r>
          </w:p>
        </w:tc>
        <w:tc>
          <w:tcPr>
            <w:tcW w:w="4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yellow"/>
                <w:lang w:eastAsia="zh-CN"/>
              </w:rPr>
            </w:pPr>
            <w:r>
              <w:rPr>
                <w:rFonts w:hint="eastAsia" w:asciiTheme="minorEastAsia" w:hAnsiTheme="minorEastAsia" w:eastAsiaTheme="minorEastAsia" w:cstheme="minorEastAsia"/>
                <w:b w:val="0"/>
                <w:bCs w:val="0"/>
                <w:color w:val="10243F" w:themeColor="text2" w:themeShade="80"/>
                <w:sz w:val="21"/>
                <w:szCs w:val="21"/>
                <w:highlight w:val="yellow"/>
                <w:lang w:eastAsia="zh-CN"/>
              </w:rPr>
              <w:t>1、分期支付：①合同签订、财政资金到位后且收到中标人的发票，支付中标人不高于项目总额 70%预付款；②设备到货、财政资金到位且收到中标人累计100%设备货款发票，按照相应规定支付中标人累计不高于项目总额</w:t>
            </w:r>
            <w:r>
              <w:rPr>
                <w:rFonts w:hint="eastAsia" w:asciiTheme="minorEastAsia" w:hAnsiTheme="minorEastAsia" w:eastAsiaTheme="minorEastAsia" w:cstheme="minorEastAsia"/>
                <w:b w:val="0"/>
                <w:bCs w:val="0"/>
                <w:color w:val="10243F" w:themeColor="text2" w:themeShade="80"/>
                <w:sz w:val="21"/>
                <w:szCs w:val="21"/>
                <w:highlight w:val="yellow"/>
                <w:lang w:val="en-US" w:eastAsia="zh-CN"/>
              </w:rPr>
              <w:t>95</w:t>
            </w:r>
            <w:r>
              <w:rPr>
                <w:rFonts w:hint="eastAsia" w:asciiTheme="minorEastAsia" w:hAnsiTheme="minorEastAsia" w:eastAsiaTheme="minorEastAsia" w:cstheme="minorEastAsia"/>
                <w:b w:val="0"/>
                <w:bCs w:val="0"/>
                <w:color w:val="10243F" w:themeColor="text2" w:themeShade="80"/>
                <w:sz w:val="21"/>
                <w:szCs w:val="21"/>
                <w:highlight w:val="yellow"/>
                <w:lang w:eastAsia="zh-CN"/>
              </w:rPr>
              <w:t>%货款；③设备验收合格、财政资金到位按照相应规定支付中标人剩余货款。当采购人本年度的资金预算不足以支付项目款项时，则需顺延至下年度支付。</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2</w:t>
            </w: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签订合同时</w:t>
            </w:r>
            <w:r>
              <w:rPr>
                <w:rFonts w:hint="eastAsia" w:asciiTheme="minorEastAsia" w:hAnsiTheme="minorEastAsia" w:eastAsiaTheme="minorEastAsia" w:cstheme="minorEastAsia"/>
                <w:b w:val="0"/>
                <w:bCs w:val="0"/>
                <w:color w:val="10243F" w:themeColor="text2" w:themeShade="80"/>
                <w:sz w:val="21"/>
                <w:szCs w:val="21"/>
                <w:highlight w:val="none"/>
                <w:lang w:eastAsia="zh-CN"/>
              </w:rPr>
              <w:t>需提交厂家</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出具的</w:t>
            </w:r>
            <w:r>
              <w:rPr>
                <w:rFonts w:hint="eastAsia" w:asciiTheme="minorEastAsia" w:hAnsiTheme="minorEastAsia" w:eastAsiaTheme="minorEastAsia" w:cstheme="minorEastAsia"/>
                <w:b w:val="0"/>
                <w:bCs w:val="0"/>
                <w:color w:val="10243F" w:themeColor="text2" w:themeShade="80"/>
                <w:sz w:val="21"/>
                <w:szCs w:val="21"/>
                <w:highlight w:val="yellow"/>
                <w:lang w:val="en-US" w:eastAsia="zh-CN"/>
              </w:rPr>
              <w:t>3年</w:t>
            </w:r>
            <w:r>
              <w:rPr>
                <w:rFonts w:hint="eastAsia" w:asciiTheme="minorEastAsia" w:hAnsiTheme="minorEastAsia" w:eastAsiaTheme="minorEastAsia" w:cstheme="minorEastAsia"/>
                <w:b w:val="0"/>
                <w:bCs w:val="0"/>
                <w:color w:val="10243F" w:themeColor="text2" w:themeShade="80"/>
                <w:sz w:val="21"/>
                <w:szCs w:val="21"/>
                <w:highlight w:val="none"/>
                <w:lang w:eastAsia="zh-CN"/>
              </w:rPr>
              <w:t>质保售后服务</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承诺书</w:t>
            </w:r>
            <w:r>
              <w:rPr>
                <w:rFonts w:hint="eastAsia" w:asciiTheme="minorEastAsia" w:hAnsiTheme="minorEastAsia" w:eastAsiaTheme="minorEastAsia" w:cstheme="minorEastAsia"/>
                <w:b w:val="0"/>
                <w:bCs w:val="0"/>
                <w:color w:val="10243F" w:themeColor="text2" w:themeShade="80"/>
                <w:sz w:val="21"/>
                <w:szCs w:val="21"/>
                <w:highlight w:val="none"/>
                <w:lang w:eastAsia="zh-CN"/>
              </w:rPr>
              <w:t>。</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1</w:t>
            </w:r>
            <w:r>
              <w:rPr>
                <w:rFonts w:hint="eastAsia" w:asciiTheme="minorEastAsia" w:hAnsiTheme="minorEastAsia" w:eastAsiaTheme="minorEastAsia" w:cstheme="minorEastAsia"/>
                <w:b w:val="0"/>
                <w:bCs w:val="0"/>
                <w:color w:val="10243F" w:themeColor="text2" w:themeShade="80"/>
                <w:sz w:val="21"/>
                <w:szCs w:val="21"/>
                <w:highlight w:val="none"/>
                <w:lang w:eastAsia="zh-CN"/>
              </w:rPr>
              <w:t>）如果采购人对中标人提供的产品有质量异议的，可以视具体情况暂时中止支付争议款项或其他相关款项，直到争议解除，采购人不因此承担延期付款的违约责任。</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2</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）中标人提供的产品不合格，或产品存在瑕疵、缺陷，采购人有权暂停支付中标人项目相应到期应付货款，且不视为采购人违约，直到双方正式处理完不合格产品为止。</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4</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5</w:t>
            </w:r>
            <w:r>
              <w:rPr>
                <w:rFonts w:hint="eastAsia" w:asciiTheme="minorEastAsia" w:hAnsiTheme="minorEastAsia" w:eastAsiaTheme="minorEastAsia" w:cstheme="minorEastAsia"/>
                <w:b w:val="0"/>
                <w:bCs w:val="0"/>
                <w:color w:val="10243F" w:themeColor="text2" w:themeShade="80"/>
                <w:sz w:val="21"/>
                <w:szCs w:val="21"/>
                <w:highlight w:val="none"/>
                <w:lang w:eastAsia="zh-CN"/>
              </w:rPr>
              <w:t>）采购人在规定时间向支付部门提出支付申请，如因财政支付部门审核时间导致无法按期支付的，采购人不承担违约责任。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right w:val="single" w:color="auto" w:sz="4" w:space="0"/>
            </w:tcBorders>
            <w:noWrap w:val="0"/>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验收方式</w:t>
            </w:r>
          </w:p>
        </w:tc>
        <w:tc>
          <w:tcPr>
            <w:tcW w:w="4043" w:type="pct"/>
            <w:tcBorders>
              <w:top w:val="single" w:color="auto" w:sz="4" w:space="0"/>
              <w:left w:val="single" w:color="auto" w:sz="4" w:space="0"/>
              <w:right w:val="single" w:color="auto" w:sz="4" w:space="0"/>
            </w:tcBorders>
            <w:noWrap w:val="0"/>
            <w:vAlign w:val="center"/>
          </w:tcPr>
          <w:p>
            <w:pPr>
              <w:keepNext w:val="0"/>
              <w:keepLines w:val="0"/>
              <w:pageBreakBefore w:val="0"/>
              <w:numPr>
                <w:ilvl w:val="0"/>
                <w:numId w:val="2"/>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货到安装，现场验收。中标人应派有经验的技术人员到现场进行安装、调试，直到设备正常使用。</w:t>
            </w:r>
          </w:p>
          <w:p>
            <w:pPr>
              <w:pStyle w:val="25"/>
              <w:numPr>
                <w:ilvl w:val="0"/>
                <w:numId w:val="0"/>
              </w:numPr>
              <w:rPr>
                <w:rFonts w:hint="eastAsia" w:asciiTheme="minorEastAsia" w:hAnsiTheme="minorEastAsia" w:eastAsiaTheme="minorEastAsia" w:cstheme="minorEastAsia"/>
                <w:b w:val="0"/>
                <w:bCs w:val="0"/>
                <w:color w:val="10243F" w:themeColor="text2" w:themeShade="80"/>
                <w:sz w:val="21"/>
                <w:szCs w:val="21"/>
                <w:highlight w:val="none"/>
                <w:lang w:val="en-US" w:eastAsia="zh-CN" w:bidi="ar-SA"/>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bidi="ar-SA"/>
              </w:rPr>
              <w:t>2、交货后30个日历日内完成安装、调试、交付使用，由采购人使用科室、设备科、中标人等代表在场进行验收。</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cstheme="minorEastAsia"/>
                <w:b w:val="0"/>
                <w:bCs w:val="0"/>
                <w:color w:val="1024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lang w:eastAsia="zh-CN"/>
              </w:rPr>
              <w:t>在本</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项目</w:t>
            </w:r>
            <w:r>
              <w:rPr>
                <w:rFonts w:hint="eastAsia" w:asciiTheme="minorEastAsia" w:hAnsiTheme="minorEastAsia" w:eastAsiaTheme="minorEastAsia" w:cstheme="minorEastAsia"/>
                <w:b w:val="0"/>
                <w:bCs w:val="0"/>
                <w:color w:val="10243F" w:themeColor="text2" w:themeShade="80"/>
                <w:sz w:val="21"/>
                <w:szCs w:val="21"/>
                <w:highlight w:val="none"/>
                <w:lang w:eastAsia="zh-CN"/>
              </w:rPr>
              <w:t>涉及的医疗设备安装过程中，若安装场地需进行改造以满足设备安装要求，乙方应承担全部改造工作及相关费用。改造工作包括但不限于拆除、新建、装修、水电线路改造、通风系统调整等一切为实现设备正常安装及后续使用所必需的工程内容。改造工程费用由乙方全额承担，费用包含但不限于材料采购、施工人员薪酬、设备租赁、运输、税费等所有与改造工程相关的支出。</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cstheme="minorEastAsia"/>
                <w:b w:val="0"/>
                <w:bCs w:val="0"/>
                <w:color w:val="10243F" w:themeColor="text2" w:themeShade="80"/>
                <w:sz w:val="21"/>
                <w:szCs w:val="21"/>
                <w:highlight w:val="none"/>
                <w:lang w:val="en-US" w:eastAsia="zh-CN"/>
              </w:rPr>
              <w:t>4</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、产品质量和安装调试检验标准遵照国家相关规定和最新标准执行。提供的货物必须为全新、经检验合格的产品，且</w:t>
            </w:r>
            <w:r>
              <w:rPr>
                <w:rFonts w:hint="eastAsia" w:ascii="宋体" w:hAnsi="宋体"/>
                <w:szCs w:val="21"/>
                <w:highlight w:val="none"/>
              </w:rPr>
              <w:t>产品生产日期应为验收日期一年内</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cstheme="minorEastAsia"/>
                <w:b w:val="0"/>
                <w:bCs w:val="0"/>
                <w:color w:val="10243F" w:themeColor="text2" w:themeShade="80"/>
                <w:sz w:val="21"/>
                <w:szCs w:val="21"/>
                <w:highlight w:val="none"/>
                <w:lang w:val="en-US" w:eastAsia="zh-CN"/>
              </w:rPr>
              <w:t>5</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、当满足以下条件时，采购人才向中标人签发货物验收报告：</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A.设备出厂日期≤1年</w:t>
            </w:r>
            <w:r>
              <w:rPr>
                <w:rFonts w:hint="eastAsia" w:asciiTheme="minorEastAsia" w:hAnsiTheme="minorEastAsia" w:cstheme="minorEastAsia"/>
                <w:b w:val="0"/>
                <w:bCs w:val="0"/>
                <w:color w:val="10243F" w:themeColor="text2" w:themeShade="80"/>
                <w:sz w:val="21"/>
                <w:szCs w:val="21"/>
                <w:highlight w:val="none"/>
                <w:lang w:val="en-US" w:eastAsia="zh-CN"/>
              </w:rPr>
              <w:t>（以合同签订时间为准）</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B.中标人按合同要求如期交货；</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C.中标人已按照合同规定提供了全部产品及完整的技术资料；</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D.货物符合招标文件技术规格书的要求，性能满足要求；</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E.提供货物中文说明书；</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F.提供维修手册、与厂家签订的3年质保售后服务协议；</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G.进口设备必须提供正常有效的报关证明（报关单、海关增值税发票）及合法有效的商检合格证明；</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cstheme="minorEastAsia"/>
                <w:b w:val="0"/>
                <w:bCs w:val="0"/>
                <w:color w:val="10243F" w:themeColor="text2" w:themeShade="80"/>
                <w:sz w:val="21"/>
                <w:szCs w:val="21"/>
                <w:highlight w:val="none"/>
                <w:lang w:val="en-US" w:eastAsia="zh-CN"/>
              </w:rPr>
              <w:t>6</w:t>
            </w:r>
            <w:r>
              <w:rPr>
                <w:rFonts w:hint="eastAsia" w:asciiTheme="minorEastAsia" w:hAnsiTheme="minorEastAsia" w:eastAsiaTheme="minorEastAsia" w:cstheme="minorEastAsia"/>
                <w:b w:val="0"/>
                <w:bCs w:val="0"/>
                <w:color w:val="10243F" w:themeColor="text2" w:themeShade="80"/>
                <w:sz w:val="21"/>
                <w:szCs w:val="21"/>
                <w:highlight w:val="none"/>
                <w:lang w:eastAsia="zh-CN"/>
              </w:rPr>
              <w:t>、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cstheme="minorEastAsia"/>
                <w:b w:val="0"/>
                <w:bCs w:val="0"/>
                <w:color w:val="10243F" w:themeColor="text2" w:themeShade="80"/>
                <w:sz w:val="21"/>
                <w:szCs w:val="21"/>
                <w:highlight w:val="none"/>
                <w:lang w:val="en-US" w:eastAsia="zh-CN"/>
              </w:rPr>
              <w:t>7</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、验收时，中标人须按采购人要求提供中标验货验收所需要的其他资料。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right w:val="single" w:color="auto" w:sz="4" w:space="0"/>
            </w:tcBorders>
            <w:noWrap w:val="0"/>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包装及运输要求</w:t>
            </w:r>
          </w:p>
        </w:tc>
        <w:tc>
          <w:tcPr>
            <w:tcW w:w="4043" w:type="pct"/>
            <w:tcBorders>
              <w:top w:val="single" w:color="auto" w:sz="4" w:space="0"/>
              <w:left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售后服务要求</w:t>
            </w:r>
          </w:p>
        </w:tc>
        <w:tc>
          <w:tcPr>
            <w:tcW w:w="4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1、</w:t>
            </w:r>
            <w:r>
              <w:rPr>
                <w:rFonts w:hint="eastAsia" w:asciiTheme="minorEastAsia" w:hAnsiTheme="minorEastAsia" w:eastAsiaTheme="minorEastAsia" w:cstheme="minorEastAsia"/>
                <w:b w:val="0"/>
                <w:bCs w:val="0"/>
                <w:color w:val="10243F" w:themeColor="text2" w:themeShade="80"/>
                <w:sz w:val="21"/>
                <w:szCs w:val="21"/>
                <w:highlight w:val="none"/>
                <w:lang w:eastAsia="zh-CN"/>
              </w:rPr>
              <w:t>乙方对所提供的设备(包括零配件)提供</w:t>
            </w:r>
            <w:r>
              <w:rPr>
                <w:rFonts w:hint="eastAsia" w:asciiTheme="minorEastAsia" w:hAnsiTheme="minorEastAsia" w:eastAsiaTheme="minorEastAsia" w:cstheme="minorEastAsia"/>
                <w:b w:val="0"/>
                <w:bCs w:val="0"/>
                <w:color w:val="10243F" w:themeColor="text2" w:themeShade="80"/>
                <w:sz w:val="21"/>
                <w:szCs w:val="21"/>
                <w:highlight w:val="yellow"/>
                <w:lang w:eastAsia="zh-CN"/>
              </w:rPr>
              <w:t>免费保修期</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 xml:space="preserve"> 3 </w:t>
            </w:r>
            <w:r>
              <w:rPr>
                <w:rFonts w:hint="eastAsia" w:asciiTheme="minorEastAsia" w:hAnsiTheme="minorEastAsia" w:eastAsiaTheme="minorEastAsia" w:cstheme="minorEastAsia"/>
                <w:b w:val="0"/>
                <w:bCs w:val="0"/>
                <w:color w:val="10243F" w:themeColor="text2" w:themeShade="80"/>
                <w:sz w:val="21"/>
                <w:szCs w:val="21"/>
                <w:highlight w:val="yellow"/>
                <w:lang w:eastAsia="zh-CN"/>
              </w:rPr>
              <w:t>年</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。(免费保修期时间自最终验收合格并交付使用之日起计算)，在免费保修期，</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需</w:t>
            </w:r>
            <w:r>
              <w:rPr>
                <w:rFonts w:hint="eastAsia" w:asciiTheme="minorEastAsia" w:hAnsiTheme="minorEastAsia" w:eastAsiaTheme="minorEastAsia" w:cstheme="minorEastAsia"/>
                <w:b w:val="0"/>
                <w:bCs w:val="0"/>
                <w:color w:val="10243F" w:themeColor="text2" w:themeShade="80"/>
                <w:sz w:val="21"/>
                <w:szCs w:val="21"/>
                <w:highlight w:val="none"/>
                <w:lang w:eastAsia="zh-CN"/>
              </w:rPr>
              <w:t>提供原装的零配件及其维修，终身负责维修，储备足够的零配件备库并保证十年以上维修配件；</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一</w:t>
            </w:r>
            <w:r>
              <w:rPr>
                <w:rFonts w:hint="eastAsia" w:asciiTheme="minorEastAsia" w:hAnsiTheme="minorEastAsia" w:eastAsiaTheme="minorEastAsia" w:cstheme="minorEastAsia"/>
                <w:b w:val="0"/>
                <w:bCs w:val="0"/>
                <w:color w:val="10243F" w:themeColor="text2" w:themeShade="80"/>
                <w:sz w:val="21"/>
                <w:szCs w:val="21"/>
                <w:highlight w:val="none"/>
                <w:lang w:eastAsia="zh-CN"/>
              </w:rPr>
              <w:t>年需对设备进行维护四次（每季度一次），不额外收费。免费保修期内出现的质量问题,由乙方负责,乙方负责包修、包换或者包退,并承担修理、调换或退货的实际费用。免费保修期外，乙方负责提供原装配件并免费维修更换，不额外收费，甲方只需支付更换的零配件费用。乙方负责该套设备软件的免费安装，</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软件终身</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免费升级维护、备份。</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2、</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免费保修期内，乙方应对产品因质量出现的问题修复，在</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2小时</w:t>
            </w:r>
            <w:r>
              <w:rPr>
                <w:rFonts w:hint="eastAsia" w:asciiTheme="minorEastAsia" w:hAnsiTheme="minorEastAsia" w:eastAsiaTheme="minorEastAsia" w:cstheme="minorEastAsia"/>
                <w:b w:val="0"/>
                <w:bCs w:val="0"/>
                <w:color w:val="10243F" w:themeColor="text2" w:themeShade="80"/>
                <w:sz w:val="21"/>
                <w:szCs w:val="21"/>
                <w:highlight w:val="none"/>
                <w:lang w:eastAsia="zh-CN"/>
              </w:rPr>
              <w:t>内响应，</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24小时</w:t>
            </w:r>
            <w:r>
              <w:rPr>
                <w:rFonts w:hint="eastAsia" w:asciiTheme="minorEastAsia" w:hAnsiTheme="minorEastAsia" w:eastAsiaTheme="minorEastAsia" w:cstheme="minorEastAsia"/>
                <w:b w:val="0"/>
                <w:bCs w:val="0"/>
                <w:color w:val="10243F" w:themeColor="text2" w:themeShade="80"/>
                <w:sz w:val="21"/>
                <w:szCs w:val="21"/>
                <w:highlight w:val="none"/>
                <w:lang w:eastAsia="zh-CN"/>
              </w:rPr>
              <w:t>内到达现场维修，</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48小时</w:t>
            </w:r>
            <w:r>
              <w:rPr>
                <w:rFonts w:hint="eastAsia" w:asciiTheme="minorEastAsia" w:hAnsiTheme="minorEastAsia" w:eastAsiaTheme="minorEastAsia" w:cstheme="minorEastAsia"/>
                <w:b w:val="0"/>
                <w:bCs w:val="0"/>
                <w:color w:val="10243F" w:themeColor="text2" w:themeShade="80"/>
                <w:sz w:val="21"/>
                <w:szCs w:val="21"/>
                <w:highlight w:val="none"/>
                <w:lang w:eastAsia="zh-CN"/>
              </w:rPr>
              <w:t>内消除故障(不可抗力情况除外)，消耗品/零配件供应及时；若在48小时内不能及时排除故障的，乙方应在</w:t>
            </w:r>
            <w:r>
              <w:rPr>
                <w:rFonts w:hint="eastAsia" w:asciiTheme="minorEastAsia" w:hAnsiTheme="minorEastAsia" w:eastAsiaTheme="minorEastAsia" w:cstheme="minorEastAsia"/>
                <w:b w:val="0"/>
                <w:bCs w:val="0"/>
                <w:color w:val="10243F" w:themeColor="text2" w:themeShade="80"/>
                <w:sz w:val="21"/>
                <w:szCs w:val="21"/>
                <w:highlight w:val="yellow"/>
                <w:lang w:eastAsia="zh-CN"/>
              </w:rPr>
              <w:t>10个日历日内向甲方提供不低故障设备规格型号档次的备用设备使用</w:t>
            </w:r>
            <w:r>
              <w:rPr>
                <w:rFonts w:hint="eastAsia" w:asciiTheme="minorEastAsia" w:hAnsiTheme="minorEastAsia" w:eastAsiaTheme="minorEastAsia" w:cstheme="minorEastAsia"/>
                <w:b w:val="0"/>
                <w:bCs w:val="0"/>
                <w:color w:val="10243F" w:themeColor="text2" w:themeShade="80"/>
                <w:sz w:val="21"/>
                <w:szCs w:val="21"/>
                <w:highlight w:val="none"/>
                <w:lang w:eastAsia="zh-CN"/>
              </w:rPr>
              <w:t>，直至故障修复为止。由此产生的包括但不限于运输费、安装费、搬运费、替换产品的损耗费、零部件费、调试费等全部费用由乙方承担。</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保修期，乙方应确保设备年开机率在98%（含）以上，若达不到此开机率，将作以下处理：年开机率在90%（含）-98%（不含）之间，免费保修期延长一年；年开机率在85%（含）-90%（不含）之间，免费保修期延长两年；年开机率低于85（不含），乙方必须无条件更换新设备，并重新计算新设备的免费保修期，以及赔偿甲方的直接经济损失和间接经济损失，以上费用均已包含在洽谈报价中。【注：年开机率=（365-停机天数）/365】</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4、</w:t>
            </w:r>
            <w:r>
              <w:rPr>
                <w:rFonts w:hint="eastAsia" w:asciiTheme="minorEastAsia" w:hAnsiTheme="minorEastAsia" w:eastAsiaTheme="minorEastAsia" w:cstheme="minorEastAsia"/>
                <w:b w:val="0"/>
                <w:bCs w:val="0"/>
                <w:color w:val="10243F" w:themeColor="text2" w:themeShade="80"/>
                <w:sz w:val="21"/>
                <w:szCs w:val="21"/>
                <w:highlight w:val="none"/>
                <w:lang w:eastAsia="zh-CN"/>
              </w:rPr>
              <w:t>提供工程师电话和技术维修力量情况和维修的详细地址及联系方式。</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5</w:t>
            </w:r>
            <w:r>
              <w:rPr>
                <w:rFonts w:hint="eastAsia" w:asciiTheme="minorEastAsia" w:hAnsiTheme="minorEastAsia" w:eastAsiaTheme="minorEastAsia" w:cstheme="minorEastAsia"/>
                <w:b w:val="0"/>
                <w:bCs w:val="0"/>
                <w:color w:val="10243F" w:themeColor="text2" w:themeShade="80"/>
                <w:sz w:val="21"/>
                <w:szCs w:val="21"/>
                <w:highlight w:val="none"/>
                <w:lang w:eastAsia="zh-CN"/>
              </w:rPr>
              <w:t>、负责安装、调试、提供技术咨询、软件升级及人员培训，以保证采购人工作人员掌握设备各种使用操作，不额外收费。</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6</w:t>
            </w:r>
            <w:r>
              <w:rPr>
                <w:rFonts w:hint="eastAsia" w:asciiTheme="minorEastAsia" w:hAnsiTheme="minorEastAsia" w:eastAsiaTheme="minorEastAsia" w:cstheme="minorEastAsia"/>
                <w:b w:val="0"/>
                <w:bCs w:val="0"/>
                <w:color w:val="10243F" w:themeColor="text2" w:themeShade="80"/>
                <w:sz w:val="21"/>
                <w:szCs w:val="21"/>
                <w:highlight w:val="none"/>
                <w:lang w:eastAsia="zh-CN"/>
              </w:rPr>
              <w:t>、如场地迁移，需要移机时，乙方需提供设备拆装服务（包括但不限于本次招标的设备）并提供技术支持，且确保机器的正常使用，不额外收费。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违约责任</w:t>
            </w:r>
          </w:p>
          <w:p>
            <w:pPr>
              <w:keepNext w:val="0"/>
              <w:keepLines w:val="0"/>
              <w:pageBreakBefore w:val="0"/>
              <w:widowControl/>
              <w:suppressLineNumbers w:val="0"/>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p>
        </w:tc>
        <w:tc>
          <w:tcPr>
            <w:tcW w:w="4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2、中标人若逾期30日以上不能交付设备，采购人有权选择解除合同并且中标人应向采购人支付本合同总金额百分之二十的违约金。 </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3、中标人逾期交付设备或安装调试，中标人向采购人每日支付本合同总金额万分之五的违约金。  </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5、如中标人未按照本合同的约定提供售后服务，中标人向采购人支付本合同总金额百分之二十的违约金，给采购人造成损失的，中标人应承担全部赔偿责任。 </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6、中标人所供设备因质量、缺陷、技术标准等问题，给采购人或实际使用人造成损害的，中标人接到采购人通知后立即到现场配合采购人处理事故，一切赔偿责任及法律责任由中标人承担。 </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8、</w:t>
            </w:r>
            <w:r>
              <w:rPr>
                <w:rFonts w:hint="eastAsia" w:asciiTheme="minorEastAsia" w:hAnsiTheme="minorEastAsia" w:eastAsiaTheme="minorEastAsia" w:cstheme="minorEastAsia"/>
                <w:b w:val="0"/>
                <w:bCs w:val="0"/>
                <w:color w:val="10243F" w:themeColor="text2" w:themeShade="80"/>
                <w:sz w:val="21"/>
                <w:szCs w:val="21"/>
                <w:highlight w:val="none"/>
                <w:lang w:eastAsia="zh-CN"/>
              </w:rPr>
              <w:t>如果采购人对中标人提供的产品有质量异议的，可以视具体情况暂时中止支付争议款项或其他相关款项，直到争议解除，采购人不因此承担延期付款的违约责任。</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9、</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中标人提供的产品不合格，或产品存在瑕疵、缺陷，采购人有权暂停支付中标人项下相应到期应付货款，且不视为采购人违约，直到双方正式处理完不合格产品为止。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其他要求</w:t>
            </w:r>
          </w:p>
        </w:tc>
        <w:tc>
          <w:tcPr>
            <w:tcW w:w="40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1、</w:t>
            </w:r>
            <w:r>
              <w:rPr>
                <w:rFonts w:hint="eastAsia" w:asciiTheme="minorEastAsia" w:hAnsiTheme="minorEastAsia" w:eastAsiaTheme="minorEastAsia" w:cstheme="minorEastAsia"/>
                <w:b w:val="0"/>
                <w:bCs w:val="0"/>
                <w:color w:val="10243F" w:themeColor="text2" w:themeShade="80"/>
                <w:sz w:val="21"/>
                <w:szCs w:val="21"/>
                <w:highlight w:val="none"/>
                <w:lang w:eastAsia="zh-CN"/>
              </w:rPr>
              <w:t>本项目中如有涉及水、电、气设备安装及调试、室外高空作业等项目的中标人应使用具有国家认可资质的操作人员（资质证书仍在有效期内）实施，否则由此造成的后果由中标人负责。</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2、</w:t>
            </w:r>
            <w:r>
              <w:rPr>
                <w:rFonts w:hint="eastAsia" w:asciiTheme="minorEastAsia" w:hAnsiTheme="minorEastAsia" w:eastAsiaTheme="minorEastAsia" w:cstheme="minorEastAsia"/>
                <w:b w:val="0"/>
                <w:bCs w:val="0"/>
                <w:color w:val="10243F" w:themeColor="text2" w:themeShade="80"/>
                <w:sz w:val="21"/>
                <w:szCs w:val="21"/>
                <w:highlight w:val="none"/>
                <w:lang w:eastAsia="zh-CN"/>
              </w:rPr>
              <w:t>本项目所要求的硬件、软件，中标人要配备给采购人，并保证采购人能正常使用，不需要另外增加其他附件和其他费用。</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涉及软件应用的设备，中标人和厂家应配合采购人智慧采购人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4、</w:t>
            </w:r>
            <w:r>
              <w:rPr>
                <w:rFonts w:hint="eastAsia" w:asciiTheme="minorEastAsia" w:hAnsiTheme="minorEastAsia" w:eastAsiaTheme="minorEastAsia" w:cstheme="minorEastAsia"/>
                <w:b w:val="0"/>
                <w:bCs w:val="0"/>
                <w:color w:val="10243F" w:themeColor="text2" w:themeShade="80"/>
                <w:sz w:val="21"/>
                <w:szCs w:val="21"/>
                <w:highlight w:val="none"/>
                <w:lang w:eastAsia="zh-CN"/>
              </w:rPr>
              <w:t>投标机型的硬件及软件配置均须是注册证或官方白皮书所描述的，且在不同的应用领域（临床、科研）新技术改进、更新的产品。</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6、设备使用期间，发生产品召回事件，中标人提供替代或赔偿方案。</w:t>
            </w:r>
          </w:p>
        </w:tc>
      </w:tr>
    </w:tbl>
    <w:p/>
    <w:bookmarkEnd w:id="21"/>
    <w:bookmarkEnd w:id="22"/>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center"/>
        <w:rPr>
          <w:rFonts w:hint="eastAsia" w:asciiTheme="minorEastAsia" w:hAnsiTheme="minorEastAsia" w:eastAsiaTheme="minorEastAsia" w:cstheme="minorEastAsia"/>
          <w:b/>
          <w:bCs/>
          <w:sz w:val="24"/>
          <w:szCs w:val="24"/>
        </w:rPr>
      </w:pPr>
    </w:p>
    <w:p>
      <w:pPr>
        <w:pStyle w:val="15"/>
        <w:tabs>
          <w:tab w:val="left" w:pos="426"/>
        </w:tabs>
        <w:jc w:val="both"/>
        <w:rPr>
          <w:rFonts w:hint="eastAsia" w:asciiTheme="minorEastAsia" w:hAnsiTheme="minorEastAsia" w:eastAsiaTheme="minorEastAsia" w:cstheme="minorEastAsia"/>
          <w:b/>
          <w:bCs/>
          <w:sz w:val="24"/>
          <w:szCs w:val="24"/>
        </w:rPr>
      </w:pPr>
    </w:p>
    <w:p>
      <w:pPr>
        <w:pStyle w:val="15"/>
        <w:tabs>
          <w:tab w:val="left" w:pos="426"/>
        </w:tabs>
        <w:jc w:val="both"/>
        <w:rPr>
          <w:rFonts w:hint="eastAsia" w:asciiTheme="minorEastAsia" w:hAnsiTheme="minorEastAsia" w:eastAsiaTheme="minorEastAsia" w:cstheme="minorEastAsia"/>
          <w:b/>
          <w:bCs/>
          <w:sz w:val="24"/>
          <w:szCs w:val="24"/>
        </w:rPr>
      </w:pPr>
    </w:p>
    <w:p>
      <w:pPr>
        <w:rPr>
          <w:rFonts w:hint="eastAsia" w:ascii="Cambria" w:hAnsi="Cambria" w:cs="Times New Roman" w:eastAsiaTheme="minorEastAsia"/>
          <w:b/>
          <w:bCs/>
          <w:kern w:val="28"/>
          <w:sz w:val="28"/>
          <w:szCs w:val="32"/>
          <w:lang w:val="en-US" w:eastAsia="zh-CN" w:bidi="ar-SA"/>
        </w:rPr>
      </w:pPr>
      <w:r>
        <w:rPr>
          <w:rFonts w:hint="eastAsia" w:ascii="Cambria" w:hAnsi="Cambria" w:cs="Times New Roman" w:eastAsiaTheme="minorEastAsia"/>
          <w:b/>
          <w:bCs/>
          <w:kern w:val="28"/>
          <w:sz w:val="28"/>
          <w:szCs w:val="32"/>
          <w:lang w:val="en-US" w:eastAsia="zh-CN" w:bidi="ar-SA"/>
        </w:rPr>
        <w:br w:type="page"/>
      </w:r>
    </w:p>
    <w:p>
      <w:pPr>
        <w:pStyle w:val="15"/>
        <w:tabs>
          <w:tab w:val="left" w:pos="426"/>
        </w:tabs>
        <w:jc w:val="center"/>
        <w:rPr>
          <w:rFonts w:hint="eastAsia" w:asciiTheme="minorEastAsia" w:hAnsiTheme="minorEastAsia" w:eastAsiaTheme="minorEastAsia" w:cstheme="minorEastAsia"/>
          <w:b/>
          <w:bCs/>
          <w:sz w:val="24"/>
          <w:szCs w:val="24"/>
        </w:rPr>
      </w:pPr>
      <w:r>
        <w:rPr>
          <w:rFonts w:hint="eastAsia" w:ascii="Cambria" w:hAnsi="Cambria" w:cs="Times New Roman" w:eastAsiaTheme="minorEastAsia"/>
          <w:b/>
          <w:bCs/>
          <w:kern w:val="28"/>
          <w:sz w:val="28"/>
          <w:szCs w:val="32"/>
          <w:lang w:val="en-US" w:eastAsia="zh-CN" w:bidi="ar-SA"/>
        </w:rPr>
        <w:t>第四章   投标文件的组成、格式</w:t>
      </w:r>
    </w:p>
    <w:p>
      <w:pPr>
        <w:spacing w:line="420" w:lineRule="exact"/>
        <w:ind w:firstLine="480" w:firstLineChars="200"/>
        <w:rPr>
          <w:rFonts w:hint="eastAsia" w:asciiTheme="minorEastAsia" w:hAnsiTheme="minorEastAsia" w:eastAsiaTheme="minorEastAsia" w:cstheme="minorEastAsia"/>
          <w:sz w:val="24"/>
          <w:szCs w:val="24"/>
        </w:rPr>
      </w:pPr>
    </w:p>
    <w:p>
      <w:pPr>
        <w:tabs>
          <w:tab w:val="left" w:pos="360"/>
        </w:tabs>
        <w:spacing w:line="460" w:lineRule="exact"/>
        <w:jc w:val="both"/>
        <w:rPr>
          <w:rFonts w:hint="eastAsia" w:asciiTheme="minorEastAsia" w:hAnsiTheme="minorEastAsia" w:eastAsiaTheme="minorEastAsia" w:cstheme="minorEastAsia"/>
          <w:sz w:val="24"/>
          <w:szCs w:val="24"/>
        </w:rPr>
      </w:pPr>
      <w:bookmarkStart w:id="24" w:name="_Toc24698"/>
      <w:bookmarkStart w:id="25" w:name="_Toc5828"/>
      <w:bookmarkStart w:id="26" w:name="_Toc18075"/>
      <w:bookmarkStart w:id="27" w:name="_Toc24797"/>
      <w:r>
        <w:rPr>
          <w:rFonts w:hint="eastAsia" w:asciiTheme="minorEastAsia" w:hAnsiTheme="minorEastAsia" w:eastAsiaTheme="minorEastAsia" w:cstheme="minorEastAsia"/>
          <w:b/>
          <w:bCs/>
          <w:sz w:val="24"/>
          <w:szCs w:val="24"/>
        </w:rPr>
        <w:t>投标文件组成</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一、</w:t>
      </w:r>
      <w:r>
        <w:rPr>
          <w:rFonts w:hint="eastAsia" w:asciiTheme="minorEastAsia" w:hAnsiTheme="minorEastAsia" w:eastAsiaTheme="minorEastAsia" w:cstheme="minorEastAsia"/>
          <w:b w:val="0"/>
          <w:bCs w:val="0"/>
          <w:sz w:val="24"/>
          <w:szCs w:val="24"/>
          <w:lang w:val="en-US" w:eastAsia="zh-CN"/>
        </w:rPr>
        <w:t>封面</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二、</w:t>
      </w:r>
      <w:r>
        <w:rPr>
          <w:rFonts w:hint="eastAsia" w:asciiTheme="minorEastAsia" w:hAnsiTheme="minorEastAsia" w:eastAsiaTheme="minorEastAsia" w:cstheme="minorEastAsia"/>
          <w:b w:val="0"/>
          <w:bCs w:val="0"/>
          <w:sz w:val="24"/>
          <w:szCs w:val="24"/>
          <w:lang w:val="en-US" w:eastAsia="zh-CN"/>
        </w:rPr>
        <w:t>目录指引</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三、</w:t>
      </w:r>
      <w:r>
        <w:rPr>
          <w:rFonts w:hint="eastAsia" w:asciiTheme="minorEastAsia" w:hAnsiTheme="minorEastAsia" w:eastAsiaTheme="minorEastAsia" w:cstheme="minorEastAsia"/>
          <w:b w:val="0"/>
          <w:bCs w:val="0"/>
          <w:sz w:val="24"/>
          <w:szCs w:val="24"/>
          <w:lang w:val="en-US" w:eastAsia="zh-CN"/>
        </w:rPr>
        <w:t>投标函</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四、</w:t>
      </w:r>
      <w:r>
        <w:rPr>
          <w:rFonts w:hint="eastAsia" w:asciiTheme="minorEastAsia" w:hAnsiTheme="minorEastAsia" w:eastAsiaTheme="minorEastAsia" w:cstheme="minorEastAsia"/>
          <w:b w:val="0"/>
          <w:bCs w:val="0"/>
          <w:sz w:val="24"/>
          <w:szCs w:val="24"/>
          <w:lang w:val="en-US" w:eastAsia="zh-CN"/>
        </w:rPr>
        <w:t>投标及履约承诺函</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五、</w:t>
      </w:r>
      <w:r>
        <w:rPr>
          <w:rFonts w:hint="eastAsia" w:asciiTheme="minorEastAsia" w:hAnsiTheme="minorEastAsia" w:eastAsiaTheme="minorEastAsia" w:cstheme="minorEastAsia"/>
          <w:b w:val="0"/>
          <w:bCs w:val="0"/>
          <w:sz w:val="24"/>
          <w:szCs w:val="24"/>
          <w:lang w:val="en-US" w:eastAsia="zh-CN"/>
        </w:rPr>
        <w:t>采购违法行为风险知悉确认书</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六、投标人基本情况及资格证明文件</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（一）投标人基本情况</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（二）资格证明文件</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七、</w:t>
      </w:r>
      <w:r>
        <w:rPr>
          <w:rFonts w:hint="eastAsia" w:asciiTheme="minorEastAsia" w:hAnsiTheme="minorEastAsia" w:eastAsiaTheme="minorEastAsia" w:cstheme="minorEastAsia"/>
          <w:b w:val="0"/>
          <w:bCs w:val="0"/>
          <w:sz w:val="24"/>
          <w:szCs w:val="24"/>
          <w:lang w:val="en-US" w:eastAsia="zh-CN"/>
        </w:rPr>
        <w:t>项目</w:t>
      </w:r>
      <w:r>
        <w:rPr>
          <w:rFonts w:hint="eastAsia" w:asciiTheme="minorEastAsia" w:hAnsiTheme="minorEastAsia" w:eastAsiaTheme="minorEastAsia" w:cstheme="minorEastAsia"/>
          <w:b w:val="0"/>
          <w:bCs w:val="0"/>
          <w:sz w:val="24"/>
          <w:szCs w:val="24"/>
        </w:rPr>
        <w:t>报价明细表</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八、</w:t>
      </w:r>
      <w:r>
        <w:rPr>
          <w:rFonts w:hint="eastAsia" w:asciiTheme="minorEastAsia" w:hAnsiTheme="minorEastAsia" w:eastAsiaTheme="minorEastAsia" w:cstheme="minorEastAsia"/>
          <w:b w:val="0"/>
          <w:bCs w:val="0"/>
          <w:sz w:val="24"/>
          <w:szCs w:val="24"/>
          <w:lang w:val="en-US" w:eastAsia="zh-CN"/>
        </w:rPr>
        <w:t>技术要求偏离表</w:t>
      </w:r>
      <w:r>
        <w:rPr>
          <w:rFonts w:hint="eastAsia" w:asciiTheme="minorEastAsia" w:hAnsiTheme="minorEastAsia" w:cstheme="minorEastAsia"/>
          <w:b w:val="0"/>
          <w:bCs w:val="0"/>
          <w:sz w:val="24"/>
          <w:szCs w:val="24"/>
          <w:lang w:val="en-US" w:eastAsia="zh-CN"/>
        </w:rPr>
        <w:t>及佐证材料</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九、</w:t>
      </w:r>
      <w:r>
        <w:rPr>
          <w:rFonts w:hint="eastAsia" w:asciiTheme="minorEastAsia" w:hAnsiTheme="minorEastAsia" w:eastAsiaTheme="minorEastAsia" w:cstheme="minorEastAsia"/>
          <w:b w:val="0"/>
          <w:bCs w:val="0"/>
          <w:sz w:val="24"/>
          <w:szCs w:val="24"/>
          <w:lang w:val="en-US" w:eastAsia="zh-CN"/>
        </w:rPr>
        <w:t>商务要求偏离表</w:t>
      </w:r>
      <w:r>
        <w:rPr>
          <w:rFonts w:hint="eastAsia" w:asciiTheme="minorEastAsia" w:hAnsiTheme="minorEastAsia" w:cstheme="minorEastAsia"/>
          <w:b w:val="0"/>
          <w:bCs w:val="0"/>
          <w:sz w:val="24"/>
          <w:szCs w:val="24"/>
          <w:lang w:val="en-US" w:eastAsia="zh-CN"/>
        </w:rPr>
        <w:t>及佐证材料</w:t>
      </w:r>
      <w:r>
        <w:rPr>
          <w:rFonts w:hint="eastAsia" w:asciiTheme="minorEastAsia" w:hAnsiTheme="minorEastAsia" w:eastAsiaTheme="minorEastAsia" w:cstheme="minorEastAsia"/>
          <w:b w:val="0"/>
          <w:bCs w:val="0"/>
          <w:sz w:val="24"/>
          <w:szCs w:val="24"/>
          <w:lang w:val="en-US" w:eastAsia="zh-CN"/>
        </w:rPr>
        <w:t xml:space="preserve"> </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十、其他响应评分的内容及佐证材料（如业绩等）</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十</w:t>
      </w:r>
      <w:r>
        <w:rPr>
          <w:rFonts w:hint="eastAsia" w:asciiTheme="minorEastAsia" w:hAnsiTheme="minorEastAsia" w:cstheme="minorEastAsia"/>
          <w:b w:val="0"/>
          <w:bCs w:val="0"/>
          <w:sz w:val="24"/>
          <w:szCs w:val="24"/>
          <w:lang w:val="en-US" w:eastAsia="zh-CN"/>
        </w:rPr>
        <w:t>一</w:t>
      </w:r>
      <w:r>
        <w:rPr>
          <w:rFonts w:hint="eastAsia" w:asciiTheme="minorEastAsia" w:hAnsiTheme="minorEastAsia" w:eastAsiaTheme="minorEastAsia" w:cstheme="minorEastAsia"/>
          <w:b w:val="0"/>
          <w:bCs w:val="0"/>
          <w:sz w:val="24"/>
          <w:szCs w:val="24"/>
          <w:lang w:val="en-US" w:eastAsia="zh-CN"/>
        </w:rPr>
        <w:t>、产品的保障措施</w:t>
      </w:r>
    </w:p>
    <w:p>
      <w:pPr>
        <w:tabs>
          <w:tab w:val="left" w:pos="360"/>
        </w:tabs>
        <w:spacing w:line="460" w:lineRule="exact"/>
        <w:jc w:val="both"/>
        <w:rPr>
          <w:rFonts w:hint="default" w:asciiTheme="minorEastAsia" w:hAnsiTheme="minorEastAsia" w:eastAsiaTheme="minorEastAsia" w:cstheme="minorEastAsia"/>
          <w:sz w:val="24"/>
          <w:szCs w:val="24"/>
          <w:lang w:val="en-US" w:eastAsia="zh-CN"/>
        </w:rPr>
      </w:pPr>
    </w:p>
    <w:p>
      <w:pPr>
        <w:tabs>
          <w:tab w:val="left" w:pos="360"/>
        </w:tabs>
        <w:spacing w:line="460" w:lineRule="exact"/>
        <w:ind w:firstLine="480" w:firstLineChars="200"/>
        <w:jc w:val="both"/>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rPr>
        <w:t>备注：投标人将所有投标文件一起包装在一个密封袋里，并在袋上注明项目名称以及投标人名称、地址，封口处应贴封条并骑缝加盖投标人公章。投标文件由以上组成，按如上顺序分别装订成本（不少于六份，一正五副）</w:t>
      </w:r>
      <w:r>
        <w:rPr>
          <w:rFonts w:hint="eastAsia" w:asciiTheme="minorEastAsia" w:hAnsiTheme="minorEastAsia" w:cstheme="minorEastAsia"/>
          <w:color w:val="FF0000"/>
          <w:sz w:val="24"/>
          <w:szCs w:val="24"/>
          <w:lang w:eastAsia="zh-CN"/>
        </w:rPr>
        <w:t>。</w:t>
      </w:r>
    </w:p>
    <w:bookmarkEnd w:id="24"/>
    <w:bookmarkEnd w:id="25"/>
    <w:bookmarkEnd w:id="26"/>
    <w:bookmarkEnd w:id="27"/>
    <w:p>
      <w:pPr>
        <w:jc w:val="right"/>
        <w:rPr>
          <w:rFonts w:hint="eastAsia"/>
          <w:sz w:val="44"/>
          <w:szCs w:val="44"/>
          <w:u w:val="single"/>
        </w:rPr>
      </w:pPr>
      <w:bookmarkStart w:id="28" w:name="_Toc13843"/>
    </w:p>
    <w:p>
      <w:pPr>
        <w:pStyle w:val="25"/>
        <w:rPr>
          <w:rFonts w:hint="eastAsia"/>
          <w:sz w:val="44"/>
          <w:szCs w:val="44"/>
          <w:u w:val="single"/>
        </w:rPr>
      </w:pPr>
    </w:p>
    <w:p>
      <w:pPr>
        <w:pStyle w:val="25"/>
        <w:rPr>
          <w:rFonts w:hint="eastAsia"/>
          <w:sz w:val="44"/>
          <w:szCs w:val="44"/>
          <w:u w:val="single"/>
        </w:rPr>
      </w:pPr>
    </w:p>
    <w:p>
      <w:pPr>
        <w:jc w:val="left"/>
        <w:rPr>
          <w:rFonts w:hint="eastAsia"/>
          <w:sz w:val="44"/>
          <w:szCs w:val="44"/>
          <w:u w:val="single"/>
        </w:rPr>
      </w:pPr>
      <w:r>
        <w:rPr>
          <w:rFonts w:hint="eastAsia"/>
          <w:sz w:val="44"/>
          <w:szCs w:val="44"/>
          <w:u w:val="single"/>
        </w:rPr>
        <w:br w:type="page"/>
      </w:r>
    </w:p>
    <w:p>
      <w:pPr>
        <w:jc w:val="right"/>
        <w:rPr>
          <w:sz w:val="44"/>
          <w:szCs w:val="44"/>
          <w:u w:val="single"/>
        </w:rPr>
      </w:pPr>
      <w:r>
        <w:rPr>
          <w:rFonts w:hint="eastAsia"/>
          <w:sz w:val="44"/>
          <w:szCs w:val="44"/>
          <w:u w:val="single"/>
        </w:rPr>
        <w:t>（□正本 □副本）</w:t>
      </w:r>
    </w:p>
    <w:p>
      <w:pPr>
        <w:jc w:val="center"/>
        <w:rPr>
          <w:sz w:val="44"/>
          <w:szCs w:val="44"/>
          <w:u w:val="single"/>
        </w:rPr>
      </w:pPr>
    </w:p>
    <w:p>
      <w:pPr>
        <w:jc w:val="center"/>
        <w:rPr>
          <w:rFonts w:hint="eastAsia"/>
          <w:sz w:val="44"/>
          <w:szCs w:val="44"/>
          <w:u w:val="single"/>
        </w:rPr>
      </w:pPr>
    </w:p>
    <w:p>
      <w:pPr>
        <w:jc w:val="center"/>
        <w:rPr>
          <w:sz w:val="44"/>
          <w:szCs w:val="44"/>
          <w:u w:val="single"/>
        </w:rPr>
      </w:pPr>
      <w:r>
        <w:rPr>
          <w:rFonts w:hint="eastAsia"/>
          <w:sz w:val="44"/>
          <w:szCs w:val="44"/>
          <w:u w:val="single"/>
        </w:rPr>
        <w:t>（项目名称全称）</w:t>
      </w:r>
    </w:p>
    <w:p>
      <w:pPr>
        <w:jc w:val="center"/>
        <w:rPr>
          <w:sz w:val="44"/>
          <w:szCs w:val="44"/>
        </w:rPr>
      </w:pPr>
      <w:r>
        <w:rPr>
          <w:rFonts w:hint="eastAsia"/>
          <w:sz w:val="44"/>
          <w:szCs w:val="44"/>
        </w:rPr>
        <w:t>投标文件</w:t>
      </w:r>
    </w:p>
    <w:p/>
    <w:p>
      <w:pPr>
        <w:pStyle w:val="64"/>
        <w:ind w:firstLine="480"/>
      </w:pPr>
    </w:p>
    <w:p>
      <w:pPr>
        <w:tabs>
          <w:tab w:val="left" w:pos="426"/>
        </w:tabs>
      </w:pPr>
    </w:p>
    <w:p>
      <w:pPr>
        <w:tabs>
          <w:tab w:val="left" w:pos="426"/>
        </w:tabs>
        <w:ind w:firstLine="960" w:firstLineChars="300"/>
        <w:rPr>
          <w:rFonts w:hint="eastAsia"/>
          <w:sz w:val="32"/>
          <w:szCs w:val="32"/>
        </w:rPr>
      </w:pP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24"/>
          <w:u w:val="single"/>
        </w:rPr>
      </w:pPr>
      <w:r>
        <w:rPr>
          <w:rFonts w:hint="eastAsia"/>
          <w:sz w:val="32"/>
          <w:szCs w:val="32"/>
        </w:rPr>
        <w:t>项目名称：</w:t>
      </w:r>
      <w:r>
        <w:rPr>
          <w:rFonts w:hint="eastAsia"/>
          <w:sz w:val="24"/>
          <w:u w:val="single"/>
        </w:rPr>
        <w:t xml:space="preserve">                                  </w:t>
      </w:r>
      <w:r>
        <w:rPr>
          <w:sz w:val="24"/>
          <w:u w:val="single"/>
        </w:rPr>
        <w:t xml:space="preserve"> </w:t>
      </w:r>
      <w:r>
        <w:rPr>
          <w:rFonts w:hint="eastAsia"/>
          <w:sz w:val="24"/>
          <w:u w:val="single"/>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u w:val="single"/>
        </w:rPr>
      </w:pPr>
      <w:r>
        <w:rPr>
          <w:rFonts w:hint="eastAsia"/>
          <w:sz w:val="32"/>
          <w:szCs w:val="32"/>
        </w:rPr>
        <w:t>投标单位名称（公章）：</w:t>
      </w:r>
      <w:r>
        <w:rPr>
          <w:rFonts w:hint="eastAsia"/>
          <w:sz w:val="32"/>
          <w:szCs w:val="32"/>
          <w:u w:val="single"/>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u w:val="single"/>
        </w:rPr>
      </w:pPr>
      <w:r>
        <w:rPr>
          <w:rFonts w:hint="eastAsia"/>
          <w:sz w:val="32"/>
          <w:szCs w:val="32"/>
        </w:rPr>
        <w:t>投标单位地址：</w:t>
      </w:r>
      <w:r>
        <w:rPr>
          <w:rFonts w:hint="eastAsia"/>
          <w:sz w:val="32"/>
          <w:szCs w:val="32"/>
          <w:u w:val="single"/>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pPr>
        <w:tabs>
          <w:tab w:val="left" w:pos="426"/>
        </w:tabs>
        <w:rPr>
          <w:szCs w:val="21"/>
        </w:rPr>
      </w:pPr>
    </w:p>
    <w:p>
      <w:pPr>
        <w:pStyle w:val="15"/>
        <w:tabs>
          <w:tab w:val="left" w:pos="426"/>
        </w:tabs>
        <w:ind w:firstLine="960" w:firstLineChars="300"/>
      </w:pPr>
      <w:r>
        <w:rPr>
          <w:rFonts w:hint="eastAsia"/>
          <w:sz w:val="32"/>
          <w:szCs w:val="32"/>
        </w:rPr>
        <w:t>时    间</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pPr>
        <w:pStyle w:val="15"/>
        <w:tabs>
          <w:tab w:val="left" w:pos="426"/>
        </w:tabs>
        <w:ind w:firstLine="630" w:firstLineChars="300"/>
      </w:pPr>
    </w:p>
    <w:p>
      <w:pPr>
        <w:pStyle w:val="15"/>
        <w:tabs>
          <w:tab w:val="left" w:pos="426"/>
        </w:tabs>
        <w:ind w:firstLine="630" w:firstLineChars="300"/>
      </w:pPr>
    </w:p>
    <w:p>
      <w:pPr>
        <w:pStyle w:val="15"/>
        <w:tabs>
          <w:tab w:val="left" w:pos="426"/>
        </w:tabs>
        <w:ind w:firstLine="630" w:firstLineChars="300"/>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4"/>
          <w:szCs w:val="24"/>
          <w:lang w:val="en-US" w:eastAsia="zh-CN"/>
        </w:rPr>
      </w:pPr>
    </w:p>
    <w:p>
      <w:pP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pPr>
        <w:spacing w:line="420" w:lineRule="exact"/>
        <w:outlineLvl w:val="3"/>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二、目录指引</w:t>
      </w:r>
    </w:p>
    <w:p>
      <w:pPr>
        <w:rPr>
          <w:rFonts w:hint="eastAsia"/>
          <w:b/>
          <w:bCs/>
          <w:color w:val="FF0000"/>
        </w:rPr>
      </w:pPr>
      <w:r>
        <w:rPr>
          <w:rFonts w:hint="eastAsia"/>
          <w:b w:val="0"/>
          <w:bCs w:val="0"/>
          <w:color w:val="FF0000"/>
          <w:lang w:eastAsia="zh-CN"/>
        </w:rPr>
        <w:t>（</w:t>
      </w:r>
      <w:r>
        <w:rPr>
          <w:rFonts w:hint="eastAsia"/>
          <w:b w:val="0"/>
          <w:bCs w:val="0"/>
          <w:color w:val="FF0000"/>
        </w:rPr>
        <w:t>按照洽谈文件相应内容，请标明各部分内容的页码。</w:t>
      </w:r>
      <w:r>
        <w:rPr>
          <w:rFonts w:hint="eastAsia"/>
          <w:b w:val="0"/>
          <w:bCs w:val="0"/>
          <w:color w:val="FF0000"/>
          <w:lang w:eastAsia="zh-CN"/>
        </w:rPr>
        <w:t>）</w:t>
      </w: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spacing w:line="420" w:lineRule="exact"/>
        <w:outlineLvl w:val="3"/>
        <w:rPr>
          <w:rFonts w:hint="eastAsia" w:asciiTheme="minorEastAsia" w:hAnsiTheme="minorEastAsia" w:cstheme="minorEastAsia"/>
          <w:b/>
          <w:bCs/>
          <w:sz w:val="21"/>
          <w:szCs w:val="21"/>
          <w:lang w:val="en-US" w:eastAsia="zh-CN"/>
        </w:rPr>
      </w:pPr>
    </w:p>
    <w:p>
      <w:pPr>
        <w:pStyle w:val="2"/>
        <w:rPr>
          <w:rFonts w:hint="eastAsia" w:asciiTheme="minorEastAsia" w:hAnsiTheme="minorEastAsia" w:cstheme="minorEastAsia"/>
          <w:b/>
          <w:bCs/>
          <w:sz w:val="21"/>
          <w:szCs w:val="21"/>
          <w:lang w:val="en-US" w:eastAsia="zh-CN"/>
        </w:rPr>
      </w:pPr>
    </w:p>
    <w:bookmarkEnd w:id="28"/>
    <w:p>
      <w:pPr>
        <w:spacing w:line="420" w:lineRule="exact"/>
        <w:outlineLvl w:val="3"/>
        <w:rPr>
          <w:rFonts w:hint="eastAsia"/>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、投标函格式</w:t>
      </w:r>
    </w:p>
    <w:p>
      <w:pPr>
        <w:keepNext w:val="0"/>
        <w:keepLines w:val="0"/>
        <w:pageBreakBefore w:val="0"/>
        <w:widowControl w:val="0"/>
        <w:tabs>
          <w:tab w:val="left" w:pos="426"/>
        </w:tabs>
        <w:kinsoku/>
        <w:wordWrap/>
        <w:overflowPunct/>
        <w:topLinePunct w:val="0"/>
        <w:bidi w:val="0"/>
        <w:spacing w:line="300" w:lineRule="auto"/>
        <w:ind w:left="0" w:left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投标函</w:t>
      </w:r>
    </w:p>
    <w:p>
      <w:pPr>
        <w:pStyle w:val="8"/>
        <w:keepNext w:val="0"/>
        <w:keepLines w:val="0"/>
        <w:pageBreakBefore w:val="0"/>
        <w:widowControl w:val="0"/>
        <w:kinsoku/>
        <w:wordWrap/>
        <w:overflowPunct/>
        <w:topLinePunct w:val="0"/>
        <w:bidi w:val="0"/>
        <w:spacing w:line="300" w:lineRule="auto"/>
        <w:ind w:left="0" w:leftChars="0"/>
        <w:textAlignment w:val="auto"/>
        <w:rPr>
          <w:rFonts w:hint="eastAsia" w:ascii="仿宋" w:hAnsi="仿宋" w:eastAsia="仿宋" w:cs="仿宋"/>
          <w:sz w:val="24"/>
          <w:szCs w:val="24"/>
        </w:rPr>
      </w:pPr>
    </w:p>
    <w:p>
      <w:pPr>
        <w:keepNext w:val="0"/>
        <w:keepLines w:val="0"/>
        <w:pageBreakBefore w:val="0"/>
        <w:widowControl w:val="0"/>
        <w:tabs>
          <w:tab w:val="left" w:pos="426"/>
        </w:tabs>
        <w:kinsoku/>
        <w:wordWrap/>
        <w:overflowPunct/>
        <w:topLinePunct w:val="0"/>
        <w:bidi w:val="0"/>
        <w:spacing w:line="300" w:lineRule="auto"/>
        <w:ind w:left="0" w:leftChars="0" w:firstLine="2"/>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致：</w:t>
      </w:r>
      <w:r>
        <w:rPr>
          <w:rFonts w:hint="eastAsia" w:ascii="仿宋" w:hAnsi="仿宋" w:eastAsia="仿宋" w:cs="仿宋"/>
          <w:b/>
          <w:sz w:val="24"/>
          <w:szCs w:val="24"/>
          <w:lang w:val="en-US" w:eastAsia="zh-CN"/>
        </w:rPr>
        <w:t>深圳市龙岗区耳鼻咽喉医院</w:t>
      </w:r>
    </w:p>
    <w:p>
      <w:pPr>
        <w:keepNext w:val="0"/>
        <w:keepLines w:val="0"/>
        <w:pageBreakBefore w:val="0"/>
        <w:widowControl w:val="0"/>
        <w:tabs>
          <w:tab w:val="left" w:pos="426"/>
        </w:tabs>
        <w:kinsoku/>
        <w:wordWrap/>
        <w:overflowPunct/>
        <w:topLinePunct w:val="0"/>
        <w:bidi w:val="0"/>
        <w:spacing w:line="300" w:lineRule="auto"/>
        <w:ind w:left="0" w:leftChars="0" w:firstLine="427" w:firstLineChars="178"/>
        <w:textAlignment w:val="auto"/>
        <w:rPr>
          <w:rFonts w:hint="eastAsia" w:ascii="仿宋" w:hAnsi="仿宋" w:eastAsia="仿宋" w:cs="仿宋"/>
          <w:sz w:val="24"/>
          <w:szCs w:val="24"/>
        </w:rPr>
      </w:pPr>
      <w:r>
        <w:rPr>
          <w:rFonts w:hint="eastAsia" w:ascii="仿宋" w:hAnsi="仿宋" w:eastAsia="仿宋" w:cs="仿宋"/>
          <w:sz w:val="24"/>
          <w:szCs w:val="24"/>
        </w:rPr>
        <w:t>我方确认收到贵方</w:t>
      </w:r>
      <w:r>
        <w:rPr>
          <w:rFonts w:hint="eastAsia" w:ascii="仿宋" w:hAnsi="仿宋" w:eastAsia="仿宋" w:cs="仿宋"/>
          <w:kern w:val="28"/>
          <w:sz w:val="24"/>
          <w:szCs w:val="24"/>
          <w:u w:val="single"/>
        </w:rPr>
        <w:t xml:space="preserve">                   </w:t>
      </w:r>
      <w:r>
        <w:rPr>
          <w:rFonts w:hint="eastAsia" w:ascii="仿宋" w:hAnsi="仿宋" w:eastAsia="仿宋" w:cs="仿宋"/>
          <w:kern w:val="28"/>
          <w:sz w:val="24"/>
          <w:szCs w:val="24"/>
        </w:rPr>
        <w:t>采购</w:t>
      </w:r>
      <w:r>
        <w:rPr>
          <w:rFonts w:hint="eastAsia" w:ascii="仿宋" w:hAnsi="仿宋" w:eastAsia="仿宋" w:cs="仿宋"/>
          <w:sz w:val="24"/>
          <w:szCs w:val="24"/>
        </w:rPr>
        <w:t>货物及相关服务的招标文件（项目编号：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(投标人名称、地址)</w:t>
      </w:r>
      <w:r>
        <w:rPr>
          <w:rFonts w:hint="eastAsia" w:ascii="仿宋" w:hAnsi="仿宋" w:eastAsia="仿宋" w:cs="仿宋"/>
          <w:sz w:val="24"/>
          <w:szCs w:val="24"/>
        </w:rPr>
        <w:t>作为投标人已正式授权</w:t>
      </w:r>
      <w:r>
        <w:rPr>
          <w:rFonts w:hint="eastAsia" w:ascii="仿宋" w:hAnsi="仿宋" w:eastAsia="仿宋" w:cs="仿宋"/>
          <w:sz w:val="24"/>
          <w:szCs w:val="24"/>
          <w:u w:val="single"/>
        </w:rPr>
        <w:t xml:space="preserve"> (被投标人授权代表全名、职务)</w:t>
      </w:r>
      <w:r>
        <w:rPr>
          <w:rFonts w:hint="eastAsia" w:ascii="仿宋" w:hAnsi="仿宋" w:eastAsia="仿宋" w:cs="仿宋"/>
          <w:sz w:val="24"/>
          <w:szCs w:val="24"/>
        </w:rPr>
        <w:t>为我方签名代表，签名代表在此声明并同意：</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1.</w:t>
      </w:r>
      <w:r>
        <w:rPr>
          <w:rFonts w:hint="eastAsia" w:ascii="仿宋" w:hAnsi="仿宋" w:eastAsia="仿宋" w:cs="仿宋"/>
          <w:b/>
          <w:sz w:val="24"/>
          <w:szCs w:val="24"/>
        </w:rPr>
        <w:t>我单位愿意遵守招标文件的各项规定，自愿参加投标，并已清楚招标文件的要求及有关文件规定，并严格按照招标文件的规定履行全部责任和义务。</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我们同意本投标文件的投标有效期从提交投标文件的截止之日起</w:t>
      </w:r>
      <w:r>
        <w:rPr>
          <w:rFonts w:hint="eastAsia" w:ascii="仿宋" w:hAnsi="仿宋" w:eastAsia="仿宋" w:cs="仿宋"/>
          <w:b/>
          <w:sz w:val="24"/>
          <w:szCs w:val="24"/>
          <w:highlight w:val="none"/>
          <w:u w:val="single"/>
          <w:lang w:val="en-US" w:eastAsia="zh-CN"/>
        </w:rPr>
        <w:t>90</w:t>
      </w:r>
      <w:r>
        <w:rPr>
          <w:rFonts w:hint="eastAsia" w:ascii="仿宋" w:hAnsi="仿宋" w:eastAsia="仿宋" w:cs="仿宋"/>
          <w:b/>
          <w:sz w:val="24"/>
          <w:szCs w:val="24"/>
        </w:rPr>
        <w:t>日历日内有效，并承诺不予撤销已递交的投标文件。</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我单位已经详细地阅读并完全明白了全部招标文件及附件，我单位完全理解本招标文件的要求，我单位同意放弃对招标文件提出不明或误解的一切权利。</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4.</w:t>
      </w:r>
      <w:r>
        <w:rPr>
          <w:rFonts w:hint="eastAsia" w:ascii="仿宋" w:hAnsi="仿宋" w:eastAsia="仿宋" w:cs="仿宋"/>
          <w:b/>
          <w:sz w:val="24"/>
          <w:szCs w:val="24"/>
        </w:rPr>
        <w:t>我单位同意提供</w:t>
      </w:r>
      <w:r>
        <w:rPr>
          <w:rFonts w:hint="eastAsia" w:ascii="仿宋" w:hAnsi="仿宋" w:eastAsia="仿宋" w:cs="仿宋"/>
          <w:b/>
          <w:sz w:val="24"/>
          <w:szCs w:val="24"/>
          <w:lang w:eastAsia="zh-TW"/>
        </w:rPr>
        <w:t>采购人</w:t>
      </w:r>
      <w:r>
        <w:rPr>
          <w:rFonts w:hint="eastAsia" w:ascii="仿宋" w:hAnsi="仿宋" w:eastAsia="仿宋" w:cs="仿宋"/>
          <w:b/>
          <w:sz w:val="24"/>
          <w:szCs w:val="24"/>
        </w:rPr>
        <w:t>与</w:t>
      </w:r>
      <w:r>
        <w:rPr>
          <w:rFonts w:hint="eastAsia" w:ascii="仿宋" w:hAnsi="仿宋" w:eastAsia="仿宋" w:cs="仿宋"/>
          <w:b/>
          <w:sz w:val="24"/>
          <w:szCs w:val="24"/>
          <w:lang w:eastAsia="zh-CN"/>
        </w:rPr>
        <w:t>评审委员会</w:t>
      </w:r>
      <w:r>
        <w:rPr>
          <w:rFonts w:hint="eastAsia" w:ascii="仿宋" w:hAnsi="仿宋" w:eastAsia="仿宋" w:cs="仿宋"/>
          <w:b/>
          <w:sz w:val="24"/>
          <w:szCs w:val="24"/>
        </w:rPr>
        <w:t>要求的有关投标的一切数据或资料。</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5.</w:t>
      </w:r>
      <w:r>
        <w:rPr>
          <w:rFonts w:hint="eastAsia" w:ascii="仿宋" w:hAnsi="仿宋" w:eastAsia="仿宋" w:cs="仿宋"/>
          <w:b/>
          <w:sz w:val="24"/>
          <w:szCs w:val="24"/>
        </w:rPr>
        <w:t>我单位理解</w:t>
      </w:r>
      <w:r>
        <w:rPr>
          <w:rFonts w:hint="eastAsia" w:ascii="仿宋" w:hAnsi="仿宋" w:eastAsia="仿宋" w:cs="仿宋"/>
          <w:b/>
          <w:sz w:val="24"/>
          <w:szCs w:val="24"/>
          <w:lang w:eastAsia="zh-TW"/>
        </w:rPr>
        <w:t>采购人</w:t>
      </w:r>
      <w:r>
        <w:rPr>
          <w:rFonts w:hint="eastAsia" w:ascii="仿宋" w:hAnsi="仿宋" w:eastAsia="仿宋" w:cs="仿宋"/>
          <w:b/>
          <w:sz w:val="24"/>
          <w:szCs w:val="24"/>
        </w:rPr>
        <w:t>与</w:t>
      </w:r>
      <w:r>
        <w:rPr>
          <w:rFonts w:hint="eastAsia" w:ascii="仿宋" w:hAnsi="仿宋" w:eastAsia="仿宋" w:cs="仿宋"/>
          <w:b/>
          <w:sz w:val="24"/>
          <w:szCs w:val="24"/>
          <w:lang w:eastAsia="zh-CN"/>
        </w:rPr>
        <w:t>评审委员会</w:t>
      </w:r>
      <w:r>
        <w:rPr>
          <w:rFonts w:hint="eastAsia" w:ascii="仿宋" w:hAnsi="仿宋" w:eastAsia="仿宋" w:cs="仿宋"/>
          <w:b/>
          <w:sz w:val="24"/>
          <w:szCs w:val="24"/>
        </w:rPr>
        <w:t>并无义务必须接受最低报价的投标或其它任何投标，完全</w:t>
      </w:r>
      <w:r>
        <w:rPr>
          <w:rFonts w:hint="eastAsia" w:ascii="仿宋" w:hAnsi="仿宋" w:eastAsia="仿宋" w:cs="仿宋"/>
          <w:b/>
          <w:sz w:val="24"/>
          <w:szCs w:val="24"/>
          <w:lang w:val="en-US" w:eastAsia="zh-CN"/>
        </w:rPr>
        <w:t>采购人</w:t>
      </w:r>
      <w:r>
        <w:rPr>
          <w:rFonts w:hint="eastAsia" w:ascii="仿宋" w:hAnsi="仿宋" w:eastAsia="仿宋" w:cs="仿宋"/>
          <w:b/>
          <w:sz w:val="24"/>
          <w:szCs w:val="24"/>
        </w:rPr>
        <w:t>拒绝迟到的任何投标和最低投标报价不是被授予中标的唯一条件。</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6.</w:t>
      </w:r>
      <w:r>
        <w:rPr>
          <w:rFonts w:hint="eastAsia" w:ascii="仿宋" w:hAnsi="仿宋" w:eastAsia="仿宋" w:cs="仿宋"/>
          <w:b/>
          <w:sz w:val="24"/>
          <w:szCs w:val="24"/>
        </w:rPr>
        <w:t xml:space="preserve">如果我单位未对招标文件全部要求作出实质性响应，则完全同意并接受按无效投标处理。 </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7.</w:t>
      </w:r>
      <w:r>
        <w:rPr>
          <w:rFonts w:hint="eastAsia" w:ascii="仿宋" w:hAnsi="仿宋" w:eastAsia="仿宋" w:cs="仿宋"/>
          <w:b/>
          <w:sz w:val="24"/>
          <w:szCs w:val="24"/>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8.</w:t>
      </w:r>
      <w:r>
        <w:rPr>
          <w:rFonts w:hint="eastAsia" w:ascii="仿宋" w:hAnsi="仿宋" w:eastAsia="仿宋" w:cs="仿宋"/>
          <w:b/>
          <w:sz w:val="24"/>
          <w:szCs w:val="24"/>
        </w:rPr>
        <w:t>如果我单位提供的声明或承诺不真实，则完全同意认定为我司提供虚假材料，并同意作相应处理。</w:t>
      </w:r>
    </w:p>
    <w:p>
      <w:pPr>
        <w:keepNext w:val="0"/>
        <w:keepLines w:val="0"/>
        <w:pageBreakBefore w:val="0"/>
        <w:widowControl w:val="0"/>
        <w:numPr>
          <w:ilvl w:val="0"/>
          <w:numId w:val="0"/>
        </w:numPr>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9.</w:t>
      </w:r>
      <w:r>
        <w:rPr>
          <w:rFonts w:hint="eastAsia" w:ascii="仿宋" w:hAnsi="仿宋" w:eastAsia="仿宋" w:cs="仿宋"/>
          <w:b/>
          <w:sz w:val="24"/>
          <w:szCs w:val="24"/>
        </w:rPr>
        <w:t>我单位是依法注册的法人，在法律、财务及运作上完全独立于本项目采购人、用户单位（如有）和采购代理机构。</w:t>
      </w:r>
    </w:p>
    <w:p>
      <w:pPr>
        <w:keepNext w:val="0"/>
        <w:keepLines w:val="0"/>
        <w:pageBreakBefore w:val="0"/>
        <w:widowControl w:val="0"/>
        <w:numPr>
          <w:ilvl w:val="0"/>
          <w:numId w:val="0"/>
        </w:numPr>
        <w:tabs>
          <w:tab w:val="left" w:pos="426"/>
        </w:tabs>
        <w:kinsoku/>
        <w:wordWrap/>
        <w:overflowPunct/>
        <w:topLinePunct w:val="0"/>
        <w:bidi w:val="0"/>
        <w:snapToGri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备注：</w:t>
      </w:r>
    </w:p>
    <w:p>
      <w:pPr>
        <w:keepNext w:val="0"/>
        <w:keepLines w:val="0"/>
        <w:pageBreakBefore w:val="0"/>
        <w:widowControl w:val="0"/>
        <w:tabs>
          <w:tab w:val="left" w:pos="426"/>
        </w:tabs>
        <w:kinsoku/>
        <w:wordWrap/>
        <w:overflowPunct/>
        <w:topLinePunct w:val="0"/>
        <w:autoSpaceDE w:val="0"/>
        <w:autoSpaceDN w:val="0"/>
        <w:bidi w:val="0"/>
        <w:adjustRightIn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1.</w:t>
      </w:r>
      <w:r>
        <w:rPr>
          <w:rFonts w:hint="eastAsia" w:ascii="仿宋" w:hAnsi="仿宋" w:eastAsia="仿宋" w:cs="仿宋"/>
          <w:b/>
          <w:sz w:val="24"/>
          <w:szCs w:val="24"/>
        </w:rPr>
        <w:t>投标函中承诺的投标有效期应当不少于招标文件中载明的投标有效期，否则视为无效投标。</w:t>
      </w:r>
    </w:p>
    <w:p>
      <w:pPr>
        <w:keepNext w:val="0"/>
        <w:keepLines w:val="0"/>
        <w:pageBreakBefore w:val="0"/>
        <w:widowControl w:val="0"/>
        <w:tabs>
          <w:tab w:val="left" w:pos="426"/>
        </w:tabs>
        <w:kinsoku/>
        <w:wordWrap/>
        <w:overflowPunct/>
        <w:topLinePunct w:val="0"/>
        <w:autoSpaceDE w:val="0"/>
        <w:autoSpaceDN w:val="0"/>
        <w:bidi w:val="0"/>
        <w:adjustRightInd w:val="0"/>
        <w:spacing w:line="300" w:lineRule="auto"/>
        <w:ind w:left="0" w:lef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除投标有效期承诺的时间外，本投标函内容不得擅自删改，否则视为无效投标。</w:t>
      </w:r>
    </w:p>
    <w:p>
      <w:pPr>
        <w:pStyle w:val="3"/>
        <w:pageBreakBefore w:val="0"/>
        <w:widowControl w:val="0"/>
        <w:kinsoku/>
        <w:wordWrap/>
        <w:overflowPunct/>
        <w:topLinePunct w:val="0"/>
        <w:bidi w:val="0"/>
        <w:spacing w:before="0" w:beforeLines="0" w:after="0" w:afterLines="0" w:line="300" w:lineRule="auto"/>
        <w:ind w:firstLine="480" w:firstLineChars="200"/>
        <w:jc w:val="both"/>
        <w:textAlignment w:val="auto"/>
        <w:rPr>
          <w:rFonts w:hint="eastAsia"/>
        </w:rPr>
      </w:pPr>
    </w:p>
    <w:p>
      <w:pPr>
        <w:pageBreakBefore w:val="0"/>
        <w:widowControl w:val="0"/>
        <w:tabs>
          <w:tab w:val="left" w:pos="426"/>
        </w:tabs>
        <w:kinsoku/>
        <w:wordWrap/>
        <w:overflowPunct/>
        <w:topLinePunct w:val="0"/>
        <w:bidi w:val="0"/>
        <w:spacing w:line="300" w:lineRule="auto"/>
        <w:ind w:firstLine="1205" w:firstLineChars="500"/>
        <w:textAlignment w:val="auto"/>
        <w:rPr>
          <w:rFonts w:hint="eastAsia" w:ascii="仿宋" w:hAnsi="仿宋" w:eastAsia="仿宋" w:cs="仿宋"/>
          <w:sz w:val="24"/>
          <w:szCs w:val="24"/>
        </w:rPr>
      </w:pPr>
      <w:r>
        <w:rPr>
          <w:rFonts w:hint="eastAsia" w:ascii="仿宋" w:hAnsi="仿宋" w:eastAsia="仿宋" w:cs="仿宋"/>
          <w:b/>
          <w:bCs/>
          <w:sz w:val="24"/>
          <w:szCs w:val="24"/>
        </w:rPr>
        <w:t>投标人单位名称（单位盖公章）：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tabs>
          <w:tab w:val="left" w:pos="426"/>
        </w:tabs>
        <w:kinsoku/>
        <w:wordWrap/>
        <w:overflowPunct/>
        <w:topLinePunct w:val="0"/>
        <w:bidi w:val="0"/>
        <w:spacing w:line="300" w:lineRule="auto"/>
        <w:ind w:firstLine="4337" w:firstLineChars="1800"/>
        <w:textAlignment w:val="auto"/>
        <w:rPr>
          <w:rFonts w:hint="eastAsia" w:ascii="仿宋" w:hAnsi="仿宋" w:eastAsia="仿宋" w:cs="仿宋"/>
          <w:b/>
          <w:sz w:val="24"/>
          <w:highlight w:val="none"/>
          <w:lang w:val="en-US" w:eastAsia="zh-CN"/>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lang w:val="en-US" w:eastAsia="zh-CN"/>
        </w:rPr>
        <w:t>日</w:t>
      </w:r>
    </w:p>
    <w:p>
      <w:pPr>
        <w:spacing w:line="420" w:lineRule="exact"/>
        <w:outlineLvl w:val="3"/>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四、投标及履约承诺函</w:t>
      </w:r>
    </w:p>
    <w:p>
      <w:pPr>
        <w:tabs>
          <w:tab w:val="left" w:pos="426"/>
        </w:tabs>
        <w:adjustRightInd w:val="0"/>
        <w:spacing w:line="420" w:lineRule="exact"/>
        <w:jc w:val="center"/>
        <w:outlineLvl w:val="4"/>
        <w:rPr>
          <w:rFonts w:hint="eastAsia" w:ascii="仿宋" w:hAnsi="仿宋" w:eastAsia="仿宋" w:cs="仿宋"/>
          <w:bCs/>
          <w:color w:val="auto"/>
          <w:kern w:val="0"/>
          <w:sz w:val="24"/>
          <w:szCs w:val="24"/>
          <w:shd w:val="clear" w:color="auto" w:fill="FFFFFF"/>
          <w:lang w:val="en-US" w:eastAsia="zh-CN" w:bidi="ar-SA"/>
        </w:rPr>
      </w:pPr>
      <w:r>
        <w:rPr>
          <w:rFonts w:hint="eastAsia" w:ascii="仿宋" w:hAnsi="仿宋" w:eastAsia="仿宋" w:cs="仿宋"/>
          <w:b/>
          <w:bCs w:val="0"/>
          <w:color w:val="auto"/>
          <w:kern w:val="0"/>
          <w:sz w:val="24"/>
          <w:szCs w:val="24"/>
          <w:shd w:val="clear" w:color="auto" w:fill="FFFFFF"/>
          <w:lang w:val="en-US" w:eastAsia="zh-CN" w:bidi="ar-SA"/>
        </w:rPr>
        <w:t>投标及履约承诺函</w:t>
      </w:r>
    </w:p>
    <w:p>
      <w:pPr>
        <w:pStyle w:val="8"/>
        <w:spacing w:line="420" w:lineRule="exact"/>
        <w:rPr>
          <w:rFonts w:hint="eastAsia" w:ascii="仿宋" w:hAnsi="仿宋" w:eastAsia="仿宋" w:cs="仿宋"/>
          <w:bCs/>
          <w:color w:val="333333"/>
          <w:kern w:val="0"/>
          <w:sz w:val="24"/>
          <w:szCs w:val="24"/>
          <w:shd w:val="clear" w:color="auto" w:fill="FFFFFF"/>
          <w:lang w:val="en-US" w:eastAsia="zh-CN" w:bidi="ar-SA"/>
        </w:rPr>
      </w:pPr>
    </w:p>
    <w:p>
      <w:pPr>
        <w:tabs>
          <w:tab w:val="left" w:pos="360"/>
        </w:tabs>
        <w:spacing w:line="460" w:lineRule="exact"/>
        <w:jc w:val="both"/>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致：深圳市龙岗区耳鼻咽喉医院</w:t>
      </w:r>
    </w:p>
    <w:p>
      <w:pPr>
        <w:tabs>
          <w:tab w:val="left" w:pos="360"/>
        </w:tabs>
        <w:spacing w:line="460" w:lineRule="exact"/>
        <w:ind w:firstLine="480" w:firstLineChars="200"/>
        <w:jc w:val="both"/>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我公司承诺：</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1.我公司参与本项目所投标（响应）的货物或服务未侵犯知识产权。</w:t>
      </w:r>
    </w:p>
    <w:p>
      <w:pPr>
        <w:numPr>
          <w:ilvl w:val="0"/>
          <w:numId w:val="0"/>
        </w:numPr>
        <w:tabs>
          <w:tab w:val="left" w:pos="360"/>
        </w:tabs>
        <w:spacing w:line="460" w:lineRule="exact"/>
        <w:ind w:firstLine="482" w:firstLineChars="200"/>
        <w:jc w:val="both"/>
        <w:rPr>
          <w:rFonts w:hint="default"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2.我公司参与本项目采购活动前三年内，在经营活动中没有《中华人民共和国政府采购法实施条例》第十九条规定的重大违法记录。</w:t>
      </w:r>
    </w:p>
    <w:p>
      <w:pPr>
        <w:numPr>
          <w:ilvl w:val="0"/>
          <w:numId w:val="0"/>
        </w:numPr>
        <w:tabs>
          <w:tab w:val="left" w:pos="360"/>
        </w:tabs>
        <w:spacing w:line="460" w:lineRule="exact"/>
        <w:ind w:firstLine="482" w:firstLineChars="200"/>
        <w:jc w:val="both"/>
        <w:rPr>
          <w:rFonts w:hint="default"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3.我公司参与本项目采购活动时不存在被有关部门禁止参与政府采购活动且在有效期内的情况。</w:t>
      </w:r>
    </w:p>
    <w:p>
      <w:pPr>
        <w:numPr>
          <w:ilvl w:val="0"/>
          <w:numId w:val="0"/>
        </w:numPr>
        <w:tabs>
          <w:tab w:val="left" w:pos="360"/>
        </w:tabs>
        <w:spacing w:line="460" w:lineRule="exact"/>
        <w:ind w:leftChars="0"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4.我公司具备《中华人民共和国政府采购法》第二十二条第一款规定的六项条件。</w:t>
      </w:r>
    </w:p>
    <w:p>
      <w:pPr>
        <w:numPr>
          <w:ilvl w:val="0"/>
          <w:numId w:val="0"/>
        </w:numPr>
        <w:tabs>
          <w:tab w:val="left" w:pos="360"/>
        </w:tabs>
        <w:spacing w:line="460" w:lineRule="exact"/>
        <w:ind w:leftChars="0"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5.我公司未被列入失信被执行人、重大税收违法案件当事人名单、政府采购严重违法失信行为记录名单。</w:t>
      </w:r>
    </w:p>
    <w:p>
      <w:pPr>
        <w:numPr>
          <w:ilvl w:val="0"/>
          <w:numId w:val="0"/>
        </w:numPr>
        <w:tabs>
          <w:tab w:val="left" w:pos="360"/>
        </w:tabs>
        <w:spacing w:line="460" w:lineRule="exact"/>
        <w:ind w:leftChars="0"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w:t>
      </w:r>
      <w:r>
        <w:rPr>
          <w:rFonts w:hint="default" w:ascii="仿宋" w:hAnsi="仿宋" w:eastAsia="仿宋" w:cs="仿宋"/>
          <w:b/>
          <w:bCs w:val="0"/>
          <w:color w:val="333333"/>
          <w:kern w:val="0"/>
          <w:sz w:val="24"/>
          <w:szCs w:val="24"/>
          <w:shd w:val="clear" w:color="auto" w:fill="FFFFFF"/>
          <w:lang w:val="en-US" w:eastAsia="zh-CN" w:bidi="ar-SA"/>
        </w:rPr>
        <w:t>”</w:t>
      </w:r>
      <w:r>
        <w:rPr>
          <w:rFonts w:hint="eastAsia" w:ascii="仿宋" w:hAnsi="仿宋" w:eastAsia="仿宋" w:cs="仿宋"/>
          <w:b/>
          <w:bCs w:val="0"/>
          <w:color w:val="333333"/>
          <w:kern w:val="0"/>
          <w:sz w:val="24"/>
          <w:szCs w:val="24"/>
          <w:shd w:val="clear" w:color="auto" w:fill="FFFFFF"/>
          <w:lang w:val="en-US" w:eastAsia="zh-CN" w:bidi="ar-SA"/>
        </w:rPr>
        <w:t>的情形，不存在对本次采购项目提供整体设计、规范编制或许项目管理、监理、检测等服务的情形。</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pPr>
        <w:tabs>
          <w:tab w:val="left" w:pos="360"/>
        </w:tabs>
        <w:spacing w:line="460" w:lineRule="exact"/>
        <w:ind w:firstLine="482" w:firstLineChars="200"/>
        <w:jc w:val="both"/>
        <w:rPr>
          <w:rFonts w:hint="default"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11.我公司承诺不非法转包、分包。</w:t>
      </w:r>
    </w:p>
    <w:p>
      <w:pPr>
        <w:tabs>
          <w:tab w:val="left" w:pos="360"/>
        </w:tabs>
        <w:spacing w:line="460" w:lineRule="exact"/>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tabs>
          <w:tab w:val="left" w:pos="360"/>
        </w:tabs>
        <w:spacing w:line="460" w:lineRule="exact"/>
        <w:jc w:val="both"/>
        <w:rPr>
          <w:rFonts w:hint="eastAsia" w:ascii="仿宋" w:hAnsi="仿宋" w:eastAsia="仿宋" w:cs="仿宋"/>
          <w:bCs/>
          <w:color w:val="333333"/>
          <w:kern w:val="0"/>
          <w:sz w:val="24"/>
          <w:szCs w:val="24"/>
          <w:shd w:val="clear" w:color="auto" w:fill="FFFFFF"/>
          <w:lang w:val="en-US" w:eastAsia="zh-CN" w:bidi="ar-SA"/>
        </w:rPr>
      </w:pPr>
    </w:p>
    <w:p>
      <w:pPr>
        <w:pStyle w:val="8"/>
        <w:spacing w:line="420" w:lineRule="exact"/>
        <w:rPr>
          <w:rFonts w:hint="eastAsia" w:ascii="仿宋" w:hAnsi="仿宋" w:eastAsia="仿宋" w:cs="仿宋"/>
          <w:bCs/>
          <w:color w:val="333333"/>
          <w:kern w:val="0"/>
          <w:sz w:val="24"/>
          <w:szCs w:val="24"/>
          <w:shd w:val="clear" w:color="auto" w:fill="FFFFFF"/>
          <w:lang w:val="en-US" w:eastAsia="zh-CN" w:bidi="ar-SA"/>
        </w:rPr>
      </w:pPr>
    </w:p>
    <w:p>
      <w:pPr>
        <w:tabs>
          <w:tab w:val="left" w:pos="426"/>
        </w:tabs>
        <w:snapToGrid w:val="0"/>
        <w:spacing w:line="420" w:lineRule="exact"/>
        <w:rPr>
          <w:rFonts w:hint="eastAsia" w:ascii="仿宋" w:hAnsi="仿宋" w:eastAsia="仿宋" w:cs="仿宋"/>
          <w:bCs/>
          <w:color w:val="333333"/>
          <w:kern w:val="0"/>
          <w:sz w:val="24"/>
          <w:szCs w:val="24"/>
          <w:shd w:val="clear" w:color="auto" w:fill="FFFFFF"/>
          <w:lang w:val="en-US" w:eastAsia="zh-CN" w:bidi="ar-SA"/>
        </w:rPr>
      </w:pPr>
    </w:p>
    <w:p>
      <w:pPr>
        <w:tabs>
          <w:tab w:val="left" w:pos="426"/>
        </w:tabs>
        <w:spacing w:line="420" w:lineRule="exact"/>
        <w:ind w:firstLine="5040" w:firstLineChars="2100"/>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投标人单位名称（公章）：</w:t>
      </w:r>
    </w:p>
    <w:p>
      <w:pPr>
        <w:tabs>
          <w:tab w:val="left" w:pos="426"/>
        </w:tabs>
        <w:spacing w:line="420" w:lineRule="exact"/>
        <w:ind w:firstLine="4560" w:firstLineChars="1900"/>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法定代表人或其授权代表签名：</w:t>
      </w:r>
    </w:p>
    <w:p>
      <w:pPr>
        <w:tabs>
          <w:tab w:val="left" w:pos="426"/>
        </w:tabs>
        <w:spacing w:line="420" w:lineRule="exact"/>
        <w:ind w:firstLine="4800" w:firstLineChars="2000"/>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日期：      年    月    日</w:t>
      </w:r>
    </w:p>
    <w:p>
      <w:pPr>
        <w:spacing w:line="360" w:lineRule="auto"/>
        <w:ind w:left="120" w:leftChars="50" w:firstLine="427" w:firstLineChars="178"/>
        <w:rPr>
          <w:rFonts w:hint="eastAsia" w:ascii="宋体" w:hAnsi="宋体" w:eastAsia="宋体" w:cs="宋体"/>
          <w:color w:val="FF0000"/>
          <w:sz w:val="24"/>
          <w:highlight w:val="none"/>
          <w:lang w:val="en-US" w:eastAsia="zh-CN"/>
        </w:rPr>
      </w:pPr>
    </w:p>
    <w:p>
      <w:pPr>
        <w:spacing w:line="360" w:lineRule="auto"/>
        <w:ind w:left="120" w:leftChars="50" w:firstLine="427" w:firstLineChars="178"/>
        <w:rPr>
          <w:rFonts w:hint="eastAsia" w:ascii="宋体" w:hAnsi="宋体" w:eastAsia="宋体" w:cs="宋体"/>
          <w:color w:val="FF0000"/>
          <w:sz w:val="24"/>
          <w:highlight w:val="none"/>
          <w:lang w:val="en-US" w:eastAsia="zh-CN"/>
        </w:rPr>
      </w:pPr>
    </w:p>
    <w:p>
      <w:pPr>
        <w:spacing w:line="360" w:lineRule="auto"/>
        <w:ind w:left="120" w:leftChars="50" w:firstLine="427" w:firstLineChars="178"/>
        <w:rPr>
          <w:rFonts w:hint="eastAsia" w:ascii="宋体" w:hAnsi="宋体" w:eastAsia="宋体" w:cs="宋体"/>
          <w:color w:val="FF0000"/>
          <w:sz w:val="24"/>
          <w:highlight w:val="none"/>
          <w:lang w:val="en-US" w:eastAsia="zh-CN"/>
        </w:rPr>
      </w:pPr>
    </w:p>
    <w:p>
      <w:pPr>
        <w:spacing w:line="360" w:lineRule="auto"/>
        <w:ind w:left="120" w:leftChars="50" w:firstLine="427" w:firstLineChars="178"/>
        <w:rPr>
          <w:rFonts w:hint="eastAsia" w:ascii="宋体" w:hAnsi="宋体" w:eastAsia="宋体" w:cs="宋体"/>
          <w:color w:val="FF0000"/>
          <w:sz w:val="24"/>
          <w:highlight w:val="none"/>
          <w:lang w:val="en-US" w:eastAsia="zh-CN"/>
        </w:rPr>
      </w:pPr>
    </w:p>
    <w:p>
      <w:pPr>
        <w:spacing w:line="360" w:lineRule="auto"/>
        <w:ind w:left="120" w:leftChars="50" w:firstLine="427" w:firstLineChars="178"/>
        <w:rPr>
          <w:rFonts w:hint="eastAsia" w:ascii="宋体" w:hAnsi="宋体" w:eastAsia="宋体" w:cs="宋体"/>
          <w:color w:val="FF0000"/>
          <w:sz w:val="24"/>
          <w:highlight w:val="none"/>
          <w:lang w:val="en-US" w:eastAsia="zh-CN"/>
        </w:rPr>
      </w:pPr>
    </w:p>
    <w:p>
      <w:pPr>
        <w:spacing w:line="360" w:lineRule="auto"/>
        <w:ind w:left="120" w:leftChars="50" w:firstLine="427" w:firstLineChars="178"/>
        <w:rPr>
          <w:rFonts w:hint="eastAsia" w:ascii="宋体" w:hAnsi="宋体" w:eastAsia="宋体" w:cs="宋体"/>
          <w:color w:val="FF0000"/>
          <w:sz w:val="24"/>
          <w:highlight w:val="none"/>
          <w:lang w:val="en-US" w:eastAsia="zh-CN"/>
        </w:rPr>
      </w:pPr>
    </w:p>
    <w:p>
      <w:pPr>
        <w:spacing w:line="360" w:lineRule="auto"/>
        <w:ind w:left="120" w:leftChars="50" w:firstLine="427" w:firstLineChars="178"/>
        <w:rPr>
          <w:rFonts w:hint="eastAsia" w:ascii="宋体" w:hAnsi="宋体" w:eastAsia="宋体" w:cs="宋体"/>
          <w:color w:val="FF0000"/>
          <w:sz w:val="24"/>
          <w:highlight w:val="none"/>
          <w:lang w:val="en-US" w:eastAsia="zh-CN"/>
        </w:rPr>
      </w:pPr>
    </w:p>
    <w:p>
      <w:pPr>
        <w:spacing w:line="360" w:lineRule="auto"/>
        <w:ind w:left="120" w:leftChars="50" w:firstLine="427" w:firstLineChars="178"/>
        <w:rPr>
          <w:rFonts w:hint="eastAsia" w:ascii="宋体" w:hAnsi="宋体" w:eastAsia="宋体" w:cs="宋体"/>
          <w:color w:val="FF0000"/>
          <w:sz w:val="24"/>
          <w:highlight w:val="none"/>
          <w:lang w:val="en-US" w:eastAsia="zh-CN"/>
        </w:rPr>
      </w:pPr>
      <w:r>
        <w:rPr>
          <w:rFonts w:hint="eastAsia" w:ascii="宋体" w:hAnsi="宋体" w:eastAsia="宋体" w:cs="宋体"/>
          <w:color w:val="FF0000"/>
          <w:sz w:val="24"/>
          <w:highlight w:val="none"/>
          <w:lang w:val="en-US" w:eastAsia="zh-CN"/>
        </w:rPr>
        <w:t>三个渠道查询供应商信用查询记录截图</w:t>
      </w: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25"/>
        <w:tabs>
          <w:tab w:val="left" w:pos="426"/>
        </w:tabs>
        <w:ind w:left="0" w:leftChars="0" w:firstLine="0" w:firstLineChars="0"/>
        <w:rPr>
          <w:rFonts w:hint="eastAsia" w:ascii="宋体" w:hAnsi="宋体" w:eastAsia="宋体" w:cs="宋体"/>
          <w:color w:val="FF0000"/>
          <w:sz w:val="24"/>
          <w:highlight w:val="none"/>
          <w:lang w:val="en-US" w:eastAsia="zh-CN"/>
        </w:rPr>
      </w:pPr>
    </w:p>
    <w:p>
      <w:pPr>
        <w:pStyle w:val="4"/>
        <w:tabs>
          <w:tab w:val="left" w:pos="426"/>
        </w:tabs>
        <w:spacing w:after="120" w:line="240" w:lineRule="auto"/>
        <w:jc w:val="left"/>
        <w:rPr>
          <w:rFonts w:hint="eastAsia" w:ascii="宋体" w:hAnsi="宋体" w:cs="宋体"/>
          <w:b/>
          <w:bCs w:val="0"/>
          <w:kern w:val="0"/>
          <w:sz w:val="24"/>
          <w:szCs w:val="24"/>
          <w:lang w:val="en-US" w:eastAsia="zh-CN" w:bidi="ar-SA"/>
        </w:rPr>
      </w:pPr>
    </w:p>
    <w:p>
      <w:pPr>
        <w:pStyle w:val="4"/>
        <w:tabs>
          <w:tab w:val="left" w:pos="426"/>
        </w:tabs>
        <w:spacing w:after="120" w:line="240" w:lineRule="auto"/>
        <w:jc w:val="left"/>
        <w:rPr>
          <w:rFonts w:hint="eastAsia" w:ascii="宋体" w:hAnsi="宋体" w:cs="宋体"/>
          <w:b/>
          <w:bCs w:val="0"/>
          <w:kern w:val="0"/>
          <w:sz w:val="24"/>
          <w:szCs w:val="24"/>
          <w:lang w:val="en-US" w:eastAsia="zh-CN" w:bidi="ar-SA"/>
        </w:rPr>
      </w:pPr>
    </w:p>
    <w:p>
      <w:pPr>
        <w:pStyle w:val="4"/>
        <w:tabs>
          <w:tab w:val="left" w:pos="426"/>
        </w:tabs>
        <w:spacing w:after="120" w:line="240" w:lineRule="auto"/>
        <w:jc w:val="left"/>
        <w:rPr>
          <w:rFonts w:hint="eastAsia" w:ascii="宋体" w:hAnsi="宋体" w:cs="宋体"/>
          <w:b/>
          <w:bCs w:val="0"/>
          <w:kern w:val="0"/>
          <w:sz w:val="24"/>
          <w:szCs w:val="24"/>
          <w:lang w:val="en-US" w:eastAsia="zh-CN" w:bidi="ar-SA"/>
        </w:rPr>
      </w:pPr>
    </w:p>
    <w:p>
      <w:pPr>
        <w:pStyle w:val="4"/>
        <w:tabs>
          <w:tab w:val="left" w:pos="426"/>
        </w:tabs>
        <w:spacing w:after="120" w:line="240" w:lineRule="auto"/>
        <w:jc w:val="left"/>
        <w:rPr>
          <w:rFonts w:hint="eastAsia" w:ascii="宋体" w:hAnsi="宋体" w:cs="宋体"/>
          <w:b/>
          <w:bCs w:val="0"/>
          <w:kern w:val="0"/>
          <w:sz w:val="24"/>
          <w:szCs w:val="24"/>
          <w:lang w:val="en-US" w:eastAsia="zh-CN" w:bidi="ar-SA"/>
        </w:rPr>
      </w:pPr>
    </w:p>
    <w:p>
      <w:pPr>
        <w:numPr>
          <w:ilvl w:val="0"/>
          <w:numId w:val="0"/>
        </w:numPr>
        <w:spacing w:line="420" w:lineRule="exact"/>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五、采购违法行为风险知悉确认书</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本公司（单位）已充分知悉以下情形为参与采购活动时的重大风险事项，并承诺已对下述风险提示事项重点排查，做到严谨、诚信、依法依规参与贵院采购活动。</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一、本公司（单位）已充分知悉“隐瞒真实情况，提供虚假资料”的法定情形，相关情形包括但不限于：</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（一）通过转让或者租借等方式从其他单位获取资格或者资质证书参加项目采购活动的。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（二）由其他单位或者其他单位负责人在编制的投标文件上加盖印章或者签字的。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（三）项目负责人或者主要技术人员不是本单位人员的。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（四）其他隐瞒真实情况、提供虚假资料的行为。</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二、本公司（单位）已充分知悉“与其他采购参加人串通投标”的法定情形，相关情形包括但不限于：</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（一）参加本项目供应商之间相互约定给予未中标的供应商利益补偿。</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（二）不同报名供应商的法定代表人、主要经营负责人、项目授权代表人、项目负责人、主要技术人员为同一人、属同一单位或者在同一单位缴纳社会保险。</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（三）不同报名供应商的投标文件由同一单位或者同一人编制，或者由同一人分阶段参与编制的。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（四）不同报名供应商的投标文件或部分投标文件相互混装。</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（五）不同报名供应商的投标文件内容存在非正常一致。</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（六）由同一单位工作人员为两家以上（含两家）供应商进行同一项采购活动的。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（七）不同供应商的报价呈规律性差异。</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（八）主管部门依照法律、法规认定的其他情形。</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三、本公司（单位）已充分知悉下列情形所对应的法律风险，并已对相关风险事项进行排查。</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（一）对于从其他主体获取的资料，供应商应审慎核查，确保投标文件的真实性。如主管部门查实投标文件中存在虚假资料的，无论相关资料是否由第三方或本公司（单位）员工提供，均不影响</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主管部门对供应商存在“隐瞒真实情况，提供虚假资料”违法行为的认定。</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（三）对于涉及安全生产、特种作业、抢险救灾、防疫等政府采购项目，供应商实施提供虚假资料、串通投标等违法行为的，主管部门将依法从严处理。</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四、本公司（单位）已充分知悉政府采购违法、违规行为的法律后果。经查实，若参与供应商存在政府采购违法、违规行为，主管部门将依据《深圳经济特区政府采购条例》第五十七条的规定，处以</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left="120" w:leftChars="50" w:firstLine="373" w:firstLineChars="178"/>
        <w:rPr>
          <w:rFonts w:hint="eastAsia" w:ascii="宋体" w:hAnsi="宋体" w:cs="Times New Roman"/>
          <w:sz w:val="21"/>
          <w:szCs w:val="21"/>
          <w:lang w:val="en-US" w:eastAsia="zh-CN"/>
        </w:rPr>
      </w:pPr>
    </w:p>
    <w:p>
      <w:pPr>
        <w:spacing w:line="360" w:lineRule="auto"/>
        <w:ind w:left="120" w:leftChars="50" w:firstLine="373" w:firstLineChars="178"/>
        <w:rPr>
          <w:rFonts w:hint="eastAsia" w:ascii="宋体" w:hAnsi="宋体" w:cs="Times New Roman"/>
          <w:color w:val="FF0000"/>
          <w:sz w:val="21"/>
          <w:szCs w:val="21"/>
          <w:lang w:val="en-US" w:eastAsia="zh-CN"/>
        </w:rPr>
      </w:pPr>
      <w:r>
        <w:rPr>
          <w:rFonts w:hint="eastAsia" w:ascii="宋体" w:hAnsi="宋体" w:cs="Times New Roman"/>
          <w:color w:val="FF0000"/>
          <w:sz w:val="21"/>
          <w:szCs w:val="21"/>
          <w:lang w:val="en-US" w:eastAsia="zh-CN"/>
        </w:rPr>
        <w:t>以下文字请供应商抄写并确认：“本公司（单位）已仔细阅读《采购违法行为风险知悉确认书》，充分知悉违法行为的法律后果，并承诺将严谨、诚信、依法依规参与政府采购活动”。</w:t>
      </w:r>
    </w:p>
    <w:p>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pPr>
        <w:spacing w:line="360" w:lineRule="auto"/>
        <w:rPr>
          <w:rFonts w:hint="eastAsia" w:ascii="宋体" w:hAnsi="宋体" w:cs="Times New Roman"/>
          <w:sz w:val="21"/>
          <w:szCs w:val="21"/>
          <w:u w:val="single"/>
          <w:lang w:val="en-US" w:eastAsia="zh-CN"/>
        </w:rPr>
      </w:pPr>
      <w:r>
        <w:rPr>
          <w:rFonts w:hint="eastAsia" w:ascii="宋体" w:hAnsi="宋体" w:cs="Times New Roman"/>
          <w:sz w:val="21"/>
          <w:szCs w:val="21"/>
          <w:u w:val="single"/>
          <w:lang w:val="en-US" w:eastAsia="zh-CN"/>
        </w:rPr>
        <w:t xml:space="preserve">                                                                               </w:t>
      </w:r>
    </w:p>
    <w:p>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pPr>
        <w:spacing w:line="360" w:lineRule="auto"/>
        <w:ind w:left="120" w:leftChars="50" w:firstLine="373" w:firstLineChars="178"/>
        <w:rPr>
          <w:rFonts w:hint="default" w:ascii="宋体" w:hAnsi="宋体" w:cs="Times New Roman"/>
          <w:sz w:val="21"/>
          <w:szCs w:val="21"/>
          <w:lang w:val="en-US" w:eastAsia="zh-CN"/>
        </w:rPr>
      </w:pPr>
      <w:r>
        <w:rPr>
          <w:rFonts w:hint="eastAsia" w:ascii="宋体" w:hAnsi="宋体" w:cs="Times New Roman"/>
          <w:sz w:val="21"/>
          <w:szCs w:val="21"/>
          <w:lang w:val="en-US" w:eastAsia="zh-CN"/>
        </w:rPr>
        <w:t xml:space="preserve">                                                                                         </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pPr>
        <w:spacing w:line="360" w:lineRule="auto"/>
        <w:ind w:left="2894" w:leftChars="224" w:hanging="2356" w:hangingChars="1122"/>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法定代表人/项目授权代表签名：                     知悉人（公章）：</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日期：2025年    月    日</w:t>
      </w:r>
    </w:p>
    <w:p>
      <w:pPr>
        <w:spacing w:line="360" w:lineRule="auto"/>
        <w:ind w:left="120" w:leftChars="50" w:firstLine="373" w:firstLineChars="178"/>
        <w:rPr>
          <w:rFonts w:hint="eastAsia" w:ascii="宋体" w:hAnsi="宋体" w:cs="Times New Roman"/>
          <w:sz w:val="21"/>
          <w:szCs w:val="21"/>
          <w:lang w:val="en-US" w:eastAsia="zh-CN"/>
        </w:rPr>
      </w:pPr>
      <w:bookmarkStart w:id="29" w:name="_Toc10165"/>
      <w:r>
        <w:rPr>
          <w:rFonts w:hint="eastAsia" w:ascii="宋体" w:hAnsi="宋体" w:cs="Times New Roman"/>
          <w:sz w:val="21"/>
          <w:szCs w:val="21"/>
          <w:lang w:val="en-US" w:eastAsia="zh-CN"/>
        </w:rPr>
        <w:br w:type="page"/>
      </w:r>
      <w:bookmarkEnd w:id="29"/>
    </w:p>
    <w:p>
      <w:pPr>
        <w:numPr>
          <w:ilvl w:val="0"/>
          <w:numId w:val="0"/>
        </w:numPr>
        <w:spacing w:line="420" w:lineRule="exact"/>
        <w:ind w:leftChars="0"/>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六、</w:t>
      </w:r>
      <w:r>
        <w:rPr>
          <w:rFonts w:hint="eastAsia" w:asciiTheme="minorEastAsia" w:hAnsiTheme="minorEastAsia" w:eastAsiaTheme="minorEastAsia" w:cstheme="minorEastAsia"/>
          <w:b/>
          <w:sz w:val="24"/>
          <w:szCs w:val="24"/>
        </w:rPr>
        <w:t>投标人情况及资格证明文件</w:t>
      </w:r>
    </w:p>
    <w:p>
      <w:pPr>
        <w:pStyle w:val="15"/>
        <w:spacing w:line="4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eastAsiaTheme="minorEastAsia" w:cstheme="minorEastAsia"/>
          <w:b/>
          <w:bCs/>
          <w:sz w:val="21"/>
          <w:szCs w:val="21"/>
        </w:rPr>
        <w:t>投标人基本情况一览表</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1．名称及概况：</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（1）投标人名称：________________________________________</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（2）注册地址：__________________________________________</w:t>
      </w:r>
    </w:p>
    <w:p>
      <w:pPr>
        <w:pStyle w:val="15"/>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邮政编码：___________________________________________</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电话号码：___________________________________________ </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传真号码：___________________________________________ </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（3）成立或注册日期：____________________________________</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（4）法定代表人：___________________________________________</w:t>
      </w:r>
    </w:p>
    <w:p>
      <w:pPr>
        <w:pStyle w:val="15"/>
        <w:spacing w:line="4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（5）基本存款账户开户银行___________________________________________</w:t>
      </w:r>
    </w:p>
    <w:p>
      <w:pPr>
        <w:pStyle w:val="15"/>
        <w:spacing w:line="4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（6）基本存款账户开户账号___________________________________________</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（7）注册资金：___________________________________________</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（8）注册经营范围：_______________________________________</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（9）近两年财务基本情况（成立年限不足的，提供最近一期财务报表信息）</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①货币资金期末数：_____________________________________</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②年营业总额（值）：___________________________________</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③资产负债率：_________________________________________</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④销售利润率：_________________________________________</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⑤资本收益率：_________________________________________</w:t>
      </w:r>
    </w:p>
    <w:p>
      <w:pPr>
        <w:pStyle w:val="15"/>
        <w:spacing w:line="420" w:lineRule="exact"/>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（以上内容应与财务报表信息一致，如不一致以财务报表为准）</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（10）项目负责人及主要联系人（姓名、职务、通讯方式）：</w:t>
      </w:r>
    </w:p>
    <w:p>
      <w:pPr>
        <w:pStyle w:val="15"/>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_____________________________________________________________________</w:t>
      </w:r>
    </w:p>
    <w:p>
      <w:pPr>
        <w:adjustRightInd w:val="0"/>
        <w:spacing w:line="42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（11）主要股东或出资人信息（必须填写）</w:t>
      </w:r>
    </w:p>
    <w:tbl>
      <w:tblPr>
        <w:tblStyle w:val="26"/>
        <w:tblW w:w="85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1141"/>
        <w:gridCol w:w="2075"/>
        <w:gridCol w:w="1245"/>
        <w:gridCol w:w="1324"/>
        <w:gridCol w:w="1166"/>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3" w:hRule="atLeast"/>
        </w:trPr>
        <w:tc>
          <w:tcPr>
            <w:tcW w:w="718" w:type="dxa"/>
            <w:vAlign w:val="center"/>
          </w:tcPr>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141" w:type="dxa"/>
            <w:vAlign w:val="center"/>
          </w:tcPr>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名称</w:t>
            </w:r>
          </w:p>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（姓名）</w:t>
            </w:r>
          </w:p>
        </w:tc>
        <w:tc>
          <w:tcPr>
            <w:tcW w:w="2075" w:type="dxa"/>
            <w:vAlign w:val="center"/>
          </w:tcPr>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统一社会信用代码</w:t>
            </w:r>
          </w:p>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（身份证号）</w:t>
            </w:r>
          </w:p>
        </w:tc>
        <w:tc>
          <w:tcPr>
            <w:tcW w:w="1245" w:type="dxa"/>
            <w:vAlign w:val="center"/>
          </w:tcPr>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出资方式</w:t>
            </w:r>
          </w:p>
        </w:tc>
        <w:tc>
          <w:tcPr>
            <w:tcW w:w="1324" w:type="dxa"/>
            <w:vAlign w:val="center"/>
          </w:tcPr>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出资金额</w:t>
            </w:r>
          </w:p>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（万元）</w:t>
            </w:r>
          </w:p>
        </w:tc>
        <w:tc>
          <w:tcPr>
            <w:tcW w:w="1166" w:type="dxa"/>
            <w:vAlign w:val="center"/>
          </w:tcPr>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占全部股份比例</w:t>
            </w:r>
          </w:p>
        </w:tc>
        <w:tc>
          <w:tcPr>
            <w:tcW w:w="848" w:type="dxa"/>
            <w:vAlign w:val="center"/>
          </w:tcPr>
          <w:p>
            <w:pPr>
              <w:spacing w:line="42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41" w:type="dxa"/>
            <w:vAlign w:val="center"/>
          </w:tcPr>
          <w:p>
            <w:pPr>
              <w:spacing w:line="420" w:lineRule="exact"/>
              <w:jc w:val="center"/>
              <w:rPr>
                <w:rFonts w:hint="eastAsia" w:asciiTheme="minorEastAsia" w:hAnsiTheme="minorEastAsia" w:eastAsiaTheme="minorEastAsia" w:cstheme="minorEastAsia"/>
                <w:b/>
                <w:sz w:val="21"/>
                <w:szCs w:val="21"/>
              </w:rPr>
            </w:pPr>
          </w:p>
        </w:tc>
        <w:tc>
          <w:tcPr>
            <w:tcW w:w="207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24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324"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66" w:type="dxa"/>
            <w:vAlign w:val="center"/>
          </w:tcPr>
          <w:p>
            <w:pPr>
              <w:spacing w:line="420" w:lineRule="exact"/>
              <w:jc w:val="center"/>
              <w:rPr>
                <w:rFonts w:hint="eastAsia" w:asciiTheme="minorEastAsia" w:hAnsiTheme="minorEastAsia" w:eastAsiaTheme="minorEastAsia" w:cstheme="minorEastAsia"/>
                <w:b/>
                <w:sz w:val="21"/>
                <w:szCs w:val="21"/>
              </w:rPr>
            </w:pPr>
          </w:p>
        </w:tc>
        <w:tc>
          <w:tcPr>
            <w:tcW w:w="848" w:type="dxa"/>
            <w:vAlign w:val="center"/>
          </w:tcPr>
          <w:p>
            <w:pPr>
              <w:spacing w:line="420" w:lineRule="exact"/>
              <w:jc w:val="center"/>
              <w:rPr>
                <w:rFonts w:hint="eastAsia" w:asciiTheme="minorEastAsia" w:hAnsiTheme="minorEastAsia" w:eastAsiaTheme="minorEastAsia" w:cstheme="minorEastAsia"/>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41" w:type="dxa"/>
            <w:vAlign w:val="center"/>
          </w:tcPr>
          <w:p>
            <w:pPr>
              <w:spacing w:line="420" w:lineRule="exact"/>
              <w:jc w:val="center"/>
              <w:rPr>
                <w:rFonts w:hint="eastAsia" w:asciiTheme="minorEastAsia" w:hAnsiTheme="minorEastAsia" w:eastAsiaTheme="minorEastAsia" w:cstheme="minorEastAsia"/>
                <w:b/>
                <w:sz w:val="21"/>
                <w:szCs w:val="21"/>
              </w:rPr>
            </w:pPr>
          </w:p>
        </w:tc>
        <w:tc>
          <w:tcPr>
            <w:tcW w:w="207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24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324"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66" w:type="dxa"/>
            <w:vAlign w:val="center"/>
          </w:tcPr>
          <w:p>
            <w:pPr>
              <w:spacing w:line="420" w:lineRule="exact"/>
              <w:jc w:val="center"/>
              <w:rPr>
                <w:rFonts w:hint="eastAsia" w:asciiTheme="minorEastAsia" w:hAnsiTheme="minorEastAsia" w:eastAsiaTheme="minorEastAsia" w:cstheme="minorEastAsia"/>
                <w:b/>
                <w:sz w:val="21"/>
                <w:szCs w:val="21"/>
              </w:rPr>
            </w:pPr>
          </w:p>
        </w:tc>
        <w:tc>
          <w:tcPr>
            <w:tcW w:w="848" w:type="dxa"/>
            <w:vAlign w:val="center"/>
          </w:tcPr>
          <w:p>
            <w:pPr>
              <w:spacing w:line="420" w:lineRule="exact"/>
              <w:jc w:val="center"/>
              <w:rPr>
                <w:rFonts w:hint="eastAsia" w:asciiTheme="minorEastAsia" w:hAnsiTheme="minorEastAsia" w:eastAsiaTheme="minorEastAsia" w:cstheme="minorEastAsia"/>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41" w:type="dxa"/>
            <w:vAlign w:val="center"/>
          </w:tcPr>
          <w:p>
            <w:pPr>
              <w:spacing w:line="420" w:lineRule="exact"/>
              <w:jc w:val="center"/>
              <w:rPr>
                <w:rFonts w:hint="eastAsia" w:asciiTheme="minorEastAsia" w:hAnsiTheme="minorEastAsia" w:eastAsiaTheme="minorEastAsia" w:cstheme="minorEastAsia"/>
                <w:b/>
                <w:sz w:val="21"/>
                <w:szCs w:val="21"/>
              </w:rPr>
            </w:pPr>
          </w:p>
        </w:tc>
        <w:tc>
          <w:tcPr>
            <w:tcW w:w="207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24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324"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66" w:type="dxa"/>
            <w:vAlign w:val="center"/>
          </w:tcPr>
          <w:p>
            <w:pPr>
              <w:spacing w:line="420" w:lineRule="exact"/>
              <w:jc w:val="center"/>
              <w:rPr>
                <w:rFonts w:hint="eastAsia" w:asciiTheme="minorEastAsia" w:hAnsiTheme="minorEastAsia" w:eastAsiaTheme="minorEastAsia" w:cstheme="minorEastAsia"/>
                <w:b/>
                <w:sz w:val="21"/>
                <w:szCs w:val="21"/>
              </w:rPr>
            </w:pPr>
          </w:p>
        </w:tc>
        <w:tc>
          <w:tcPr>
            <w:tcW w:w="848" w:type="dxa"/>
            <w:vAlign w:val="center"/>
          </w:tcPr>
          <w:p>
            <w:pPr>
              <w:spacing w:line="420" w:lineRule="exact"/>
              <w:jc w:val="center"/>
              <w:rPr>
                <w:rFonts w:hint="eastAsia" w:asciiTheme="minorEastAsia" w:hAnsiTheme="minorEastAsia" w:eastAsiaTheme="minorEastAsia" w:cstheme="minorEastAsia"/>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41" w:type="dxa"/>
            <w:vAlign w:val="center"/>
          </w:tcPr>
          <w:p>
            <w:pPr>
              <w:spacing w:line="420" w:lineRule="exact"/>
              <w:jc w:val="center"/>
              <w:rPr>
                <w:rFonts w:hint="eastAsia" w:asciiTheme="minorEastAsia" w:hAnsiTheme="minorEastAsia" w:eastAsiaTheme="minorEastAsia" w:cstheme="minorEastAsia"/>
                <w:b/>
                <w:sz w:val="21"/>
                <w:szCs w:val="21"/>
              </w:rPr>
            </w:pPr>
          </w:p>
        </w:tc>
        <w:tc>
          <w:tcPr>
            <w:tcW w:w="207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24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324"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66" w:type="dxa"/>
            <w:vAlign w:val="center"/>
          </w:tcPr>
          <w:p>
            <w:pPr>
              <w:spacing w:line="420" w:lineRule="exact"/>
              <w:jc w:val="center"/>
              <w:rPr>
                <w:rFonts w:hint="eastAsia" w:asciiTheme="minorEastAsia" w:hAnsiTheme="minorEastAsia" w:eastAsiaTheme="minorEastAsia" w:cstheme="minorEastAsia"/>
                <w:b/>
                <w:sz w:val="21"/>
                <w:szCs w:val="21"/>
              </w:rPr>
            </w:pPr>
          </w:p>
        </w:tc>
        <w:tc>
          <w:tcPr>
            <w:tcW w:w="848" w:type="dxa"/>
            <w:vAlign w:val="center"/>
          </w:tcPr>
          <w:p>
            <w:pPr>
              <w:spacing w:line="420" w:lineRule="exact"/>
              <w:jc w:val="center"/>
              <w:rPr>
                <w:rFonts w:hint="eastAsia" w:asciiTheme="minorEastAsia" w:hAnsiTheme="minorEastAsia" w:eastAsiaTheme="minorEastAsia" w:cstheme="minorEastAsia"/>
                <w:b/>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718"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41" w:type="dxa"/>
            <w:vAlign w:val="center"/>
          </w:tcPr>
          <w:p>
            <w:pPr>
              <w:spacing w:line="420" w:lineRule="exact"/>
              <w:jc w:val="center"/>
              <w:rPr>
                <w:rFonts w:hint="eastAsia" w:asciiTheme="minorEastAsia" w:hAnsiTheme="minorEastAsia" w:eastAsiaTheme="minorEastAsia" w:cstheme="minorEastAsia"/>
                <w:b/>
                <w:sz w:val="21"/>
                <w:szCs w:val="21"/>
              </w:rPr>
            </w:pPr>
          </w:p>
        </w:tc>
        <w:tc>
          <w:tcPr>
            <w:tcW w:w="207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245"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324" w:type="dxa"/>
            <w:vAlign w:val="center"/>
          </w:tcPr>
          <w:p>
            <w:pPr>
              <w:spacing w:line="420" w:lineRule="exact"/>
              <w:jc w:val="center"/>
              <w:rPr>
                <w:rFonts w:hint="eastAsia" w:asciiTheme="minorEastAsia" w:hAnsiTheme="minorEastAsia" w:eastAsiaTheme="minorEastAsia" w:cstheme="minorEastAsia"/>
                <w:b/>
                <w:sz w:val="21"/>
                <w:szCs w:val="21"/>
              </w:rPr>
            </w:pPr>
          </w:p>
        </w:tc>
        <w:tc>
          <w:tcPr>
            <w:tcW w:w="1166" w:type="dxa"/>
            <w:vAlign w:val="center"/>
          </w:tcPr>
          <w:p>
            <w:pPr>
              <w:spacing w:line="420" w:lineRule="exact"/>
              <w:jc w:val="center"/>
              <w:rPr>
                <w:rFonts w:hint="eastAsia" w:asciiTheme="minorEastAsia" w:hAnsiTheme="minorEastAsia" w:eastAsiaTheme="minorEastAsia" w:cstheme="minorEastAsia"/>
                <w:b/>
                <w:sz w:val="21"/>
                <w:szCs w:val="21"/>
              </w:rPr>
            </w:pPr>
          </w:p>
        </w:tc>
        <w:tc>
          <w:tcPr>
            <w:tcW w:w="848" w:type="dxa"/>
            <w:vAlign w:val="center"/>
          </w:tcPr>
          <w:p>
            <w:pPr>
              <w:spacing w:line="420" w:lineRule="exact"/>
              <w:jc w:val="center"/>
              <w:rPr>
                <w:rFonts w:hint="eastAsia" w:asciiTheme="minorEastAsia" w:hAnsiTheme="minorEastAsia" w:eastAsiaTheme="minorEastAsia" w:cstheme="minorEastAsia"/>
                <w:b/>
                <w:sz w:val="21"/>
                <w:szCs w:val="21"/>
              </w:rPr>
            </w:pPr>
          </w:p>
        </w:tc>
      </w:tr>
    </w:tbl>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我方承诺，以上信息真实可靠；如填报的股东出资额、出资比例等与实际不符，视为放弃中标资格。</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注：1）主要股东或出资人为法人的，填写法人全称及统一社会信用代码；为自然人的，填写自然人姓名和身份证号。</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2）出资方式填写货币、实物、工艺产权和非专利技术、土地使用权等。</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3）投标人应按照占全部股份比例从大到小依次逐个股东填写，股东数量多于10个的，填写前10名，不足10个的全部填写。</w:t>
      </w:r>
    </w:p>
    <w:p>
      <w:pPr>
        <w:spacing w:line="420" w:lineRule="exact"/>
        <w:ind w:firstLine="3360" w:firstLineChars="1600"/>
        <w:rPr>
          <w:rFonts w:hint="eastAsia" w:asciiTheme="minorEastAsia" w:hAnsiTheme="minorEastAsia" w:eastAsiaTheme="minorEastAsia" w:cstheme="minorEastAsia"/>
          <w:sz w:val="21"/>
          <w:szCs w:val="21"/>
        </w:rPr>
      </w:pPr>
    </w:p>
    <w:p>
      <w:pPr>
        <w:spacing w:line="420" w:lineRule="exact"/>
        <w:ind w:firstLine="3990" w:firstLineChars="1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投标人（公章）：                            </w:t>
      </w:r>
    </w:p>
    <w:p>
      <w:pPr>
        <w:spacing w:line="420" w:lineRule="exact"/>
        <w:ind w:firstLine="3990" w:firstLineChars="1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法定代表人或其授权代表签名： </w:t>
      </w:r>
    </w:p>
    <w:p>
      <w:pPr>
        <w:spacing w:line="420" w:lineRule="exact"/>
        <w:ind w:firstLine="3990" w:firstLineChars="1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r>
        <w:rPr>
          <w:rFonts w:hint="eastAsia" w:asciiTheme="minorEastAsia" w:hAnsiTheme="minorEastAsia" w:cstheme="minorEastAsia"/>
          <w:sz w:val="21"/>
          <w:szCs w:val="21"/>
          <w:lang w:val="en-US" w:eastAsia="zh-CN"/>
        </w:rPr>
        <w:t>2025</w:t>
      </w:r>
      <w:r>
        <w:rPr>
          <w:rFonts w:hint="eastAsia" w:asciiTheme="minorEastAsia" w:hAnsiTheme="minorEastAsia" w:eastAsiaTheme="minorEastAsia" w:cstheme="minorEastAsia"/>
          <w:sz w:val="21"/>
          <w:szCs w:val="21"/>
        </w:rPr>
        <w:t>年</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日</w:t>
      </w:r>
    </w:p>
    <w:p>
      <w:pPr>
        <w:pStyle w:val="15"/>
        <w:spacing w:line="420" w:lineRule="exact"/>
        <w:ind w:firstLine="420"/>
        <w:rPr>
          <w:rFonts w:hint="eastAsia" w:asciiTheme="minorEastAsia" w:hAnsiTheme="minorEastAsia" w:eastAsiaTheme="minorEastAsia" w:cstheme="minorEastAsia"/>
          <w:sz w:val="21"/>
          <w:szCs w:val="21"/>
        </w:rPr>
      </w:pPr>
    </w:p>
    <w:p>
      <w:pPr>
        <w:pStyle w:val="15"/>
        <w:spacing w:line="4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FF0000"/>
          <w:sz w:val="21"/>
          <w:szCs w:val="21"/>
          <w:highlight w:val="none"/>
        </w:rPr>
        <w:t>提交资料（包括但不限于财务报告表、组织机构、公司概况等）：</w:t>
      </w:r>
    </w:p>
    <w:p>
      <w:pPr>
        <w:spacing w:line="4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b/>
          <w:bCs/>
          <w:sz w:val="21"/>
          <w:szCs w:val="21"/>
          <w:highlight w:val="none"/>
        </w:rPr>
        <w:t>“国家企业信用信息公示系统”网页报告</w:t>
      </w:r>
      <w:r>
        <w:rPr>
          <w:rFonts w:hint="eastAsia" w:asciiTheme="minorEastAsia" w:hAnsiTheme="minorEastAsia" w:eastAsiaTheme="minorEastAsia" w:cstheme="minorEastAsia"/>
          <w:sz w:val="21"/>
          <w:szCs w:val="21"/>
          <w:highlight w:val="none"/>
        </w:rPr>
        <w:t>。</w:t>
      </w:r>
    </w:p>
    <w:p>
      <w:pPr>
        <w:pStyle w:val="15"/>
        <w:spacing w:line="4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（2）公司概况及公司组织机构；</w:t>
      </w:r>
    </w:p>
    <w:p>
      <w:pPr>
        <w:pStyle w:val="15"/>
        <w:spacing w:line="4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（3）近两年财务报表包括资产负债表、损益表、现金流量表、纳税情况表等（加盖投标人公章）</w:t>
      </w:r>
    </w:p>
    <w:p>
      <w:pPr>
        <w:pStyle w:val="15"/>
        <w:spacing w:line="4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（4）投标产品如被纳入中华人民共和国已实施的强制性产品认证产品目录的，应获得国家强制性产品认证证书和加施中国强制性认证标志；并附相关证明资料。</w:t>
      </w:r>
    </w:p>
    <w:p>
      <w:pPr>
        <w:spacing w:line="42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兹证明，上述说明属实，并已提供相应资料和数据，我方同意遵照贵方要求出示有关证明文件。</w:t>
      </w:r>
    </w:p>
    <w:p>
      <w:pPr>
        <w:pStyle w:val="2"/>
        <w:numPr>
          <w:ilvl w:val="0"/>
          <w:numId w:val="0"/>
        </w:numPr>
        <w:ind w:leftChars="0"/>
        <w:rPr>
          <w:rFonts w:hint="eastAsia" w:asciiTheme="minorEastAsia" w:hAnsiTheme="minorEastAsia" w:eastAsiaTheme="minorEastAsia" w:cstheme="minorEastAsia"/>
          <w:sz w:val="21"/>
          <w:szCs w:val="21"/>
          <w:lang w:val="en-US" w:eastAsia="zh-CN"/>
        </w:rPr>
      </w:pPr>
    </w:p>
    <w:p>
      <w:pPr>
        <w:spacing w:line="420" w:lineRule="exact"/>
        <w:rPr>
          <w:rFonts w:hint="eastAsia" w:asciiTheme="minorEastAsia" w:hAnsiTheme="minorEastAsia" w:eastAsiaTheme="minorEastAsia" w:cstheme="minorEastAsia"/>
          <w:b/>
          <w:sz w:val="21"/>
          <w:szCs w:val="21"/>
          <w:lang w:val="en-US" w:eastAsia="zh-CN"/>
        </w:rPr>
      </w:pPr>
    </w:p>
    <w:p>
      <w:pPr>
        <w:spacing w:line="420" w:lineRule="exact"/>
        <w:ind w:firstLine="420" w:firstLineChars="200"/>
        <w:rPr>
          <w:rFonts w:hint="eastAsia" w:asciiTheme="minorEastAsia" w:hAnsiTheme="minorEastAsia" w:eastAsiaTheme="minorEastAsia" w:cstheme="minorEastAsia"/>
          <w:sz w:val="21"/>
          <w:szCs w:val="21"/>
          <w:highlight w:val="none"/>
        </w:rPr>
      </w:pPr>
    </w:p>
    <w:p>
      <w:pPr>
        <w:pStyle w:val="2"/>
        <w:numPr>
          <w:ilvl w:val="0"/>
          <w:numId w:val="0"/>
        </w:numPr>
        <w:ind w:leftChars="0"/>
        <w:rPr>
          <w:rFonts w:hint="eastAsia" w:asciiTheme="minorEastAsia" w:hAnsiTheme="minorEastAsia" w:eastAsiaTheme="minorEastAsia" w:cstheme="minorEastAsia"/>
          <w:sz w:val="21"/>
          <w:szCs w:val="21"/>
          <w:lang w:val="en-US" w:eastAsia="zh-CN"/>
        </w:rPr>
      </w:pPr>
    </w:p>
    <w:p>
      <w:pPr>
        <w:spacing w:line="420" w:lineRule="exact"/>
        <w:rPr>
          <w:rFonts w:hint="eastAsia" w:asciiTheme="minorEastAsia" w:hAnsiTheme="minorEastAsia" w:eastAsiaTheme="minorEastAsia" w:cstheme="minorEastAsia"/>
          <w:b/>
          <w:sz w:val="21"/>
          <w:szCs w:val="21"/>
          <w:lang w:val="en-US" w:eastAsia="zh-CN"/>
        </w:rPr>
      </w:pPr>
    </w:p>
    <w:p>
      <w:pPr>
        <w:spacing w:line="420" w:lineRule="exact"/>
        <w:rPr>
          <w:rFonts w:hint="eastAsia" w:asciiTheme="minorEastAsia" w:hAnsiTheme="minorEastAsia" w:eastAsiaTheme="minorEastAsia" w:cstheme="minorEastAsia"/>
          <w:b/>
          <w:sz w:val="21"/>
          <w:szCs w:val="21"/>
          <w:lang w:val="en-US" w:eastAsia="zh-CN"/>
        </w:rPr>
      </w:pPr>
    </w:p>
    <w:p>
      <w:pPr>
        <w:pStyle w:val="25"/>
        <w:rPr>
          <w:rFonts w:hint="eastAsia" w:asciiTheme="minorEastAsia" w:hAnsiTheme="minorEastAsia" w:eastAsiaTheme="minorEastAsia" w:cstheme="minorEastAsia"/>
          <w:b/>
          <w:sz w:val="21"/>
          <w:szCs w:val="21"/>
          <w:lang w:val="en-US" w:eastAsia="zh-CN"/>
        </w:rPr>
      </w:pPr>
    </w:p>
    <w:p>
      <w:pPr>
        <w:pStyle w:val="25"/>
        <w:rPr>
          <w:rFonts w:hint="eastAsia" w:asciiTheme="minorEastAsia" w:hAnsiTheme="minorEastAsia" w:eastAsiaTheme="minorEastAsia" w:cstheme="minorEastAsia"/>
          <w:b/>
          <w:sz w:val="21"/>
          <w:szCs w:val="21"/>
          <w:lang w:val="en-US" w:eastAsia="zh-CN"/>
        </w:rPr>
      </w:pPr>
    </w:p>
    <w:p>
      <w:pPr>
        <w:pStyle w:val="25"/>
        <w:rPr>
          <w:rFonts w:hint="eastAsia" w:asciiTheme="minorEastAsia" w:hAnsiTheme="minorEastAsia" w:eastAsiaTheme="minorEastAsia" w:cstheme="minorEastAsia"/>
          <w:b/>
          <w:sz w:val="21"/>
          <w:szCs w:val="21"/>
          <w:lang w:val="en-US" w:eastAsia="zh-CN"/>
        </w:rPr>
      </w:pPr>
    </w:p>
    <w:p>
      <w:pPr>
        <w:keepNext/>
        <w:keepLines/>
        <w:numPr>
          <w:ilvl w:val="0"/>
          <w:numId w:val="0"/>
        </w:numPr>
        <w:spacing w:line="420" w:lineRule="exact"/>
        <w:outlineLvl w:val="4"/>
        <w:rPr>
          <w:rFonts w:hint="eastAsia" w:asciiTheme="minorEastAsia" w:hAnsiTheme="minorEastAsia" w:eastAsiaTheme="minorEastAsia" w:cstheme="minorEastAsia"/>
          <w:b/>
          <w:bCs/>
          <w:sz w:val="24"/>
          <w:szCs w:val="24"/>
        </w:rPr>
      </w:pPr>
      <w:bookmarkStart w:id="30" w:name="_Toc743"/>
      <w:bookmarkStart w:id="31" w:name="_Toc29757"/>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法定代表人证明书格式</w:t>
      </w:r>
      <w:bookmarkEnd w:id="30"/>
      <w:bookmarkEnd w:id="31"/>
    </w:p>
    <w:p>
      <w:pPr>
        <w:pStyle w:val="5"/>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法定代表人（负责人）证明书</w:t>
      </w:r>
    </w:p>
    <w:p>
      <w:pPr>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同志，现任我单位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职务，为法定代表人（负责人），身份证号：</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特此证明。</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spacing w:line="360" w:lineRule="auto"/>
        <w:ind w:left="630" w:hanging="630" w:hanging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w:t>
      </w:r>
    </w:p>
    <w:p>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法定代表人为投标人（企业事业单位、国家机关、社会团体）的主要行政负责人。   </w:t>
      </w:r>
    </w:p>
    <w:p>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2、本证明书要求投标供应商同时提供法定代表人（负责人）的身份证扫描件（正反两面）作为附件方为有效</w:t>
      </w:r>
      <w:r>
        <w:rPr>
          <w:rFonts w:hint="eastAsia" w:asciiTheme="minorEastAsia" w:hAnsiTheme="minorEastAsia" w:eastAsiaTheme="minorEastAsia" w:cstheme="minorEastAsia"/>
          <w:sz w:val="21"/>
          <w:szCs w:val="21"/>
          <w:lang w:eastAsia="zh-CN"/>
        </w:rPr>
        <w:t>。</w:t>
      </w:r>
    </w:p>
    <w:p>
      <w:pPr>
        <w:numPr>
          <w:ilvl w:val="0"/>
          <w:numId w:val="0"/>
        </w:numPr>
        <w:spacing w:line="360" w:lineRule="auto"/>
        <w:ind w:leftChars="-300" w:firstLine="840" w:firstLineChars="400"/>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color w:val="auto"/>
          <w:sz w:val="21"/>
          <w:szCs w:val="21"/>
          <w:lang w:eastAsia="zh-Hans"/>
        </w:rPr>
        <w:t>本项目投标授权代表为法定代表人（负责人）的，无需提供</w:t>
      </w:r>
      <w:r>
        <w:rPr>
          <w:rFonts w:hint="eastAsia" w:asciiTheme="minorEastAsia" w:hAnsiTheme="minorEastAsia" w:eastAsiaTheme="minorEastAsia" w:cstheme="minorEastAsia"/>
          <w:color w:val="auto"/>
          <w:sz w:val="21"/>
          <w:szCs w:val="21"/>
        </w:rPr>
        <w:t>《投标文件签署授权委托书》</w:t>
      </w:r>
      <w:r>
        <w:rPr>
          <w:rFonts w:hint="eastAsia" w:asciiTheme="minorEastAsia" w:hAnsiTheme="minorEastAsia" w:eastAsiaTheme="minorEastAsia" w:cstheme="minorEastAsia"/>
          <w:color w:val="auto"/>
          <w:sz w:val="21"/>
          <w:szCs w:val="21"/>
          <w:lang w:eastAsia="zh-Hans"/>
        </w:rPr>
        <w:t>。</w:t>
      </w:r>
    </w:p>
    <w:p>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、内容必须填写真实、清楚，涂改无效，不得转让、买卖。</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代表人性别：         年龄：            身份证号码：</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统一社会信用代码：                         经济性质：</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经营范围：</w:t>
      </w:r>
    </w:p>
    <w:p>
      <w:pPr>
        <w:spacing w:line="420" w:lineRule="exact"/>
        <w:ind w:firstLine="1890" w:firstLineChars="900"/>
        <w:rPr>
          <w:rFonts w:hint="eastAsia" w:asciiTheme="minorEastAsia" w:hAnsiTheme="minorEastAsia" w:eastAsiaTheme="minorEastAsia" w:cstheme="minorEastAsia"/>
          <w:sz w:val="21"/>
          <w:szCs w:val="21"/>
        </w:rPr>
      </w:pPr>
    </w:p>
    <w:p>
      <w:pPr>
        <w:spacing w:line="420" w:lineRule="exact"/>
        <w:ind w:firstLine="4620" w:firstLineChars="2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（盖章）</w:t>
      </w:r>
    </w:p>
    <w:p>
      <w:pPr>
        <w:autoSpaceDE w:val="0"/>
        <w:autoSpaceDN w:val="0"/>
        <w:spacing w:line="420" w:lineRule="exact"/>
        <w:ind w:right="89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附：法定代表人身份证扫描件</w: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（人像面）</w:t>
                              </w:r>
                            </w:p>
                            <w:p/>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DJKifuQIAAP4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（国徽面）</w:t>
                        </w:r>
                      </w:p>
                      <w:p/>
                    </w:txbxContent>
                  </v:textbox>
                </v:rect>
              </v:group>
            </w:pict>
          </mc:Fallback>
        </mc:AlternateContent>
      </w: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spacing w:line="42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FF0000"/>
          <w:sz w:val="21"/>
          <w:szCs w:val="21"/>
        </w:rPr>
        <w:t>注：投标人须额外开具《法定代表人证明书》原件，投标人代表递交投标文件并出席开标环节时应携带身份证、《法定代表人授权书》及《法定代表人证明书》原件供采购代理机构工作人员核对身份信息。</w:t>
      </w:r>
    </w:p>
    <w:p>
      <w:pPr>
        <w:spacing w:line="420" w:lineRule="exact"/>
        <w:rPr>
          <w:rFonts w:hint="eastAsia" w:asciiTheme="minorEastAsia" w:hAnsiTheme="minorEastAsia" w:eastAsiaTheme="minorEastAsia" w:cstheme="minorEastAsia"/>
          <w:b/>
          <w:bCs/>
          <w:sz w:val="24"/>
          <w:szCs w:val="24"/>
        </w:rPr>
      </w:pPr>
    </w:p>
    <w:p>
      <w:pPr>
        <w:adjustRightInd w:val="0"/>
        <w:snapToGrid w:val="0"/>
        <w:spacing w:line="360" w:lineRule="auto"/>
        <w:rPr>
          <w:rFonts w:hint="eastAsia" w:hAnsi="宋体" w:cs="宋体"/>
          <w:b/>
          <w:sz w:val="28"/>
          <w:lang w:val="en-US" w:eastAsia="zh-CN"/>
        </w:rPr>
      </w:pPr>
      <w:bookmarkStart w:id="32" w:name="_Toc3077"/>
      <w:bookmarkStart w:id="33" w:name="_Toc15877"/>
    </w:p>
    <w:p>
      <w:pPr>
        <w:spacing w:line="360" w:lineRule="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附：投标人法定代表人个人社保</w:t>
      </w:r>
    </w:p>
    <w:p>
      <w:pPr>
        <w:spacing w:line="360" w:lineRule="auto"/>
        <w:rPr>
          <w:rFonts w:hint="eastAsia" w:ascii="宋体" w:hAnsi="宋体" w:cs="宋体"/>
          <w:b/>
          <w:bCs/>
          <w:color w:val="auto"/>
          <w:szCs w:val="21"/>
          <w:highlight w:val="none"/>
          <w:lang w:val="zh-CN" w:eastAsia="zh-CN"/>
        </w:rPr>
      </w:pPr>
      <w:r>
        <w:rPr>
          <w:rFonts w:hint="eastAsia" w:ascii="宋体" w:hAnsi="宋体" w:cs="宋体"/>
          <w:b/>
          <w:bCs/>
          <w:color w:val="auto"/>
          <w:szCs w:val="21"/>
          <w:highlight w:val="none"/>
          <w:lang w:val="zh-CN"/>
        </w:rPr>
        <w:t>须提供投标人法定代表人</w:t>
      </w:r>
      <w:r>
        <w:rPr>
          <w:rFonts w:hint="eastAsia" w:ascii="宋体" w:hAnsi="宋体" w:cs="宋体"/>
          <w:b/>
          <w:bCs/>
          <w:color w:val="auto"/>
          <w:szCs w:val="21"/>
          <w:highlight w:val="none"/>
          <w:lang w:val="en-US" w:eastAsia="zh-CN"/>
        </w:rPr>
        <w:t>个人</w:t>
      </w:r>
      <w:r>
        <w:rPr>
          <w:rFonts w:hint="eastAsia" w:ascii="宋体" w:hAnsi="宋体" w:cs="宋体"/>
          <w:b/>
          <w:bCs/>
          <w:color w:val="auto"/>
          <w:szCs w:val="21"/>
          <w:highlight w:val="none"/>
          <w:lang w:val="zh-CN"/>
        </w:rPr>
        <w:t>社保缴纳</w:t>
      </w:r>
      <w:bookmarkStart w:id="49" w:name="_GoBack"/>
      <w:bookmarkEnd w:id="49"/>
      <w:r>
        <w:rPr>
          <w:rFonts w:hint="eastAsia" w:ascii="宋体" w:hAnsi="宋体" w:cs="宋体"/>
          <w:b/>
          <w:bCs/>
          <w:color w:val="auto"/>
          <w:szCs w:val="21"/>
          <w:highlight w:val="none"/>
          <w:lang w:val="zh-CN"/>
        </w:rPr>
        <w:t>证明材料</w:t>
      </w:r>
      <w:r>
        <w:rPr>
          <w:rFonts w:hint="eastAsia" w:ascii="宋体" w:hAnsi="宋体" w:cs="宋体"/>
          <w:b/>
          <w:bCs/>
          <w:color w:val="auto"/>
          <w:szCs w:val="21"/>
          <w:highlight w:val="none"/>
          <w:lang w:val="zh-CN" w:eastAsia="zh-CN"/>
        </w:rPr>
        <w:t>。</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val="zh-CN"/>
        </w:rPr>
        <w:t>证明资料可为社保收缴部门盖章证明资料、社保窗口打印资料或社保官网截图</w:t>
      </w:r>
      <w:r>
        <w:rPr>
          <w:rFonts w:hint="eastAsia" w:ascii="宋体" w:hAnsi="宋体" w:cs="宋体"/>
          <w:b/>
          <w:bCs/>
          <w:color w:val="auto"/>
          <w:szCs w:val="21"/>
          <w:highlight w:val="none"/>
        </w:rPr>
        <w:t>等（如依法不需要缴纳社会保险费的，应提供相应文件证明其依法不需要缴纳社会保险费）</w:t>
      </w:r>
    </w:p>
    <w:p>
      <w:pPr>
        <w:spacing w:line="360" w:lineRule="auto"/>
        <w:rPr>
          <w:rFonts w:hint="eastAsia" w:ascii="宋体" w:hAnsi="宋体" w:cs="宋体"/>
          <w:b/>
          <w:bCs/>
          <w:i/>
          <w:iCs/>
          <w:color w:val="FF0000"/>
          <w:sz w:val="32"/>
          <w:szCs w:val="24"/>
          <w:highlight w:val="none"/>
          <w:lang w:val="en-US" w:eastAsia="zh-CN"/>
        </w:rPr>
      </w:pPr>
      <w:r>
        <w:rPr>
          <w:rFonts w:hint="eastAsia" w:ascii="宋体" w:hAnsi="宋体" w:cs="宋体"/>
          <w:b/>
          <w:bCs/>
          <w:i/>
          <w:iCs/>
          <w:color w:val="FF0000"/>
          <w:sz w:val="32"/>
          <w:szCs w:val="24"/>
          <w:highlight w:val="none"/>
          <w:lang w:val="en-US" w:eastAsia="zh-CN"/>
        </w:rPr>
        <w:t>（注：法定代表人投标时不得为本项目其他投标人员工，否则相关投标人均投标无效并按串通投标处理）</w:t>
      </w:r>
    </w:p>
    <w:p>
      <w:pPr>
        <w:pStyle w:val="25"/>
        <w:rPr>
          <w:rFonts w:hint="eastAsia"/>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p>
      <w:pPr>
        <w:keepNext/>
        <w:keepLines/>
        <w:numPr>
          <w:ilvl w:val="0"/>
          <w:numId w:val="0"/>
        </w:numPr>
        <w:spacing w:line="420" w:lineRule="exact"/>
        <w:outlineLvl w:val="4"/>
        <w:rPr>
          <w:rFonts w:hint="eastAsia" w:asciiTheme="minorEastAsia" w:hAnsiTheme="minorEastAsia" w:cstheme="minorEastAsia"/>
          <w:b/>
          <w:bCs/>
          <w:sz w:val="24"/>
          <w:szCs w:val="24"/>
          <w:lang w:val="en-US" w:eastAsia="zh-CN"/>
        </w:rPr>
      </w:pPr>
    </w:p>
    <w:bookmarkEnd w:id="32"/>
    <w:bookmarkEnd w:id="33"/>
    <w:p>
      <w:pPr>
        <w:keepNext/>
        <w:keepLines/>
        <w:numPr>
          <w:ilvl w:val="0"/>
          <w:numId w:val="0"/>
        </w:numPr>
        <w:spacing w:line="420" w:lineRule="exact"/>
        <w:outlineLvl w:val="4"/>
        <w:rPr>
          <w:rFonts w:hint="eastAsia" w:asciiTheme="minorEastAsia" w:hAnsiTheme="minorEastAsia" w:eastAsiaTheme="minorEastAsia" w:cstheme="minorEastAsia"/>
          <w:b/>
          <w:bCs/>
          <w:sz w:val="24"/>
          <w:szCs w:val="24"/>
        </w:rPr>
      </w:pPr>
    </w:p>
    <w:p>
      <w:pPr>
        <w:spacing w:line="420" w:lineRule="exact"/>
        <w:jc w:val="center"/>
        <w:rPr>
          <w:rFonts w:hint="eastAsia" w:asciiTheme="minorEastAsia" w:hAnsiTheme="minorEastAsia" w:eastAsiaTheme="minorEastAsia" w:cstheme="minorEastAsia"/>
          <w:b/>
          <w:bCs/>
          <w:sz w:val="24"/>
          <w:szCs w:val="24"/>
        </w:rPr>
      </w:pPr>
    </w:p>
    <w:p>
      <w:pPr>
        <w:numPr>
          <w:ilvl w:val="0"/>
          <w:numId w:val="3"/>
        </w:numPr>
        <w:spacing w:line="420" w:lineRule="exact"/>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法定代表人授权书格式（投标人代表为法定代表人的无需提供本格式）</w:t>
      </w:r>
    </w:p>
    <w:p>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p>
    <w:p>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r>
        <w:rPr>
          <w:rFonts w:hint="eastAsia" w:asciiTheme="minorEastAsia" w:hAnsiTheme="minorEastAsia" w:eastAsiaTheme="minorEastAsia" w:cstheme="minorEastAsia"/>
          <w:b/>
          <w:bCs w:val="0"/>
          <w:sz w:val="32"/>
          <w:szCs w:val="32"/>
          <w:lang w:val="en-US" w:eastAsia="zh-CN" w:bidi="ar-SA"/>
        </w:rPr>
        <w:t>法定代表人授权书</w:t>
      </w:r>
    </w:p>
    <w:p>
      <w:pPr>
        <w:spacing w:line="420" w:lineRule="exact"/>
        <w:jc w:val="center"/>
        <w:rPr>
          <w:rFonts w:hint="eastAsia" w:asciiTheme="minorEastAsia" w:hAnsiTheme="minorEastAsia" w:eastAsiaTheme="minorEastAsia" w:cstheme="minorEastAsia"/>
          <w:sz w:val="21"/>
          <w:szCs w:val="21"/>
        </w:rPr>
      </w:pPr>
    </w:p>
    <w:p>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本授权委托书声明：我</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（姓名）系</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（供应商名称）的法定代表人，现授权委托</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w:t>
      </w:r>
      <w:r>
        <w:rPr>
          <w:rFonts w:hint="eastAsia" w:asciiTheme="minorEastAsia" w:hAnsiTheme="minorEastAsia" w:eastAsiaTheme="minorEastAsia" w:cstheme="minorEastAsia"/>
          <w:color w:val="auto"/>
          <w:sz w:val="21"/>
          <w:szCs w:val="21"/>
          <w:highlight w:val="none"/>
          <w:shd w:val="clear" w:color="auto" w:fill="auto"/>
        </w:rPr>
        <w:t>为本公司的合法代理人，参加</w:t>
      </w:r>
      <w:r>
        <w:rPr>
          <w:rFonts w:hint="eastAsia" w:asciiTheme="minorEastAsia" w:hAnsiTheme="minorEastAsia" w:eastAsiaTheme="minorEastAsia" w:cstheme="minorEastAsia"/>
          <w:color w:val="auto"/>
          <w:sz w:val="21"/>
          <w:szCs w:val="21"/>
          <w:highlight w:val="none"/>
          <w:u w:val="single"/>
          <w:shd w:val="clear" w:color="auto" w:fill="auto"/>
        </w:rPr>
        <w:t xml:space="preserve">  （项目名称、项目编号）  </w:t>
      </w:r>
      <w:r>
        <w:rPr>
          <w:rFonts w:hint="eastAsia" w:asciiTheme="minorEastAsia" w:hAnsiTheme="minorEastAsia" w:eastAsiaTheme="minorEastAsia" w:cstheme="minorEastAsia"/>
          <w:color w:val="auto"/>
          <w:sz w:val="21"/>
          <w:szCs w:val="21"/>
          <w:highlight w:val="none"/>
          <w:shd w:val="clear" w:color="auto" w:fill="auto"/>
        </w:rPr>
        <w:t>的采购活动，以本公司名义处理与之有关的事务。</w:t>
      </w:r>
    </w:p>
    <w:p>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本授权书于</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年</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月</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日签字生效，</w:t>
      </w:r>
      <w:r>
        <w:rPr>
          <w:rFonts w:hint="eastAsia" w:asciiTheme="minorEastAsia" w:hAnsiTheme="minorEastAsia" w:eastAsiaTheme="minorEastAsia" w:cstheme="minorEastAsia"/>
          <w:color w:val="auto"/>
          <w:kern w:val="0"/>
          <w:sz w:val="21"/>
          <w:szCs w:val="21"/>
          <w:highlight w:val="none"/>
          <w:shd w:val="clear" w:color="auto" w:fill="auto"/>
          <w:lang w:val="zh-CN"/>
        </w:rPr>
        <w:t>被授权人无转委托权，特此委托。</w:t>
      </w:r>
    </w:p>
    <w:p>
      <w:pPr>
        <w:tabs>
          <w:tab w:val="left" w:pos="426"/>
        </w:tabs>
        <w:autoSpaceDE w:val="0"/>
        <w:autoSpaceDN w:val="0"/>
        <w:adjustRightInd w:val="0"/>
        <w:spacing w:beforeLines="100"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被授权人姓名</w:t>
      </w:r>
      <w:r>
        <w:rPr>
          <w:rFonts w:hint="eastAsia" w:asciiTheme="minorEastAsia" w:hAnsiTheme="minorEastAsia" w:eastAsiaTheme="minorEastAsia" w:cstheme="minorEastAsia"/>
          <w:color w:val="auto"/>
          <w:kern w:val="0"/>
          <w:sz w:val="21"/>
          <w:szCs w:val="21"/>
          <w:highlight w:val="none"/>
          <w:shd w:val="clear" w:color="auto" w:fill="auto"/>
          <w:lang w:val="zh-CN"/>
        </w:rPr>
        <w:t>：</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性别：</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年龄：</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pPr>
        <w:tabs>
          <w:tab w:val="left" w:pos="426"/>
        </w:tabs>
        <w:autoSpaceDE w:val="0"/>
        <w:autoSpaceDN w:val="0"/>
        <w:adjustRightInd w:val="0"/>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身份证号码：</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职务：</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法定代表人（签字或盖章）：</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被授权人（签字）：</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pPr>
        <w:tabs>
          <w:tab w:val="left" w:pos="426"/>
        </w:tabs>
        <w:ind w:firstLine="420" w:firstLineChars="200"/>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auto"/>
          <w:sz w:val="21"/>
          <w:szCs w:val="21"/>
          <w:highlight w:val="none"/>
          <w:shd w:val="clear" w:color="auto" w:fill="auto"/>
        </w:rPr>
        <w:t xml:space="preserve">供应商（公章）：  </w:t>
      </w:r>
    </w:p>
    <w:p>
      <w:pPr>
        <w:autoSpaceDE w:val="0"/>
        <w:autoSpaceDN w:val="0"/>
        <w:spacing w:line="420" w:lineRule="exact"/>
        <w:ind w:right="893"/>
        <w:textAlignment w:val="bottom"/>
        <w:rPr>
          <w:rFonts w:hint="eastAsia" w:asciiTheme="minorEastAsia" w:hAnsiTheme="minorEastAsia" w:eastAsiaTheme="minorEastAsia" w:cstheme="minorEastAsia"/>
          <w:sz w:val="21"/>
          <w:szCs w:val="21"/>
        </w:rPr>
      </w:pPr>
    </w:p>
    <w:p>
      <w:pPr>
        <w:autoSpaceDE w:val="0"/>
        <w:autoSpaceDN w:val="0"/>
        <w:spacing w:line="420" w:lineRule="exact"/>
        <w:ind w:right="890"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附：被授权人身份证扫描件</w:t>
      </w:r>
    </w:p>
    <w:p>
      <w:pPr>
        <w:keepNext/>
        <w:keepLines/>
        <w:spacing w:line="42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2"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5"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（人像面）</w:t>
                              </w:r>
                            </w:p>
                            <w:p/>
                          </w:txbxContent>
                        </wps:txbx>
                        <wps:bodyPr vert="horz" anchor="t" upright="1"/>
                      </wps:wsp>
                      <wps:wsp>
                        <wps:cNvPr id="6"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IcdF4tgIAAP4H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（国徽面）</w:t>
                        </w:r>
                      </w:p>
                      <w:p/>
                    </w:txbxContent>
                  </v:textbox>
                </v:rect>
              </v:group>
            </w:pict>
          </mc:Fallback>
        </mc:AlternateContent>
      </w: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spacing w:line="420" w:lineRule="exact"/>
        <w:rPr>
          <w:rFonts w:hint="eastAsia" w:asciiTheme="minorEastAsia" w:hAnsiTheme="minorEastAsia" w:eastAsiaTheme="minorEastAsia" w:cstheme="minorEastAsia"/>
          <w:b/>
          <w:bCs/>
          <w:sz w:val="21"/>
          <w:szCs w:val="21"/>
        </w:rPr>
      </w:pPr>
    </w:p>
    <w:p>
      <w:pPr>
        <w:spacing w:line="420" w:lineRule="exact"/>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注：投标人须额外开具《法定代表人授权书》原件，投标人代表递交投标文件并出席开标环节时应携带身份证、《法定代表人授权书》及《法定代表人证明书》原件供采购代理机构工作人员核对身份信息。</w:t>
      </w:r>
    </w:p>
    <w:p>
      <w:pPr>
        <w:keepNext/>
        <w:keepLines/>
        <w:spacing w:line="42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br w:type="page"/>
      </w:r>
    </w:p>
    <w:p>
      <w:pPr>
        <w:keepNext/>
        <w:keepLines/>
        <w:spacing w:line="360" w:lineRule="auto"/>
        <w:outlineLvl w:val="4"/>
        <w:rPr>
          <w:rFonts w:ascii="宋体" w:hAnsi="宋体"/>
          <w:b/>
          <w:bCs/>
          <w:szCs w:val="21"/>
        </w:rPr>
      </w:pPr>
      <w:r>
        <w:rPr>
          <w:rFonts w:hint="eastAsia" w:ascii="宋体" w:hAnsi="宋体"/>
          <w:b/>
          <w:bCs/>
          <w:szCs w:val="21"/>
        </w:rPr>
        <w:t>★授权代表近一个月社保证明</w:t>
      </w:r>
    </w:p>
    <w:p>
      <w:pPr>
        <w:numPr>
          <w:ilvl w:val="0"/>
          <w:numId w:val="0"/>
        </w:numPr>
        <w:spacing w:line="360" w:lineRule="auto"/>
        <w:rPr>
          <w:rFonts w:hint="eastAsia" w:ascii="宋体" w:hAnsi="宋体" w:cs="宋体"/>
          <w:b/>
          <w:bCs/>
          <w:color w:val="auto"/>
          <w:sz w:val="24"/>
          <w:szCs w:val="24"/>
          <w:highlight w:val="none"/>
        </w:rPr>
      </w:pPr>
      <w:r>
        <w:rPr>
          <w:rFonts w:hint="eastAsia" w:asciiTheme="minorEastAsia" w:hAnsiTheme="minorEastAsia" w:eastAsiaTheme="minorEastAsia" w:cstheme="minorEastAsia"/>
          <w:sz w:val="21"/>
          <w:szCs w:val="21"/>
        </w:rPr>
        <w:t>★须提供授权代表个人社保证明，为授权代表缴纳社保的单位不得是本项目其他投标人；授权代表不得为其他投标人法定代表人（负责人）或其他投标人员工。</w:t>
      </w:r>
    </w:p>
    <w:p>
      <w:pPr>
        <w:pStyle w:val="48"/>
        <w:rPr>
          <w:rFonts w:hint="eastAsia" w:ascii="宋体" w:hAnsi="宋体" w:eastAsia="H Yb 2gj" w:cs="宋体"/>
          <w:b/>
          <w:bCs/>
          <w:i/>
          <w:iCs/>
          <w:color w:val="FF0000"/>
          <w:sz w:val="32"/>
          <w:szCs w:val="24"/>
          <w:highlight w:val="none"/>
          <w:lang w:val="en-US" w:eastAsia="zh-CN"/>
        </w:rPr>
      </w:pPr>
      <w:r>
        <w:rPr>
          <w:rFonts w:hint="eastAsia" w:ascii="宋体" w:hAnsi="宋体" w:cs="宋体"/>
          <w:b/>
          <w:bCs/>
          <w:i/>
          <w:iCs/>
          <w:color w:val="FF0000"/>
          <w:sz w:val="32"/>
          <w:szCs w:val="24"/>
          <w:highlight w:val="none"/>
          <w:lang w:val="en-US" w:eastAsia="zh-CN"/>
        </w:rPr>
        <w:t>（注：授权代表投标时不得为本项目其他投标人员工，否则相关投标人均投标无效并按串通投标处理）</w:t>
      </w: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numPr>
          <w:ilvl w:val="0"/>
          <w:numId w:val="0"/>
        </w:numPr>
        <w:spacing w:line="420" w:lineRule="exact"/>
        <w:rPr>
          <w:rFonts w:hint="eastAsia" w:asciiTheme="minorEastAsia" w:hAnsiTheme="minorEastAsia" w:cstheme="minorEastAsia"/>
          <w:b/>
          <w:bCs/>
          <w:sz w:val="24"/>
          <w:szCs w:val="24"/>
          <w:lang w:val="en-US" w:eastAsia="zh-CN"/>
        </w:rPr>
      </w:pPr>
    </w:p>
    <w:p>
      <w:pPr>
        <w:tabs>
          <w:tab w:val="left" w:pos="360"/>
        </w:tabs>
        <w:spacing w:line="460" w:lineRule="exact"/>
        <w:jc w:val="both"/>
        <w:rPr>
          <w:rFonts w:hint="eastAsia" w:asciiTheme="minorEastAsia" w:hAnsiTheme="minorEastAsia" w:cstheme="minorEastAsia"/>
          <w:b/>
          <w:bCs/>
          <w:spacing w:val="0"/>
          <w:sz w:val="24"/>
          <w:szCs w:val="24"/>
          <w:lang w:val="en-US" w:eastAsia="zh-CN" w:bidi="ar-SA"/>
        </w:rPr>
      </w:pPr>
    </w:p>
    <w:p>
      <w:pPr>
        <w:tabs>
          <w:tab w:val="left" w:pos="360"/>
        </w:tabs>
        <w:spacing w:line="460" w:lineRule="exact"/>
        <w:jc w:val="both"/>
        <w:rPr>
          <w:rFonts w:hint="eastAsia" w:asciiTheme="minorEastAsia" w:hAnsiTheme="minorEastAsia" w:cstheme="minorEastAsia"/>
          <w:b/>
          <w:bCs/>
          <w:spacing w:val="0"/>
          <w:sz w:val="24"/>
          <w:szCs w:val="24"/>
          <w:lang w:val="en-US" w:eastAsia="zh-CN" w:bidi="ar-SA"/>
        </w:rPr>
      </w:pPr>
    </w:p>
    <w:p>
      <w:pPr>
        <w:numPr>
          <w:ilvl w:val="0"/>
          <w:numId w:val="0"/>
        </w:numPr>
        <w:tabs>
          <w:tab w:val="left" w:pos="360"/>
        </w:tabs>
        <w:spacing w:line="460" w:lineRule="exact"/>
        <w:jc w:val="both"/>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t>（二）资格证明文件</w:t>
      </w:r>
    </w:p>
    <w:p>
      <w:pPr>
        <w:numPr>
          <w:ilvl w:val="0"/>
          <w:numId w:val="0"/>
        </w:numPr>
        <w:adjustRightInd w:val="0"/>
        <w:snapToGrid w:val="0"/>
        <w:spacing w:line="460" w:lineRule="atLeast"/>
        <w:rPr>
          <w:rFonts w:hint="eastAsia" w:ascii="宋体" w:hAnsi="宋体" w:cs="宋体"/>
          <w:b w:val="0"/>
          <w:bCs w:val="0"/>
          <w:color w:val="auto"/>
          <w:lang w:val="en-US" w:eastAsia="zh-CN"/>
        </w:rPr>
      </w:pPr>
      <w:r>
        <w:rPr>
          <w:rFonts w:hint="eastAsia" w:ascii="宋体" w:hAnsi="宋体" w:cs="宋体"/>
          <w:b w:val="0"/>
          <w:bCs w:val="0"/>
          <w:color w:val="auto"/>
          <w:szCs w:val="21"/>
          <w:lang w:val="en-US" w:eastAsia="zh-CN"/>
        </w:rPr>
        <w:t>1、</w:t>
      </w:r>
      <w:r>
        <w:rPr>
          <w:rFonts w:hint="eastAsia" w:ascii="宋体" w:hAnsi="宋体" w:cs="宋体"/>
          <w:b w:val="0"/>
          <w:bCs w:val="0"/>
          <w:color w:val="auto"/>
          <w:szCs w:val="21"/>
        </w:rPr>
        <w:t>若投标人为所投产品的生产企业，必须提供《医疗器械生产企业许可证》或备案凭证，且生产范围包含该产品。若投标人为所投产品的代理商或授权供应商，必须提供《医疗器械经营企业许可证》或备案凭证，且经营范围包含该产品（须提供相关证书扫描件，原件备查）；当所投产品属于第一类医疗器械时无须提供《医疗器械经营企业许可证》或备案凭证，但投标人应在投标文件中提供第一类医疗器械备案证明</w:t>
      </w:r>
      <w:r>
        <w:rPr>
          <w:rFonts w:hint="eastAsia" w:ascii="宋体" w:hAnsi="宋体" w:cs="宋体"/>
          <w:b w:val="0"/>
          <w:bCs w:val="0"/>
          <w:color w:val="auto"/>
          <w:lang w:val="en-US" w:eastAsia="zh-CN"/>
        </w:rPr>
        <w:t>；</w:t>
      </w:r>
    </w:p>
    <w:p>
      <w:pPr>
        <w:widowControl w:val="0"/>
        <w:numPr>
          <w:ilvl w:val="0"/>
          <w:numId w:val="0"/>
        </w:numPr>
        <w:adjustRightInd w:val="0"/>
        <w:snapToGrid w:val="0"/>
        <w:spacing w:line="460" w:lineRule="atLeast"/>
        <w:jc w:val="both"/>
        <w:rPr>
          <w:rFonts w:hint="eastAsia" w:ascii="宋体" w:hAnsi="宋体" w:cs="宋体"/>
          <w:b w:val="0"/>
          <w:bCs w:val="0"/>
          <w:color w:val="auto"/>
          <w:lang w:val="en-US" w:eastAsia="zh-CN"/>
        </w:rPr>
      </w:pPr>
    </w:p>
    <w:p>
      <w:pPr>
        <w:widowControl w:val="0"/>
        <w:numPr>
          <w:ilvl w:val="0"/>
          <w:numId w:val="0"/>
        </w:numPr>
        <w:adjustRightInd w:val="0"/>
        <w:snapToGrid w:val="0"/>
        <w:spacing w:line="460" w:lineRule="atLeast"/>
        <w:jc w:val="both"/>
        <w:rPr>
          <w:rFonts w:hint="eastAsia" w:ascii="宋体" w:hAnsi="宋体" w:cs="宋体"/>
          <w:b w:val="0"/>
          <w:bCs w:val="0"/>
          <w:color w:val="auto"/>
          <w:lang w:val="en-US" w:eastAsia="zh-CN"/>
        </w:rPr>
      </w:pPr>
    </w:p>
    <w:p>
      <w:pPr>
        <w:widowControl w:val="0"/>
        <w:numPr>
          <w:ilvl w:val="0"/>
          <w:numId w:val="0"/>
        </w:numPr>
        <w:adjustRightInd w:val="0"/>
        <w:snapToGrid w:val="0"/>
        <w:spacing w:line="460" w:lineRule="atLeast"/>
        <w:jc w:val="both"/>
        <w:rPr>
          <w:rFonts w:hint="eastAsia" w:ascii="宋体" w:hAnsi="宋体" w:cs="宋体"/>
          <w:b w:val="0"/>
          <w:bCs w:val="0"/>
          <w:color w:val="auto"/>
          <w:lang w:val="en-US" w:eastAsia="zh-CN"/>
        </w:rPr>
      </w:pPr>
    </w:p>
    <w:p>
      <w:pPr>
        <w:widowControl w:val="0"/>
        <w:numPr>
          <w:ilvl w:val="0"/>
          <w:numId w:val="0"/>
        </w:numPr>
        <w:adjustRightInd w:val="0"/>
        <w:snapToGrid w:val="0"/>
        <w:spacing w:line="460" w:lineRule="atLeast"/>
        <w:jc w:val="both"/>
        <w:rPr>
          <w:rFonts w:hint="default" w:ascii="宋体" w:hAnsi="宋体" w:cs="宋体"/>
          <w:b w:val="0"/>
          <w:bCs w:val="0"/>
          <w:color w:val="auto"/>
          <w:lang w:val="en-US"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ind w:firstLine="480" w:firstLineChars="200"/>
        <w:rPr>
          <w:rFonts w:hint="eastAsia" w:ascii="宋体" w:hAnsi="宋体" w:cs="宋体"/>
          <w:b w:val="0"/>
          <w:bCs w:val="0"/>
          <w:color w:val="auto"/>
          <w:szCs w:val="21"/>
          <w:lang w:eastAsia="zh-CN"/>
        </w:rPr>
      </w:pPr>
    </w:p>
    <w:p>
      <w:pPr>
        <w:numPr>
          <w:ilvl w:val="0"/>
          <w:numId w:val="0"/>
        </w:numPr>
        <w:adjustRightInd w:val="0"/>
        <w:snapToGrid w:val="0"/>
        <w:spacing w:line="460" w:lineRule="atLeast"/>
        <w:rPr>
          <w:rFonts w:hint="eastAsia" w:ascii="宋体" w:hAnsi="宋体" w:cs="宋体"/>
          <w:b w:val="0"/>
          <w:bCs w:val="0"/>
          <w:color w:val="auto"/>
          <w:szCs w:val="21"/>
          <w:lang w:eastAsia="zh-CN"/>
        </w:rPr>
      </w:pPr>
      <w:r>
        <w:rPr>
          <w:rFonts w:hint="eastAsia" w:ascii="宋体" w:hAnsi="宋体" w:cs="宋体"/>
          <w:b w:val="0"/>
          <w:bCs w:val="0"/>
          <w:color w:val="auto"/>
          <w:szCs w:val="21"/>
          <w:lang w:val="en-US" w:eastAsia="zh-CN"/>
        </w:rPr>
        <w:t>2、</w:t>
      </w:r>
      <w:r>
        <w:rPr>
          <w:rFonts w:hint="eastAsia" w:ascii="宋体" w:hAnsi="宋体" w:cs="宋体"/>
          <w:b w:val="0"/>
          <w:bCs w:val="0"/>
          <w:color w:val="auto"/>
          <w:szCs w:val="21"/>
          <w:lang w:eastAsia="zh-CN"/>
        </w:rPr>
        <w:t>投标人必须提供所投产品的《医疗器械注册（备案）证》的复印件，原件备查，开标时，该证应在有效期内；若不在有效期内，则需提供该证和所投产品在该证有效期内生产的国家药品监督管理局出具的证明文件）；</w:t>
      </w:r>
    </w:p>
    <w:p>
      <w:pPr>
        <w:widowControl w:val="0"/>
        <w:numPr>
          <w:ilvl w:val="0"/>
          <w:numId w:val="0"/>
        </w:numPr>
        <w:adjustRightInd w:val="0"/>
        <w:snapToGrid w:val="0"/>
        <w:spacing w:line="460" w:lineRule="atLeast"/>
        <w:jc w:val="both"/>
        <w:rPr>
          <w:rFonts w:hint="eastAsia" w:ascii="宋体" w:hAnsi="宋体" w:cs="宋体"/>
          <w:b w:val="0"/>
          <w:bCs w:val="0"/>
          <w:color w:val="auto"/>
          <w:szCs w:val="21"/>
          <w:lang w:eastAsia="zh-CN"/>
        </w:rPr>
      </w:pPr>
    </w:p>
    <w:p>
      <w:pPr>
        <w:widowControl w:val="0"/>
        <w:numPr>
          <w:ilvl w:val="0"/>
          <w:numId w:val="0"/>
        </w:numPr>
        <w:adjustRightInd w:val="0"/>
        <w:snapToGrid w:val="0"/>
        <w:spacing w:line="460" w:lineRule="atLeast"/>
        <w:jc w:val="both"/>
        <w:rPr>
          <w:rFonts w:hint="eastAsia" w:ascii="宋体" w:hAnsi="宋体" w:cs="宋体"/>
          <w:b w:val="0"/>
          <w:bCs w:val="0"/>
          <w:color w:val="auto"/>
          <w:szCs w:val="21"/>
          <w:lang w:eastAsia="zh-CN"/>
        </w:rPr>
      </w:pPr>
    </w:p>
    <w:p>
      <w:pPr>
        <w:widowControl w:val="0"/>
        <w:numPr>
          <w:ilvl w:val="0"/>
          <w:numId w:val="0"/>
        </w:numPr>
        <w:adjustRightInd w:val="0"/>
        <w:snapToGrid w:val="0"/>
        <w:spacing w:line="460" w:lineRule="atLeast"/>
        <w:jc w:val="both"/>
        <w:rPr>
          <w:rFonts w:hint="eastAsia" w:ascii="宋体" w:hAnsi="宋体" w:cs="宋体"/>
          <w:b w:val="0"/>
          <w:bCs w:val="0"/>
          <w:color w:val="auto"/>
          <w:szCs w:val="21"/>
          <w:lang w:eastAsia="zh-CN"/>
        </w:rPr>
      </w:pPr>
    </w:p>
    <w:p>
      <w:pPr>
        <w:widowControl w:val="0"/>
        <w:numPr>
          <w:ilvl w:val="0"/>
          <w:numId w:val="0"/>
        </w:numPr>
        <w:adjustRightInd w:val="0"/>
        <w:snapToGrid w:val="0"/>
        <w:spacing w:line="460" w:lineRule="atLeast"/>
        <w:jc w:val="both"/>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adjustRightInd w:val="0"/>
        <w:snapToGrid w:val="0"/>
        <w:spacing w:line="460" w:lineRule="atLeast"/>
        <w:ind w:firstLine="480" w:firstLineChars="200"/>
        <w:rPr>
          <w:rFonts w:hint="eastAsia" w:ascii="宋体" w:hAnsi="宋体" w:cs="宋体"/>
          <w:b w:val="0"/>
          <w:bCs w:val="0"/>
          <w:color w:val="auto"/>
          <w:szCs w:val="21"/>
          <w:lang w:eastAsia="zh-CN"/>
        </w:rPr>
      </w:pPr>
    </w:p>
    <w:p>
      <w:pPr>
        <w:rPr>
          <w:rFonts w:hint="eastAsia" w:asciiTheme="minorEastAsia" w:hAnsiTheme="minorEastAsia" w:cstheme="minorEastAsia"/>
          <w:b/>
          <w:sz w:val="24"/>
          <w:szCs w:val="24"/>
          <w:lang w:val="en-US" w:eastAsia="zh-CN"/>
        </w:rPr>
      </w:pPr>
      <w:r>
        <w:rPr>
          <w:rFonts w:hint="eastAsia" w:asciiTheme="minorEastAsia" w:hAnsiTheme="minorEastAsia" w:cstheme="minorEastAsia"/>
          <w:b/>
          <w:sz w:val="24"/>
          <w:szCs w:val="24"/>
          <w:lang w:val="en-US" w:eastAsia="zh-CN"/>
        </w:rPr>
        <w:br w:type="page"/>
      </w:r>
    </w:p>
    <w:p>
      <w:pPr>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七、</w:t>
      </w:r>
      <w:r>
        <w:rPr>
          <w:rFonts w:hint="eastAsia" w:asciiTheme="minorEastAsia" w:hAnsiTheme="minorEastAsia" w:eastAsiaTheme="minorEastAsia" w:cstheme="minorEastAsia"/>
          <w:b/>
          <w:sz w:val="24"/>
          <w:szCs w:val="24"/>
          <w:lang w:val="en-US" w:eastAsia="zh-CN"/>
        </w:rPr>
        <w:t>项目</w:t>
      </w:r>
      <w:r>
        <w:rPr>
          <w:rFonts w:hint="eastAsia" w:asciiTheme="minorEastAsia" w:hAnsiTheme="minorEastAsia" w:eastAsiaTheme="minorEastAsia" w:cstheme="minorEastAsia"/>
          <w:b/>
          <w:sz w:val="24"/>
          <w:szCs w:val="24"/>
        </w:rPr>
        <w:t>报价明细表</w:t>
      </w:r>
    </w:p>
    <w:p>
      <w:pPr>
        <w:tabs>
          <w:tab w:val="left" w:pos="720"/>
        </w:tabs>
        <w:ind w:firstLine="2741" w:firstLineChars="1300"/>
        <w:rPr>
          <w:rFonts w:hint="eastAsia" w:asciiTheme="minorEastAsia" w:hAnsiTheme="minorEastAsia" w:eastAsiaTheme="minorEastAsia" w:cstheme="minorEastAsia"/>
          <w:b/>
          <w:sz w:val="21"/>
          <w:szCs w:val="21"/>
        </w:rPr>
      </w:pPr>
    </w:p>
    <w:p>
      <w:pPr>
        <w:numPr>
          <w:ilvl w:val="0"/>
          <w:numId w:val="4"/>
        </w:numPr>
        <w:tabs>
          <w:tab w:val="left" w:pos="720"/>
        </w:tabs>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货物</w:t>
      </w:r>
      <w:r>
        <w:rPr>
          <w:rFonts w:hint="eastAsia" w:asciiTheme="minorEastAsia" w:hAnsiTheme="minorEastAsia" w:cstheme="minorEastAsia"/>
          <w:b/>
          <w:sz w:val="21"/>
          <w:szCs w:val="21"/>
          <w:lang w:val="en-US" w:eastAsia="zh-CN"/>
        </w:rPr>
        <w:t>详细配置</w:t>
      </w:r>
      <w:r>
        <w:rPr>
          <w:rFonts w:hint="eastAsia" w:asciiTheme="minorEastAsia" w:hAnsiTheme="minorEastAsia" w:eastAsiaTheme="minorEastAsia" w:cstheme="minorEastAsia"/>
          <w:b/>
          <w:sz w:val="21"/>
          <w:szCs w:val="21"/>
        </w:rPr>
        <w:t>报价清单</w:t>
      </w:r>
      <w:r>
        <w:rPr>
          <w:rFonts w:hint="eastAsia" w:ascii="仿宋" w:hAnsi="仿宋" w:eastAsia="仿宋" w:cs="Times New Roman"/>
          <w:b/>
          <w:color w:val="000000"/>
          <w:sz w:val="24"/>
          <w:lang w:eastAsia="zh-CN"/>
        </w:rPr>
        <w:t>（</w:t>
      </w:r>
      <w:r>
        <w:rPr>
          <w:rFonts w:hint="eastAsia"/>
          <w:b/>
          <w:bCs/>
        </w:rPr>
        <w:t>包括在投标总价内</w:t>
      </w:r>
      <w:r>
        <w:rPr>
          <w:rFonts w:hint="eastAsia" w:ascii="仿宋" w:hAnsi="仿宋" w:eastAsia="仿宋" w:cs="Times New Roman"/>
          <w:b/>
          <w:color w:val="000000"/>
          <w:sz w:val="24"/>
          <w:lang w:eastAsia="zh-CN"/>
        </w:rPr>
        <w:t>）</w:t>
      </w:r>
    </w:p>
    <w:p>
      <w:pPr>
        <w:pStyle w:val="8"/>
        <w:rPr>
          <w:rFonts w:hint="eastAsia"/>
        </w:rPr>
      </w:pPr>
    </w:p>
    <w:tbl>
      <w:tblPr>
        <w:tblStyle w:val="26"/>
        <w:tblW w:w="4899" w:type="pct"/>
        <w:jc w:val="center"/>
        <w:tblLayout w:type="fixed"/>
        <w:tblCellMar>
          <w:top w:w="0" w:type="dxa"/>
          <w:left w:w="108" w:type="dxa"/>
          <w:bottom w:w="0" w:type="dxa"/>
          <w:right w:w="108" w:type="dxa"/>
        </w:tblCellMar>
      </w:tblPr>
      <w:tblGrid>
        <w:gridCol w:w="774"/>
        <w:gridCol w:w="1755"/>
        <w:gridCol w:w="1394"/>
        <w:gridCol w:w="1080"/>
        <w:gridCol w:w="930"/>
        <w:gridCol w:w="960"/>
        <w:gridCol w:w="1457"/>
      </w:tblGrid>
      <w:tr>
        <w:tblPrEx>
          <w:tblCellMar>
            <w:top w:w="0" w:type="dxa"/>
            <w:left w:w="108" w:type="dxa"/>
            <w:bottom w:w="0" w:type="dxa"/>
            <w:right w:w="108" w:type="dxa"/>
          </w:tblCellMar>
        </w:tblPrEx>
        <w:trPr>
          <w:trHeight w:val="459"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105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设备或配件名称</w:t>
            </w:r>
          </w:p>
        </w:tc>
        <w:tc>
          <w:tcPr>
            <w:tcW w:w="834" w:type="pct"/>
            <w:tcBorders>
              <w:top w:val="single" w:color="auto" w:sz="4" w:space="0"/>
              <w:left w:val="nil"/>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w:t>
            </w:r>
          </w:p>
          <w:p>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w:t>
            </w:r>
          </w:p>
          <w:p>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型号</w:t>
            </w:r>
          </w:p>
        </w:tc>
        <w:tc>
          <w:tcPr>
            <w:tcW w:w="646" w:type="pct"/>
            <w:tcBorders>
              <w:top w:val="single" w:color="auto" w:sz="4" w:space="0"/>
              <w:left w:val="single" w:color="auto" w:sz="4" w:space="0"/>
              <w:bottom w:val="single" w:color="auto" w:sz="4" w:space="0"/>
              <w:right w:val="nil"/>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生产厂家</w:t>
            </w: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产品注册证号</w:t>
            </w:r>
          </w:p>
        </w:tc>
        <w:tc>
          <w:tcPr>
            <w:tcW w:w="57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eastAsiaTheme="minorEastAsia"/>
                <w:lang w:val="en-US" w:eastAsia="zh-CN"/>
              </w:rPr>
            </w:pPr>
            <w:r>
              <w:rPr>
                <w:rFonts w:hint="eastAsia"/>
                <w:lang w:val="en-US" w:eastAsia="zh-CN"/>
              </w:rPr>
              <w:t>数量</w:t>
            </w:r>
          </w:p>
        </w:tc>
        <w:tc>
          <w:tcPr>
            <w:tcW w:w="872" w:type="pct"/>
            <w:tcBorders>
              <w:top w:val="single" w:color="auto" w:sz="4" w:space="0"/>
              <w:left w:val="nil"/>
              <w:bottom w:val="single" w:color="auto" w:sz="4" w:space="0"/>
              <w:right w:val="single" w:color="auto" w:sz="4" w:space="0"/>
            </w:tcBorders>
            <w:noWrap/>
            <w:vAlign w:val="center"/>
          </w:tcPr>
          <w:p>
            <w:pPr>
              <w:widowControl/>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分项报价（元）</w:t>
            </w:r>
          </w:p>
        </w:tc>
      </w:tr>
      <w:tr>
        <w:tblPrEx>
          <w:tblCellMar>
            <w:top w:w="0" w:type="dxa"/>
            <w:left w:w="108" w:type="dxa"/>
            <w:bottom w:w="0" w:type="dxa"/>
            <w:right w:w="108" w:type="dxa"/>
          </w:tblCellMar>
        </w:tblPrEx>
        <w:trPr>
          <w:trHeight w:val="227" w:hRule="atLeast"/>
          <w:jc w:val="center"/>
        </w:trPr>
        <w:tc>
          <w:tcPr>
            <w:tcW w:w="463" w:type="pc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w:t>
            </w:r>
          </w:p>
        </w:tc>
        <w:tc>
          <w:tcPr>
            <w:tcW w:w="1050" w:type="pct"/>
            <w:tcBorders>
              <w:top w:val="nil"/>
              <w:left w:val="nil"/>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34" w:type="pct"/>
            <w:tcBorders>
              <w:top w:val="nil"/>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646" w:type="pct"/>
            <w:tcBorders>
              <w:top w:val="nil"/>
              <w:left w:val="single" w:color="auto" w:sz="4" w:space="0"/>
              <w:bottom w:val="single" w:color="auto" w:sz="4" w:space="0"/>
              <w:right w:val="nil"/>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556" w:type="pc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nil"/>
              <w:left w:val="single" w:color="auto" w:sz="4" w:space="0"/>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72" w:type="pct"/>
            <w:tcBorders>
              <w:top w:val="nil"/>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p>
        </w:tc>
        <w:tc>
          <w:tcPr>
            <w:tcW w:w="105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05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105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5</w:t>
            </w:r>
          </w:p>
        </w:tc>
        <w:tc>
          <w:tcPr>
            <w:tcW w:w="105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1050" w:type="pct"/>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pPr>
              <w:spacing w:line="360" w:lineRule="exact"/>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27"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pPr>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合计：¥      元，大写：人民币        元整</w:t>
            </w:r>
          </w:p>
        </w:tc>
      </w:tr>
    </w:tbl>
    <w:p>
      <w:pPr>
        <w:pStyle w:val="21"/>
        <w:rPr>
          <w:rFonts w:hint="eastAsia" w:eastAsiaTheme="minorEastAsia"/>
          <w:lang w:val="en-US" w:eastAsia="zh-CN"/>
        </w:rPr>
      </w:pPr>
    </w:p>
    <w:p>
      <w:pPr>
        <w:spacing w:line="360" w:lineRule="exact"/>
        <w:jc w:val="center"/>
        <w:rPr>
          <w:rFonts w:hint="eastAsia" w:asciiTheme="minorEastAsia" w:hAnsiTheme="minorEastAsia" w:cstheme="minorEastAsia"/>
          <w:b/>
          <w:sz w:val="21"/>
          <w:szCs w:val="21"/>
          <w:lang w:val="en-US" w:eastAsia="zh-CN"/>
        </w:rPr>
      </w:pPr>
    </w:p>
    <w:p>
      <w:pPr>
        <w:spacing w:line="360" w:lineRule="exact"/>
        <w:jc w:val="center"/>
        <w:rPr>
          <w:rFonts w:hint="eastAsia" w:asciiTheme="minorEastAsia" w:hAnsiTheme="minorEastAsia" w:cstheme="minorEastAsia"/>
          <w:b/>
          <w:sz w:val="21"/>
          <w:szCs w:val="21"/>
          <w:lang w:val="en-US" w:eastAsia="zh-CN"/>
        </w:rPr>
      </w:pPr>
    </w:p>
    <w:p>
      <w:pPr>
        <w:spacing w:line="360" w:lineRule="exact"/>
        <w:jc w:val="center"/>
        <w:rPr>
          <w:rFonts w:hint="eastAsia" w:asciiTheme="minorEastAsia" w:hAnsiTheme="minorEastAsia" w:cstheme="minorEastAsia"/>
          <w:b/>
          <w:sz w:val="21"/>
          <w:szCs w:val="21"/>
          <w:lang w:val="en-US" w:eastAsia="zh-CN"/>
        </w:rPr>
      </w:pPr>
    </w:p>
    <w:p>
      <w:pPr>
        <w:spacing w:line="360" w:lineRule="exact"/>
        <w:jc w:val="center"/>
        <w:rPr>
          <w:rFonts w:hint="eastAsia" w:asciiTheme="minorEastAsia" w:hAnsiTheme="minorEastAsia" w:cstheme="minorEastAsia"/>
          <w:b/>
          <w:sz w:val="21"/>
          <w:szCs w:val="21"/>
          <w:lang w:val="en-US" w:eastAsia="zh-CN"/>
        </w:rPr>
      </w:pPr>
    </w:p>
    <w:p>
      <w:pPr>
        <w:spacing w:line="360" w:lineRule="exact"/>
        <w:jc w:val="center"/>
        <w:rPr>
          <w:rFonts w:hint="eastAsia" w:asciiTheme="minorEastAsia" w:hAnsiTheme="minorEastAsia" w:cstheme="minorEastAsia"/>
          <w:b/>
          <w:sz w:val="21"/>
          <w:szCs w:val="21"/>
          <w:lang w:val="en-US" w:eastAsia="zh-CN"/>
        </w:rPr>
      </w:pPr>
    </w:p>
    <w:p>
      <w:pPr>
        <w:spacing w:line="360" w:lineRule="exact"/>
        <w:jc w:val="center"/>
        <w:rPr>
          <w:rFonts w:hint="eastAsia" w:asciiTheme="minorEastAsia" w:hAnsiTheme="minorEastAsia" w:cstheme="minorEastAsia"/>
          <w:b/>
          <w:sz w:val="21"/>
          <w:szCs w:val="21"/>
          <w:lang w:val="en-US" w:eastAsia="zh-CN"/>
        </w:rPr>
      </w:pPr>
    </w:p>
    <w:p>
      <w:pPr>
        <w:spacing w:line="360" w:lineRule="exact"/>
        <w:jc w:val="both"/>
        <w:rPr>
          <w:rFonts w:hint="eastAsia" w:asciiTheme="minorEastAsia" w:hAnsiTheme="minorEastAsia" w:cstheme="minorEastAsia"/>
          <w:b/>
          <w:sz w:val="21"/>
          <w:szCs w:val="21"/>
          <w:lang w:val="en-US" w:eastAsia="zh-CN"/>
        </w:rPr>
      </w:pPr>
    </w:p>
    <w:p>
      <w:pPr>
        <w:spacing w:line="360" w:lineRule="exact"/>
        <w:jc w:val="center"/>
        <w:rPr>
          <w:rFonts w:hint="eastAsia" w:asciiTheme="minorEastAsia" w:hAnsiTheme="minorEastAsia" w:cstheme="minorEastAsia"/>
          <w:b/>
          <w:sz w:val="21"/>
          <w:szCs w:val="21"/>
          <w:lang w:val="en-US" w:eastAsia="zh-CN"/>
        </w:rPr>
      </w:pPr>
      <w:r>
        <w:rPr>
          <w:rFonts w:hint="eastAsia" w:asciiTheme="minorEastAsia" w:hAnsiTheme="minorEastAsia" w:cstheme="minorEastAsia"/>
          <w:b/>
          <w:sz w:val="21"/>
          <w:szCs w:val="21"/>
          <w:lang w:val="en-US" w:eastAsia="zh-CN"/>
        </w:rPr>
        <w:t>（二）设备常用配件、消耗品优惠报价</w:t>
      </w:r>
      <w:r>
        <w:rPr>
          <w:rFonts w:hint="eastAsia" w:ascii="宋体" w:hAnsi="宋体" w:cs="宋体"/>
          <w:b/>
          <w:bCs/>
          <w:szCs w:val="21"/>
        </w:rPr>
        <w:t>（</w:t>
      </w:r>
      <w:r>
        <w:rPr>
          <w:rFonts w:hint="eastAsia"/>
          <w:b/>
          <w:bCs/>
        </w:rPr>
        <w:t>不包括在投标总价内</w:t>
      </w:r>
      <w:r>
        <w:rPr>
          <w:rFonts w:hint="eastAsia" w:ascii="宋体" w:hAnsi="宋体" w:cs="宋体"/>
          <w:b/>
          <w:bCs/>
          <w:szCs w:val="21"/>
        </w:rPr>
        <w:t>）</w:t>
      </w:r>
    </w:p>
    <w:tbl>
      <w:tblPr>
        <w:tblStyle w:val="26"/>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1202"/>
        <w:gridCol w:w="1014"/>
        <w:gridCol w:w="574"/>
        <w:gridCol w:w="1143"/>
        <w:gridCol w:w="629"/>
        <w:gridCol w:w="936"/>
        <w:gridCol w:w="903"/>
        <w:gridCol w:w="936"/>
        <w:gridCol w:w="66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04" w:type="pct"/>
            <w:tcBorders>
              <w:top w:val="double" w:color="auto" w:sz="4" w:space="0"/>
              <w:left w:val="doub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序号</w:t>
            </w:r>
          </w:p>
        </w:tc>
        <w:tc>
          <w:tcPr>
            <w:tcW w:w="706" w:type="pct"/>
            <w:tcBorders>
              <w:top w:val="doub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备品备件名称</w:t>
            </w:r>
          </w:p>
        </w:tc>
        <w:tc>
          <w:tcPr>
            <w:tcW w:w="595" w:type="pct"/>
            <w:tcBorders>
              <w:top w:val="doub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规格及型号</w:t>
            </w:r>
          </w:p>
        </w:tc>
        <w:tc>
          <w:tcPr>
            <w:tcW w:w="337" w:type="pct"/>
            <w:tcBorders>
              <w:top w:val="doub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品牌</w:t>
            </w:r>
          </w:p>
        </w:tc>
        <w:tc>
          <w:tcPr>
            <w:tcW w:w="671" w:type="pct"/>
            <w:tcBorders>
              <w:top w:val="doub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产地</w:t>
            </w:r>
          </w:p>
        </w:tc>
        <w:tc>
          <w:tcPr>
            <w:tcW w:w="369" w:type="pct"/>
            <w:tcBorders>
              <w:top w:val="doub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单位</w:t>
            </w:r>
          </w:p>
        </w:tc>
        <w:tc>
          <w:tcPr>
            <w:tcW w:w="549" w:type="pct"/>
            <w:tcBorders>
              <w:top w:val="doub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市场单价</w:t>
            </w:r>
          </w:p>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（元）</w:t>
            </w:r>
          </w:p>
        </w:tc>
        <w:tc>
          <w:tcPr>
            <w:tcW w:w="530" w:type="pct"/>
            <w:tcBorders>
              <w:top w:val="double" w:color="auto" w:sz="4" w:space="0"/>
              <w:left w:val="single" w:color="auto" w:sz="4" w:space="0"/>
              <w:bottom w:val="single" w:color="auto" w:sz="4" w:space="0"/>
              <w:right w:val="doub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降幅率</w:t>
            </w:r>
          </w:p>
        </w:tc>
        <w:tc>
          <w:tcPr>
            <w:tcW w:w="549" w:type="pct"/>
            <w:tcBorders>
              <w:top w:val="double" w:color="auto" w:sz="4" w:space="0"/>
              <w:left w:val="single" w:color="auto" w:sz="4" w:space="0"/>
              <w:bottom w:val="single" w:color="auto" w:sz="4" w:space="0"/>
              <w:right w:val="doub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最终报价</w:t>
            </w:r>
            <w:r>
              <w:rPr>
                <w:rFonts w:hint="eastAsia" w:ascii="宋体" w:hAnsi="宋体" w:cs="宋体"/>
                <w:snapToGrid w:val="0"/>
                <w:color w:val="000000"/>
                <w:kern w:val="0"/>
                <w:szCs w:val="21"/>
              </w:rPr>
              <w:t>（元）</w:t>
            </w:r>
          </w:p>
        </w:tc>
        <w:tc>
          <w:tcPr>
            <w:tcW w:w="384" w:type="pct"/>
            <w:tcBorders>
              <w:top w:val="double" w:color="auto" w:sz="4" w:space="0"/>
              <w:left w:val="single" w:color="auto" w:sz="4" w:space="0"/>
              <w:bottom w:val="single" w:color="auto" w:sz="4" w:space="0"/>
              <w:right w:val="double" w:color="auto" w:sz="4" w:space="0"/>
            </w:tcBorders>
            <w:noWrap w:val="0"/>
            <w:vAlign w:val="center"/>
          </w:tcPr>
          <w:p>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专用/通用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napToGrid w:val="0"/>
                <w:color w:val="000000"/>
                <w:kern w:val="0"/>
                <w:sz w:val="21"/>
                <w:szCs w:val="21"/>
                <w:lang w:eastAsia="zh-CN"/>
              </w:rPr>
            </w:pPr>
            <w:r>
              <w:rPr>
                <w:rFonts w:hint="eastAsia" w:ascii="宋体" w:hAnsi="宋体" w:cs="宋体"/>
                <w:snapToGrid w:val="0"/>
                <w:color w:val="000000"/>
                <w:kern w:val="0"/>
                <w:sz w:val="21"/>
                <w:szCs w:val="21"/>
              </w:rPr>
              <w:t>1</w:t>
            </w:r>
          </w:p>
        </w:tc>
        <w:tc>
          <w:tcPr>
            <w:tcW w:w="70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3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67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6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30" w:type="pct"/>
            <w:vMerge w:val="restart"/>
            <w:tcBorders>
              <w:top w:val="single" w:color="auto" w:sz="4" w:space="0"/>
              <w:left w:val="single" w:color="auto" w:sz="4" w:space="0"/>
              <w:right w:val="double" w:color="auto" w:sz="4" w:space="0"/>
            </w:tcBorders>
            <w:noWrap w:val="0"/>
            <w:vAlign w:val="center"/>
          </w:tcPr>
          <w:p>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double" w:color="auto" w:sz="4" w:space="0"/>
            </w:tcBorders>
            <w:noWrap w:val="0"/>
            <w:vAlign w:val="center"/>
          </w:tcPr>
          <w:p>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384" w:type="pct"/>
            <w:tcBorders>
              <w:top w:val="single" w:color="auto" w:sz="4" w:space="0"/>
              <w:left w:val="single" w:color="auto" w:sz="4" w:space="0"/>
              <w:bottom w:val="single" w:color="auto" w:sz="4" w:space="0"/>
              <w:right w:val="double" w:color="auto" w:sz="4" w:space="0"/>
            </w:tcBorders>
            <w:noWrap w:val="0"/>
            <w:vAlign w:val="center"/>
          </w:tcPr>
          <w:p>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2</w:t>
            </w:r>
          </w:p>
        </w:tc>
        <w:tc>
          <w:tcPr>
            <w:tcW w:w="70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pPr>
              <w:jc w:val="center"/>
              <w:rPr>
                <w:rFonts w:hint="eastAsia" w:ascii="宋体" w:hAnsi="宋体" w:cs="宋体" w:eastAsiaTheme="minorEastAsia"/>
                <w:snapToGrid w:val="0"/>
                <w:color w:val="000000"/>
                <w:kern w:val="0"/>
                <w:sz w:val="21"/>
                <w:szCs w:val="21"/>
                <w:lang w:val="en-US" w:eastAsia="zh-CN"/>
              </w:rPr>
            </w:pPr>
          </w:p>
        </w:tc>
        <w:tc>
          <w:tcPr>
            <w:tcW w:w="384" w:type="pct"/>
            <w:tcBorders>
              <w:top w:val="single" w:color="auto" w:sz="4" w:space="0"/>
              <w:left w:val="single" w:color="auto" w:sz="4" w:space="0"/>
              <w:bottom w:val="single" w:color="auto" w:sz="4" w:space="0"/>
              <w:right w:val="doub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3</w:t>
            </w:r>
          </w:p>
        </w:tc>
        <w:tc>
          <w:tcPr>
            <w:tcW w:w="70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47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4</w:t>
            </w:r>
          </w:p>
        </w:tc>
        <w:tc>
          <w:tcPr>
            <w:tcW w:w="70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bottom w:val="single" w:color="auto" w:sz="4" w:space="0"/>
              <w:right w:val="double" w:color="auto" w:sz="4" w:space="0"/>
            </w:tcBorders>
            <w:noWrap w:val="0"/>
            <w:vAlign w:val="center"/>
          </w:tcPr>
          <w:p>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pPr>
              <w:adjustRightInd w:val="0"/>
              <w:snapToGrid w:val="0"/>
              <w:jc w:val="center"/>
              <w:rPr>
                <w:rFonts w:hint="eastAsia" w:ascii="宋体" w:hAnsi="宋体" w:cs="宋体"/>
                <w:snapToGrid w:val="0"/>
                <w:color w:val="000000"/>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16" w:hRule="atLeast"/>
        </w:trPr>
        <w:tc>
          <w:tcPr>
            <w:tcW w:w="304" w:type="pct"/>
            <w:tcBorders>
              <w:top w:val="single" w:color="auto" w:sz="4" w:space="0"/>
              <w:left w:val="double" w:color="auto" w:sz="4" w:space="0"/>
              <w:bottom w:val="double" w:color="auto" w:sz="4" w:space="0"/>
              <w:right w:val="double" w:color="auto" w:sz="4" w:space="0"/>
            </w:tcBorders>
            <w:noWrap w:val="0"/>
            <w:vAlign w:val="center"/>
          </w:tcPr>
          <w:p>
            <w:pPr>
              <w:rPr>
                <w:rFonts w:hint="eastAsia" w:ascii="宋体" w:hAnsi="宋体" w:cs="宋体"/>
                <w:b/>
                <w:bCs/>
                <w:snapToGrid w:val="0"/>
                <w:color w:val="FF0000"/>
                <w:kern w:val="0"/>
                <w:szCs w:val="21"/>
              </w:rPr>
            </w:pPr>
          </w:p>
        </w:tc>
        <w:tc>
          <w:tcPr>
            <w:tcW w:w="4695" w:type="pct"/>
            <w:gridSpan w:val="9"/>
            <w:tcBorders>
              <w:top w:val="single" w:color="auto" w:sz="4" w:space="0"/>
              <w:left w:val="double" w:color="auto" w:sz="4" w:space="0"/>
              <w:bottom w:val="double" w:color="auto" w:sz="4" w:space="0"/>
              <w:right w:val="double" w:color="auto" w:sz="4" w:space="0"/>
            </w:tcBorders>
            <w:noWrap w:val="0"/>
            <w:vAlign w:val="center"/>
          </w:tcPr>
          <w:p>
            <w:pPr>
              <w:rPr>
                <w:rFonts w:hint="eastAsia" w:ascii="宋体" w:hAnsi="宋体" w:cs="宋体"/>
                <w:snapToGrid w:val="0"/>
                <w:color w:val="000000"/>
                <w:kern w:val="0"/>
                <w:sz w:val="21"/>
                <w:szCs w:val="18"/>
              </w:rPr>
            </w:pPr>
            <w:r>
              <w:rPr>
                <w:rFonts w:hint="eastAsia" w:ascii="宋体" w:hAnsi="宋体" w:cs="宋体"/>
                <w:color w:val="000000"/>
                <w:sz w:val="21"/>
                <w:szCs w:val="18"/>
              </w:rPr>
              <w:t>备注：投标人须按表格完整填写内容，“零配件名称”和“市场单价”由采购人填写，其余由投标人填写。投标人填写内容除须对应采购人所列明的零配件外,若设备在投入使用中还需其他零配件的，投标人也应补充填写完整。如未填写或填写不完整相关评分项不得分。</w:t>
            </w:r>
            <w:r>
              <w:rPr>
                <w:rFonts w:hint="eastAsia" w:ascii="宋体" w:hAnsi="宋体" w:cs="宋体"/>
                <w:color w:val="000000"/>
                <w:sz w:val="21"/>
                <w:szCs w:val="18"/>
                <w:lang w:eastAsia="zh-CN"/>
              </w:rPr>
              <w:t>若我院在用的此设备出现备品备件需求时，投标商需低于或等于此备品备件清单的报价供货，高于价格或者不供货中标商，将拉入我院供应商黑名单</w:t>
            </w:r>
            <w:r>
              <w:rPr>
                <w:rFonts w:hint="eastAsia" w:ascii="宋体" w:hAnsi="宋体" w:cs="宋体"/>
                <w:b/>
                <w:bCs/>
                <w:snapToGrid w:val="0"/>
                <w:color w:val="000000"/>
                <w:kern w:val="0"/>
                <w:sz w:val="21"/>
                <w:szCs w:val="18"/>
              </w:rPr>
              <w:t>。</w:t>
            </w:r>
            <w:r>
              <w:rPr>
                <w:rFonts w:hint="eastAsia" w:ascii="宋体" w:hAnsi="宋体" w:cs="宋体"/>
                <w:snapToGrid w:val="0"/>
                <w:color w:val="000000"/>
                <w:kern w:val="0"/>
                <w:sz w:val="21"/>
                <w:szCs w:val="18"/>
              </w:rPr>
              <w:t xml:space="preserve"> </w:t>
            </w:r>
          </w:p>
          <w:p>
            <w:pPr>
              <w:rPr>
                <w:rFonts w:hint="eastAsia" w:ascii="宋体" w:hAnsi="宋体" w:cs="宋体"/>
                <w:color w:val="FF0000"/>
                <w:kern w:val="0"/>
                <w:sz w:val="21"/>
                <w:szCs w:val="18"/>
              </w:rPr>
            </w:pPr>
            <w:r>
              <w:rPr>
                <w:rFonts w:hint="eastAsia" w:ascii="宋体" w:hAnsi="宋体" w:cs="宋体"/>
                <w:b/>
                <w:bCs/>
                <w:snapToGrid w:val="0"/>
                <w:color w:val="FF0000"/>
                <w:kern w:val="0"/>
                <w:sz w:val="21"/>
                <w:szCs w:val="18"/>
              </w:rPr>
              <w:t>“公司报价”不得高于本表格的“市场单价”，否则作投标无效处理。</w:t>
            </w:r>
          </w:p>
        </w:tc>
      </w:tr>
    </w:tbl>
    <w:p>
      <w:pPr>
        <w:pStyle w:val="2"/>
        <w:jc w:val="both"/>
        <w:rPr>
          <w:rFonts w:hint="eastAsia" w:ascii="宋体" w:hAnsi="宋体" w:cs="宋体"/>
          <w:b/>
          <w:spacing w:val="0"/>
          <w:kern w:val="2"/>
          <w:sz w:val="21"/>
          <w:szCs w:val="21"/>
          <w:lang w:eastAsia="zh-CN"/>
        </w:rPr>
      </w:pPr>
    </w:p>
    <w:p>
      <w:pPr>
        <w:pStyle w:val="2"/>
        <w:jc w:val="center"/>
        <w:rPr>
          <w:rFonts w:hint="eastAsia" w:ascii="宋体" w:hAnsi="宋体" w:cs="宋体"/>
          <w:b/>
          <w:spacing w:val="0"/>
          <w:kern w:val="2"/>
          <w:sz w:val="21"/>
          <w:szCs w:val="21"/>
          <w:lang w:eastAsia="zh-CN"/>
        </w:rPr>
      </w:pPr>
    </w:p>
    <w:p>
      <w:pPr>
        <w:pStyle w:val="2"/>
        <w:jc w:val="center"/>
        <w:rPr>
          <w:rFonts w:hint="eastAsia" w:ascii="宋体" w:hAnsi="宋体" w:cs="宋体"/>
          <w:b/>
          <w:spacing w:val="0"/>
          <w:kern w:val="2"/>
          <w:sz w:val="21"/>
          <w:szCs w:val="21"/>
        </w:rPr>
      </w:pPr>
      <w:r>
        <w:rPr>
          <w:rFonts w:hint="eastAsia" w:ascii="宋体" w:hAnsi="宋体" w:cs="宋体"/>
          <w:b/>
          <w:spacing w:val="0"/>
          <w:kern w:val="2"/>
          <w:sz w:val="21"/>
          <w:szCs w:val="21"/>
          <w:lang w:eastAsia="zh-CN"/>
        </w:rPr>
        <w:t>（</w:t>
      </w:r>
      <w:r>
        <w:rPr>
          <w:rFonts w:hint="eastAsia" w:ascii="宋体" w:hAnsi="宋体" w:cs="宋体"/>
          <w:b/>
          <w:spacing w:val="0"/>
          <w:kern w:val="2"/>
          <w:sz w:val="21"/>
          <w:szCs w:val="21"/>
          <w:lang w:val="en-US" w:eastAsia="zh-CN"/>
        </w:rPr>
        <w:t>三</w:t>
      </w:r>
      <w:r>
        <w:rPr>
          <w:rFonts w:hint="eastAsia" w:ascii="宋体" w:hAnsi="宋体" w:cs="宋体"/>
          <w:b/>
          <w:spacing w:val="0"/>
          <w:kern w:val="2"/>
          <w:sz w:val="21"/>
          <w:szCs w:val="21"/>
          <w:lang w:eastAsia="zh-CN"/>
        </w:rPr>
        <w:t>）</w:t>
      </w:r>
      <w:r>
        <w:rPr>
          <w:rFonts w:hint="eastAsia" w:ascii="宋体" w:hAnsi="宋体" w:cs="宋体"/>
          <w:b/>
          <w:spacing w:val="0"/>
          <w:kern w:val="2"/>
          <w:sz w:val="21"/>
          <w:szCs w:val="21"/>
        </w:rPr>
        <w:t>设备配套耗材报价清单（不包括在投标总价内）</w:t>
      </w:r>
    </w:p>
    <w:p>
      <w:pPr>
        <w:pStyle w:val="8"/>
        <w:numPr>
          <w:ilvl w:val="0"/>
          <w:numId w:val="0"/>
        </w:numPr>
        <w:ind w:leftChars="0"/>
        <w:rPr>
          <w:rFonts w:hint="default"/>
          <w:lang w:val="en-US" w:eastAsia="zh-CN"/>
        </w:rPr>
      </w:pPr>
    </w:p>
    <w:tbl>
      <w:tblPr>
        <w:tblStyle w:val="26"/>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942"/>
        <w:gridCol w:w="367"/>
        <w:gridCol w:w="392"/>
        <w:gridCol w:w="907"/>
        <w:gridCol w:w="408"/>
        <w:gridCol w:w="830"/>
        <w:gridCol w:w="895"/>
        <w:gridCol w:w="564"/>
        <w:gridCol w:w="2077"/>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5"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序号</w:t>
            </w:r>
          </w:p>
        </w:tc>
        <w:tc>
          <w:tcPr>
            <w:tcW w:w="553"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耗材名称</w:t>
            </w:r>
          </w:p>
        </w:tc>
        <w:tc>
          <w:tcPr>
            <w:tcW w:w="215"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规格</w:t>
            </w:r>
          </w:p>
        </w:tc>
        <w:tc>
          <w:tcPr>
            <w:tcW w:w="230"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最小计量单位</w:t>
            </w:r>
          </w:p>
        </w:tc>
        <w:tc>
          <w:tcPr>
            <w:tcW w:w="533"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产品注册证号</w:t>
            </w:r>
          </w:p>
        </w:tc>
        <w:tc>
          <w:tcPr>
            <w:tcW w:w="239"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产地品牌</w:t>
            </w:r>
          </w:p>
        </w:tc>
        <w:tc>
          <w:tcPr>
            <w:tcW w:w="487"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市场单价（元）</w:t>
            </w:r>
          </w:p>
        </w:tc>
        <w:tc>
          <w:tcPr>
            <w:tcW w:w="526" w:type="pct"/>
            <w:noWrap w:val="0"/>
            <w:vAlign w:val="center"/>
          </w:tcPr>
          <w:p>
            <w:pPr>
              <w:rPr>
                <w:rFonts w:hint="eastAsia" w:ascii="宋体" w:hAnsi="宋体" w:cs="宋体"/>
                <w:color w:val="000000"/>
                <w:sz w:val="21"/>
                <w:szCs w:val="18"/>
                <w:lang w:val="en-US" w:eastAsia="zh-CN"/>
              </w:rPr>
            </w:pPr>
            <w:r>
              <w:rPr>
                <w:rFonts w:hint="eastAsia" w:ascii="宋体" w:hAnsi="宋体" w:cs="宋体"/>
                <w:color w:val="000000"/>
                <w:sz w:val="21"/>
                <w:szCs w:val="18"/>
                <w:lang w:eastAsia="zh-CN"/>
              </w:rPr>
              <w:t>降幅率</w:t>
            </w:r>
          </w:p>
        </w:tc>
        <w:tc>
          <w:tcPr>
            <w:tcW w:w="331"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报价（元）</w:t>
            </w:r>
          </w:p>
        </w:tc>
        <w:tc>
          <w:tcPr>
            <w:tcW w:w="1220"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预估设备终身可用耗材量（按照最小计量单位计算）</w:t>
            </w:r>
          </w:p>
        </w:tc>
        <w:tc>
          <w:tcPr>
            <w:tcW w:w="445" w:type="pct"/>
            <w:noWrap w:val="0"/>
            <w:vAlign w:val="center"/>
          </w:tcPr>
          <w:p>
            <w:pPr>
              <w:rPr>
                <w:rFonts w:hint="eastAsia" w:ascii="宋体" w:hAnsi="宋体" w:cs="宋体"/>
                <w:color w:val="000000"/>
                <w:sz w:val="21"/>
                <w:szCs w:val="18"/>
              </w:rPr>
            </w:pPr>
            <w:r>
              <w:rPr>
                <w:rFonts w:hint="eastAsia" w:ascii="宋体" w:hAnsi="宋体" w:cs="宋体"/>
                <w:color w:val="000000"/>
                <w:sz w:val="21"/>
                <w:szCs w:val="18"/>
              </w:rPr>
              <w:t>专用/通用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pPr>
              <w:rPr>
                <w:rFonts w:hint="eastAsia" w:ascii="宋体" w:hAnsi="宋体" w:cs="宋体"/>
                <w:color w:val="FF0000"/>
                <w:sz w:val="21"/>
                <w:szCs w:val="18"/>
              </w:rPr>
            </w:pPr>
            <w:r>
              <w:rPr>
                <w:rFonts w:hint="eastAsia" w:ascii="宋体" w:hAnsi="宋体" w:cs="宋体"/>
                <w:color w:val="FF0000"/>
                <w:sz w:val="21"/>
                <w:szCs w:val="18"/>
              </w:rPr>
              <w:t>1</w:t>
            </w:r>
          </w:p>
        </w:tc>
        <w:tc>
          <w:tcPr>
            <w:tcW w:w="553"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15"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0"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33"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9"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87"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26" w:type="pct"/>
            <w:vMerge w:val="restart"/>
            <w:noWrap w:val="0"/>
            <w:vAlign w:val="center"/>
          </w:tcPr>
          <w:p>
            <w:pPr>
              <w:jc w:val="center"/>
              <w:rPr>
                <w:rFonts w:hint="default" w:ascii="宋体" w:hAnsi="宋体" w:cs="宋体"/>
                <w:color w:val="000000"/>
                <w:sz w:val="21"/>
                <w:szCs w:val="18"/>
                <w:lang w:val="en-US" w:eastAsia="zh-CN"/>
              </w:rPr>
            </w:pPr>
            <w:r>
              <w:rPr>
                <w:rFonts w:hint="eastAsia" w:ascii="宋体" w:hAnsi="宋体" w:cs="宋体"/>
                <w:color w:val="000000"/>
                <w:sz w:val="21"/>
                <w:szCs w:val="18"/>
                <w:lang w:val="en-US" w:eastAsia="zh-CN"/>
              </w:rPr>
              <w:t>/</w:t>
            </w:r>
          </w:p>
        </w:tc>
        <w:tc>
          <w:tcPr>
            <w:tcW w:w="331"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1220"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45" w:type="pct"/>
            <w:noWrap w:val="0"/>
            <w:vAlign w:val="center"/>
          </w:tcPr>
          <w:p>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pPr>
              <w:rPr>
                <w:rFonts w:hint="eastAsia" w:ascii="宋体" w:hAnsi="宋体" w:cs="宋体"/>
                <w:color w:val="FF0000"/>
                <w:sz w:val="21"/>
                <w:szCs w:val="18"/>
              </w:rPr>
            </w:pPr>
            <w:r>
              <w:rPr>
                <w:rFonts w:hint="eastAsia" w:ascii="宋体" w:hAnsi="宋体" w:cs="宋体"/>
                <w:color w:val="FF0000"/>
                <w:sz w:val="21"/>
                <w:szCs w:val="18"/>
              </w:rPr>
              <w:t>2</w:t>
            </w:r>
          </w:p>
        </w:tc>
        <w:tc>
          <w:tcPr>
            <w:tcW w:w="553" w:type="pct"/>
            <w:noWrap w:val="0"/>
            <w:vAlign w:val="center"/>
          </w:tcPr>
          <w:p>
            <w:pPr>
              <w:jc w:val="center"/>
              <w:rPr>
                <w:rFonts w:hint="eastAsia" w:ascii="宋体" w:hAnsi="宋体" w:cs="宋体"/>
                <w:color w:val="000000"/>
                <w:sz w:val="21"/>
                <w:szCs w:val="18"/>
              </w:rPr>
            </w:pPr>
          </w:p>
        </w:tc>
        <w:tc>
          <w:tcPr>
            <w:tcW w:w="215" w:type="pct"/>
            <w:noWrap w:val="0"/>
            <w:vAlign w:val="center"/>
          </w:tcPr>
          <w:p>
            <w:pPr>
              <w:jc w:val="center"/>
              <w:rPr>
                <w:rFonts w:hint="eastAsia" w:ascii="宋体" w:hAnsi="宋体" w:cs="宋体"/>
                <w:color w:val="000000"/>
                <w:sz w:val="21"/>
                <w:szCs w:val="18"/>
              </w:rPr>
            </w:pPr>
          </w:p>
        </w:tc>
        <w:tc>
          <w:tcPr>
            <w:tcW w:w="230" w:type="pct"/>
            <w:noWrap w:val="0"/>
            <w:vAlign w:val="center"/>
          </w:tcPr>
          <w:p>
            <w:pPr>
              <w:jc w:val="center"/>
              <w:rPr>
                <w:rFonts w:hint="eastAsia" w:ascii="宋体" w:hAnsi="宋体" w:cs="宋体"/>
                <w:color w:val="000000"/>
                <w:sz w:val="21"/>
                <w:szCs w:val="18"/>
              </w:rPr>
            </w:pPr>
          </w:p>
        </w:tc>
        <w:tc>
          <w:tcPr>
            <w:tcW w:w="533" w:type="pct"/>
            <w:noWrap w:val="0"/>
            <w:vAlign w:val="center"/>
          </w:tcPr>
          <w:p>
            <w:pPr>
              <w:jc w:val="center"/>
              <w:rPr>
                <w:rFonts w:hint="eastAsia" w:ascii="宋体" w:hAnsi="宋体" w:cs="宋体"/>
                <w:color w:val="000000"/>
                <w:sz w:val="21"/>
                <w:szCs w:val="18"/>
              </w:rPr>
            </w:pPr>
          </w:p>
        </w:tc>
        <w:tc>
          <w:tcPr>
            <w:tcW w:w="239" w:type="pct"/>
            <w:noWrap w:val="0"/>
            <w:vAlign w:val="center"/>
          </w:tcPr>
          <w:p>
            <w:pPr>
              <w:jc w:val="center"/>
              <w:rPr>
                <w:rFonts w:hint="eastAsia" w:ascii="宋体" w:hAnsi="宋体" w:cs="宋体"/>
                <w:color w:val="000000"/>
                <w:sz w:val="21"/>
                <w:szCs w:val="18"/>
              </w:rPr>
            </w:pPr>
          </w:p>
        </w:tc>
        <w:tc>
          <w:tcPr>
            <w:tcW w:w="487" w:type="pct"/>
            <w:noWrap w:val="0"/>
            <w:vAlign w:val="center"/>
          </w:tcPr>
          <w:p>
            <w:pPr>
              <w:jc w:val="center"/>
              <w:rPr>
                <w:rFonts w:hint="eastAsia" w:ascii="宋体" w:hAnsi="宋体" w:cs="宋体"/>
                <w:color w:val="000000"/>
                <w:sz w:val="21"/>
                <w:szCs w:val="18"/>
              </w:rPr>
            </w:pPr>
          </w:p>
        </w:tc>
        <w:tc>
          <w:tcPr>
            <w:tcW w:w="526" w:type="pct"/>
            <w:vMerge w:val="continue"/>
            <w:noWrap w:val="0"/>
            <w:vAlign w:val="center"/>
          </w:tcPr>
          <w:p>
            <w:pPr>
              <w:jc w:val="center"/>
              <w:rPr>
                <w:rFonts w:hint="eastAsia" w:ascii="宋体" w:hAnsi="宋体" w:cs="宋体"/>
                <w:color w:val="000000"/>
                <w:sz w:val="21"/>
                <w:szCs w:val="18"/>
              </w:rPr>
            </w:pPr>
          </w:p>
        </w:tc>
        <w:tc>
          <w:tcPr>
            <w:tcW w:w="331" w:type="pct"/>
            <w:noWrap w:val="0"/>
            <w:vAlign w:val="center"/>
          </w:tcPr>
          <w:p>
            <w:pPr>
              <w:jc w:val="center"/>
              <w:rPr>
                <w:rFonts w:hint="eastAsia" w:ascii="宋体" w:hAnsi="宋体" w:cs="宋体" w:eastAsiaTheme="minorEastAsia"/>
                <w:color w:val="000000"/>
                <w:sz w:val="21"/>
                <w:szCs w:val="18"/>
                <w:lang w:val="en-US" w:eastAsia="zh-CN"/>
              </w:rPr>
            </w:pPr>
          </w:p>
        </w:tc>
        <w:tc>
          <w:tcPr>
            <w:tcW w:w="1220" w:type="pct"/>
            <w:noWrap w:val="0"/>
            <w:vAlign w:val="center"/>
          </w:tcPr>
          <w:p>
            <w:pPr>
              <w:jc w:val="center"/>
              <w:rPr>
                <w:rFonts w:hint="eastAsia" w:ascii="宋体" w:hAnsi="宋体" w:cs="宋体"/>
                <w:color w:val="000000"/>
                <w:sz w:val="21"/>
                <w:szCs w:val="18"/>
              </w:rPr>
            </w:pPr>
          </w:p>
        </w:tc>
        <w:tc>
          <w:tcPr>
            <w:tcW w:w="445" w:type="pct"/>
            <w:noWrap w:val="0"/>
            <w:vAlign w:val="center"/>
          </w:tcPr>
          <w:p>
            <w:pPr>
              <w:jc w:val="center"/>
              <w:rPr>
                <w:rFonts w:hint="eastAsia" w:ascii="宋体" w:hAnsi="宋体" w:cs="宋体"/>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pPr>
              <w:rPr>
                <w:rFonts w:hint="eastAsia" w:ascii="宋体" w:hAnsi="宋体" w:cs="宋体"/>
                <w:color w:val="FF0000"/>
                <w:sz w:val="21"/>
                <w:szCs w:val="18"/>
              </w:rPr>
            </w:pPr>
            <w:r>
              <w:rPr>
                <w:rFonts w:hint="eastAsia" w:ascii="宋体" w:hAnsi="宋体" w:cs="宋体"/>
                <w:color w:val="FF0000"/>
                <w:sz w:val="21"/>
                <w:szCs w:val="18"/>
              </w:rPr>
              <w:t>3</w:t>
            </w:r>
          </w:p>
        </w:tc>
        <w:tc>
          <w:tcPr>
            <w:tcW w:w="553" w:type="pct"/>
            <w:noWrap w:val="0"/>
            <w:vAlign w:val="center"/>
          </w:tcPr>
          <w:p>
            <w:pPr>
              <w:jc w:val="center"/>
              <w:rPr>
                <w:rFonts w:hint="eastAsia" w:ascii="宋体" w:hAnsi="宋体" w:cs="宋体"/>
                <w:color w:val="000000"/>
                <w:sz w:val="21"/>
                <w:szCs w:val="18"/>
              </w:rPr>
            </w:pPr>
          </w:p>
        </w:tc>
        <w:tc>
          <w:tcPr>
            <w:tcW w:w="215" w:type="pct"/>
            <w:noWrap w:val="0"/>
            <w:vAlign w:val="center"/>
          </w:tcPr>
          <w:p>
            <w:pPr>
              <w:jc w:val="center"/>
              <w:rPr>
                <w:rFonts w:hint="eastAsia" w:ascii="宋体" w:hAnsi="宋体" w:cs="宋体"/>
                <w:color w:val="000000"/>
                <w:sz w:val="21"/>
                <w:szCs w:val="18"/>
              </w:rPr>
            </w:pPr>
          </w:p>
        </w:tc>
        <w:tc>
          <w:tcPr>
            <w:tcW w:w="230" w:type="pct"/>
            <w:noWrap w:val="0"/>
            <w:vAlign w:val="center"/>
          </w:tcPr>
          <w:p>
            <w:pPr>
              <w:jc w:val="center"/>
              <w:rPr>
                <w:rFonts w:hint="eastAsia" w:ascii="宋体" w:hAnsi="宋体" w:cs="宋体"/>
                <w:color w:val="000000"/>
                <w:sz w:val="21"/>
                <w:szCs w:val="18"/>
              </w:rPr>
            </w:pPr>
          </w:p>
        </w:tc>
        <w:tc>
          <w:tcPr>
            <w:tcW w:w="533" w:type="pct"/>
            <w:noWrap w:val="0"/>
            <w:vAlign w:val="center"/>
          </w:tcPr>
          <w:p>
            <w:pPr>
              <w:jc w:val="center"/>
              <w:rPr>
                <w:rFonts w:hint="eastAsia" w:ascii="宋体" w:hAnsi="宋体" w:cs="宋体"/>
                <w:color w:val="000000"/>
                <w:sz w:val="21"/>
                <w:szCs w:val="18"/>
              </w:rPr>
            </w:pPr>
          </w:p>
        </w:tc>
        <w:tc>
          <w:tcPr>
            <w:tcW w:w="239" w:type="pct"/>
            <w:noWrap w:val="0"/>
            <w:vAlign w:val="center"/>
          </w:tcPr>
          <w:p>
            <w:pPr>
              <w:jc w:val="center"/>
              <w:rPr>
                <w:rFonts w:hint="eastAsia" w:ascii="宋体" w:hAnsi="宋体" w:cs="宋体"/>
                <w:color w:val="000000"/>
                <w:sz w:val="21"/>
                <w:szCs w:val="18"/>
              </w:rPr>
            </w:pPr>
          </w:p>
        </w:tc>
        <w:tc>
          <w:tcPr>
            <w:tcW w:w="487" w:type="pct"/>
            <w:noWrap w:val="0"/>
            <w:vAlign w:val="center"/>
          </w:tcPr>
          <w:p>
            <w:pPr>
              <w:jc w:val="center"/>
              <w:rPr>
                <w:rFonts w:hint="eastAsia" w:ascii="宋体" w:hAnsi="宋体" w:cs="宋体"/>
                <w:color w:val="000000"/>
                <w:sz w:val="21"/>
                <w:szCs w:val="18"/>
              </w:rPr>
            </w:pPr>
          </w:p>
        </w:tc>
        <w:tc>
          <w:tcPr>
            <w:tcW w:w="526" w:type="pct"/>
            <w:vMerge w:val="continue"/>
            <w:noWrap w:val="0"/>
            <w:vAlign w:val="center"/>
          </w:tcPr>
          <w:p>
            <w:pPr>
              <w:jc w:val="center"/>
              <w:rPr>
                <w:rFonts w:hint="eastAsia" w:ascii="宋体" w:hAnsi="宋体" w:cs="宋体"/>
                <w:color w:val="000000"/>
                <w:sz w:val="21"/>
                <w:szCs w:val="18"/>
              </w:rPr>
            </w:pPr>
          </w:p>
        </w:tc>
        <w:tc>
          <w:tcPr>
            <w:tcW w:w="331" w:type="pct"/>
            <w:noWrap w:val="0"/>
            <w:vAlign w:val="center"/>
          </w:tcPr>
          <w:p>
            <w:pPr>
              <w:jc w:val="center"/>
              <w:rPr>
                <w:rFonts w:hint="eastAsia" w:ascii="宋体" w:hAnsi="宋体" w:cs="宋体"/>
                <w:color w:val="000000"/>
                <w:sz w:val="21"/>
                <w:szCs w:val="18"/>
              </w:rPr>
            </w:pPr>
          </w:p>
        </w:tc>
        <w:tc>
          <w:tcPr>
            <w:tcW w:w="1220" w:type="pct"/>
            <w:noWrap w:val="0"/>
            <w:vAlign w:val="center"/>
          </w:tcPr>
          <w:p>
            <w:pPr>
              <w:jc w:val="center"/>
              <w:rPr>
                <w:rFonts w:hint="eastAsia" w:ascii="宋体" w:hAnsi="宋体" w:cs="宋体"/>
                <w:color w:val="000000"/>
                <w:sz w:val="21"/>
                <w:szCs w:val="18"/>
              </w:rPr>
            </w:pPr>
          </w:p>
        </w:tc>
        <w:tc>
          <w:tcPr>
            <w:tcW w:w="445" w:type="pct"/>
            <w:noWrap w:val="0"/>
            <w:vAlign w:val="center"/>
          </w:tcPr>
          <w:p>
            <w:pPr>
              <w:jc w:val="center"/>
              <w:rPr>
                <w:rFonts w:hint="eastAsia" w:ascii="宋体" w:hAnsi="宋体" w:cs="宋体"/>
                <w:color w:val="00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pPr>
              <w:rPr>
                <w:rFonts w:hint="eastAsia" w:ascii="宋体" w:hAnsi="宋体" w:cs="宋体"/>
                <w:color w:val="000000"/>
                <w:sz w:val="21"/>
                <w:szCs w:val="18"/>
              </w:rPr>
            </w:pPr>
          </w:p>
        </w:tc>
        <w:tc>
          <w:tcPr>
            <w:tcW w:w="4784" w:type="pct"/>
            <w:gridSpan w:val="10"/>
            <w:noWrap w:val="0"/>
            <w:vAlign w:val="center"/>
          </w:tcPr>
          <w:p>
            <w:pPr>
              <w:rPr>
                <w:rFonts w:hint="eastAsia" w:ascii="宋体" w:hAnsi="宋体" w:cs="宋体"/>
                <w:color w:val="000000"/>
                <w:sz w:val="21"/>
                <w:szCs w:val="18"/>
              </w:rPr>
            </w:pPr>
            <w:r>
              <w:rPr>
                <w:rFonts w:hint="eastAsia" w:ascii="宋体" w:hAnsi="宋体" w:cs="宋体"/>
                <w:color w:val="000000"/>
                <w:sz w:val="21"/>
                <w:szCs w:val="18"/>
              </w:rPr>
              <w:t>预估设备全生命周期所消耗耗材       万元（全生命周期按五年测算）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pPr>
              <w:rPr>
                <w:rFonts w:hint="eastAsia" w:ascii="宋体" w:hAnsi="宋体" w:cs="宋体"/>
                <w:color w:val="000000"/>
                <w:sz w:val="21"/>
                <w:szCs w:val="18"/>
              </w:rPr>
            </w:pPr>
          </w:p>
        </w:tc>
        <w:tc>
          <w:tcPr>
            <w:tcW w:w="4784" w:type="pct"/>
            <w:gridSpan w:val="10"/>
            <w:noWrap w:val="0"/>
            <w:vAlign w:val="center"/>
          </w:tcPr>
          <w:p>
            <w:pPr>
              <w:rPr>
                <w:rFonts w:hint="eastAsia" w:ascii="宋体" w:hAnsi="宋体" w:cs="宋体"/>
                <w:color w:val="000000"/>
                <w:sz w:val="21"/>
                <w:szCs w:val="18"/>
                <w:lang w:eastAsia="zh-CN"/>
              </w:rPr>
            </w:pPr>
            <w:r>
              <w:rPr>
                <w:rFonts w:hint="eastAsia" w:ascii="宋体" w:hAnsi="宋体" w:cs="宋体"/>
                <w:color w:val="000000"/>
                <w:sz w:val="21"/>
                <w:szCs w:val="18"/>
              </w:rPr>
              <w:t>投标人须按表格完整填写内容。“耗材名称”和“最小计量单位市场单价（元）”由采购人填写，其余由投标人填写，投标人填写内容除须对应采购人所列明的外,若设备在投入使用中还需其他试剂的，投标人也应补充填写完整，如未填写或填写不完整相关评分项不得分。“报价（元）”不得高于本表格的“市场单价（元）”，否则作投标无效处理。</w:t>
            </w:r>
            <w:r>
              <w:rPr>
                <w:rFonts w:hint="eastAsia" w:ascii="宋体" w:hAnsi="宋体" w:cs="宋体"/>
                <w:color w:val="000000"/>
                <w:sz w:val="21"/>
                <w:szCs w:val="18"/>
                <w:lang w:eastAsia="zh-CN"/>
              </w:rPr>
              <w:t>（</w:t>
            </w:r>
            <w:r>
              <w:rPr>
                <w:rFonts w:hint="eastAsia" w:ascii="宋体" w:hAnsi="宋体" w:cs="宋体"/>
                <w:color w:val="000000"/>
                <w:sz w:val="21"/>
                <w:szCs w:val="18"/>
                <w:lang w:val="en-US" w:eastAsia="zh-CN"/>
              </w:rPr>
              <w:t xml:space="preserve"> 若投标产品涉及所需医用耗材类产品，也需放入对应《医疗器械备案凭证》</w:t>
            </w:r>
            <w:r>
              <w:rPr>
                <w:rFonts w:hint="eastAsia" w:ascii="宋体" w:hAnsi="宋体" w:cs="宋体"/>
                <w:color w:val="000000"/>
                <w:sz w:val="21"/>
                <w:szCs w:val="18"/>
                <w:lang w:eastAsia="zh-CN"/>
              </w:rPr>
              <w:t>）</w:t>
            </w:r>
          </w:p>
          <w:p>
            <w:pPr>
              <w:rPr>
                <w:rFonts w:hint="eastAsia" w:ascii="宋体" w:hAnsi="宋体" w:cs="宋体"/>
                <w:color w:val="000000"/>
                <w:sz w:val="21"/>
                <w:szCs w:val="18"/>
              </w:rPr>
            </w:pPr>
          </w:p>
        </w:tc>
      </w:tr>
    </w:tbl>
    <w:p>
      <w:pPr>
        <w:ind w:firstLine="422" w:firstLineChars="200"/>
        <w:rPr>
          <w:rFonts w:hint="eastAsia" w:asciiTheme="minorEastAsia" w:hAnsiTheme="minorEastAsia" w:eastAsiaTheme="minorEastAsia" w:cstheme="minorEastAsia"/>
          <w:b/>
          <w:color w:val="FF0000"/>
          <w:sz w:val="21"/>
          <w:szCs w:val="21"/>
        </w:rPr>
      </w:pPr>
    </w:p>
    <w:p>
      <w:pPr>
        <w:ind w:firstLine="422" w:firstLineChars="200"/>
        <w:rPr>
          <w:rFonts w:hint="eastAsia" w:asciiTheme="minorEastAsia" w:hAnsiTheme="minorEastAsia" w:eastAsiaTheme="minorEastAsia" w:cstheme="minorEastAsia"/>
          <w:b/>
          <w:color w:val="FF0000"/>
          <w:sz w:val="21"/>
          <w:szCs w:val="21"/>
        </w:rPr>
      </w:pPr>
    </w:p>
    <w:p>
      <w:pPr>
        <w:ind w:firstLine="422" w:firstLineChars="200"/>
        <w:rPr>
          <w:rFonts w:hint="eastAsia" w:asciiTheme="minorEastAsia" w:hAnsiTheme="minorEastAsia" w:eastAsiaTheme="minorEastAsia" w:cstheme="minorEastAsia"/>
          <w:b/>
          <w:color w:val="FF0000"/>
          <w:sz w:val="21"/>
          <w:szCs w:val="21"/>
        </w:rPr>
      </w:pPr>
    </w:p>
    <w:p>
      <w:pPr>
        <w:spacing w:line="420" w:lineRule="exact"/>
        <w:outlineLvl w:val="3"/>
        <w:rPr>
          <w:rFonts w:hint="eastAsia" w:asciiTheme="minorEastAsia" w:hAnsiTheme="minorEastAsia" w:cstheme="minorEastAsia"/>
          <w:b/>
          <w:sz w:val="21"/>
          <w:szCs w:val="21"/>
          <w:lang w:val="en-US" w:eastAsia="zh-CN"/>
        </w:rPr>
      </w:pPr>
      <w:bookmarkStart w:id="34" w:name="_Toc45995263"/>
      <w:bookmarkStart w:id="35" w:name="_Toc36971355"/>
      <w:bookmarkStart w:id="36" w:name="_Toc7167"/>
      <w:bookmarkStart w:id="37" w:name="_Hlk72257530"/>
    </w:p>
    <w:p>
      <w:pPr>
        <w:pStyle w:val="2"/>
        <w:rPr>
          <w:rFonts w:hint="eastAsia"/>
          <w:lang w:val="en-US" w:eastAsia="zh-CN"/>
        </w:rPr>
      </w:pPr>
    </w:p>
    <w:p>
      <w:pPr>
        <w:pStyle w:val="2"/>
        <w:rPr>
          <w:rFonts w:hint="eastAsia"/>
          <w:lang w:val="en-US" w:eastAsia="zh-CN"/>
        </w:rPr>
      </w:pPr>
    </w:p>
    <w:p>
      <w:pPr>
        <w:pStyle w:val="2"/>
        <w:rPr>
          <w:rFonts w:hint="eastAsia"/>
          <w:lang w:val="en-US" w:eastAsia="zh-CN"/>
        </w:rPr>
      </w:pPr>
    </w:p>
    <w:bookmarkEnd w:id="34"/>
    <w:bookmarkEnd w:id="35"/>
    <w:p>
      <w:pPr>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pPr>
        <w:numPr>
          <w:ilvl w:val="0"/>
          <w:numId w:val="0"/>
        </w:numPr>
        <w:spacing w:line="420" w:lineRule="exact"/>
        <w:outlineLvl w:val="3"/>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lang w:val="en-US" w:eastAsia="zh-CN"/>
        </w:rPr>
        <w:t>技术要求偏离表</w:t>
      </w:r>
      <w:bookmarkEnd w:id="36"/>
    </w:p>
    <w:tbl>
      <w:tblPr>
        <w:tblStyle w:val="26"/>
        <w:tblW w:w="51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807"/>
        <w:gridCol w:w="2570"/>
        <w:gridCol w:w="1206"/>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0" w:type="pct"/>
            <w:vAlign w:val="center"/>
          </w:tcPr>
          <w:p>
            <w:pPr>
              <w:jc w:val="center"/>
              <w:rPr>
                <w:rFonts w:hint="eastAsia" w:ascii="宋体" w:hAnsi="宋体" w:cs="宋体"/>
                <w:b/>
                <w:bCs/>
                <w:kern w:val="0"/>
                <w:szCs w:val="21"/>
              </w:rPr>
            </w:pPr>
            <w:r>
              <w:rPr>
                <w:rFonts w:hint="eastAsia" w:ascii="宋体" w:hAnsi="宋体" w:cs="宋体"/>
                <w:b/>
                <w:bCs/>
                <w:kern w:val="0"/>
                <w:szCs w:val="21"/>
              </w:rPr>
              <w:t>招标文件条目号</w:t>
            </w:r>
          </w:p>
        </w:tc>
        <w:tc>
          <w:tcPr>
            <w:tcW w:w="1597" w:type="pct"/>
            <w:vAlign w:val="center"/>
          </w:tcPr>
          <w:p>
            <w:pPr>
              <w:jc w:val="center"/>
              <w:rPr>
                <w:rFonts w:hint="eastAsia" w:ascii="宋体" w:hAnsi="宋体" w:cs="宋体"/>
                <w:b/>
                <w:bCs/>
                <w:kern w:val="0"/>
                <w:szCs w:val="21"/>
              </w:rPr>
            </w:pPr>
            <w:r>
              <w:rPr>
                <w:rFonts w:hint="eastAsia" w:ascii="宋体" w:hAnsi="宋体" w:cs="宋体"/>
                <w:b/>
                <w:bCs/>
                <w:kern w:val="0"/>
                <w:szCs w:val="21"/>
              </w:rPr>
              <w:t>招标技术要求</w:t>
            </w:r>
          </w:p>
        </w:tc>
        <w:tc>
          <w:tcPr>
            <w:tcW w:w="1462" w:type="pct"/>
            <w:vAlign w:val="center"/>
          </w:tcPr>
          <w:p>
            <w:pPr>
              <w:jc w:val="center"/>
              <w:rPr>
                <w:rFonts w:ascii="宋体" w:hAnsi="宋体" w:cs="宋体"/>
                <w:b/>
                <w:szCs w:val="21"/>
              </w:rPr>
            </w:pPr>
            <w:r>
              <w:rPr>
                <w:rFonts w:hint="eastAsia" w:ascii="宋体" w:hAnsi="宋体" w:cs="宋体"/>
                <w:b/>
                <w:szCs w:val="21"/>
              </w:rPr>
              <w:t>投标响应</w:t>
            </w:r>
          </w:p>
          <w:p>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投标人根据实际情况在此列进行响应</w:t>
            </w:r>
            <w:r>
              <w:rPr>
                <w:rFonts w:hint="eastAsia" w:ascii="宋体" w:hAnsi="宋体" w:cs="宋体"/>
                <w:b/>
                <w:szCs w:val="21"/>
              </w:rPr>
              <w:t>）</w:t>
            </w:r>
          </w:p>
        </w:tc>
        <w:tc>
          <w:tcPr>
            <w:tcW w:w="686" w:type="pct"/>
            <w:vAlign w:val="center"/>
          </w:tcPr>
          <w:p>
            <w:pPr>
              <w:jc w:val="center"/>
              <w:rPr>
                <w:rFonts w:ascii="宋体" w:hAnsi="宋体" w:cs="宋体"/>
                <w:b/>
                <w:szCs w:val="21"/>
              </w:rPr>
            </w:pPr>
            <w:r>
              <w:rPr>
                <w:rFonts w:hint="eastAsia" w:ascii="宋体" w:hAnsi="宋体" w:cs="宋体"/>
                <w:b/>
                <w:szCs w:val="21"/>
              </w:rPr>
              <w:t>偏离情况</w:t>
            </w:r>
          </w:p>
          <w:p>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填“正偏离”或“无偏离”或“负偏离”</w:t>
            </w:r>
            <w:r>
              <w:rPr>
                <w:rFonts w:hint="eastAsia" w:ascii="宋体" w:hAnsi="宋体" w:cs="宋体"/>
                <w:b/>
                <w:szCs w:val="21"/>
              </w:rPr>
              <w:t>）</w:t>
            </w:r>
          </w:p>
        </w:tc>
        <w:tc>
          <w:tcPr>
            <w:tcW w:w="792" w:type="pct"/>
            <w:vAlign w:val="center"/>
          </w:tcPr>
          <w:p>
            <w:pPr>
              <w:jc w:val="center"/>
              <w:rPr>
                <w:rFonts w:hint="eastAsia" w:ascii="宋体" w:hAnsi="宋体" w:cs="宋体" w:eastAsiaTheme="minorEastAsia"/>
                <w:b/>
                <w:szCs w:val="21"/>
                <w:lang w:eastAsia="zh-CN"/>
              </w:rPr>
            </w:pPr>
            <w:r>
              <w:rPr>
                <w:rFonts w:hint="eastAsia" w:ascii="宋体" w:hAnsi="宋体" w:cs="宋体"/>
                <w:b/>
                <w:szCs w:val="21"/>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Align w:val="center"/>
          </w:tcPr>
          <w:p>
            <w:pPr>
              <w:jc w:val="center"/>
              <w:rPr>
                <w:rFonts w:hint="eastAsia" w:ascii="宋体" w:hAnsi="宋体" w:cs="宋体"/>
                <w:b/>
                <w:bCs/>
                <w:kern w:val="0"/>
                <w:szCs w:val="21"/>
              </w:rPr>
            </w:pPr>
            <w:r>
              <w:rPr>
                <w:rFonts w:hint="eastAsia" w:ascii="宋体" w:hAnsi="宋体" w:cs="宋体"/>
                <w:b/>
                <w:bCs/>
                <w:kern w:val="0"/>
                <w:szCs w:val="21"/>
                <w:lang w:val="en-US" w:eastAsia="zh-CN"/>
              </w:rPr>
              <w:t>一、用途：</w:t>
            </w:r>
          </w:p>
        </w:tc>
        <w:tc>
          <w:tcPr>
            <w:tcW w:w="1597" w:type="pct"/>
            <w:vAlign w:val="center"/>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用于样本分析前对血液或其他体液的染色。</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restart"/>
            <w:vAlign w:val="center"/>
          </w:tcPr>
          <w:p>
            <w:pPr>
              <w:jc w:val="center"/>
              <w:rPr>
                <w:rFonts w:hint="eastAsia" w:ascii="宋体" w:hAnsi="宋体" w:cs="宋体"/>
                <w:b/>
                <w:bCs/>
                <w:kern w:val="0"/>
                <w:szCs w:val="21"/>
              </w:rPr>
            </w:pPr>
            <w:r>
              <w:rPr>
                <w:rFonts w:hint="eastAsia" w:ascii="宋体" w:hAnsi="宋体" w:cs="宋体"/>
                <w:b/>
                <w:bCs/>
                <w:kern w:val="0"/>
                <w:szCs w:val="21"/>
                <w:lang w:val="en-US" w:eastAsia="zh-CN"/>
              </w:rPr>
              <w:t>二、主要技术及系统要求：</w:t>
            </w: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1.设备用途：用于微生物涂片的自动化革兰氏染色和抗酸染色。</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2.▲染色模式：采用注液离心浸染方式，染液喷嘴口径大，避免堵孔。</w:t>
            </w:r>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3.染色功能：二合一功能设计；采用经典四步法的革兰氏染色和抗酸染色（萋尼氏法/冷染法/荧光法、三选一），其中内置加热模块用于抗酸染色（萋尼氏法）。</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4.具有触摸屏显示。</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5.可设置中文操作界面。</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6.染色进度条可实时显示。</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7.染色程序可调节染液注入时间，染色等待时间。</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8.染色舱内玻片架采用镀层处理，确保玻片架不被染液侵蚀；</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9.每种试剂有单独输送管路，泵和喷嘴，避免交叉污染；</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10.染色完成时，染片已经过离心干燥，可直接用于镜检。</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11.▲具备水平仪设计，用于调整设备安装的水平位置，垂直位置。</w:t>
            </w:r>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12.▲染片量：≥16张片/轮。</w:t>
            </w:r>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13.▲染色速度：革兰氏染色≥80片/小时，抗酸染色（萋尼氏法）≥90片/小时，抗酸染色（冷染法）≥60片/小时，抗酸染色（荧光法）≥48片/小时。</w:t>
            </w:r>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14.染色液用量：≤2mL/片。</w:t>
            </w:r>
          </w:p>
        </w:tc>
        <w:tc>
          <w:tcPr>
            <w:tcW w:w="1462" w:type="pct"/>
            <w:vAlign w:val="center"/>
          </w:tcPr>
          <w:p>
            <w:pPr>
              <w:pStyle w:val="25"/>
              <w:ind w:left="0" w:leftChars="0" w:firstLine="0" w:firstLineChars="0"/>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widowControl/>
              <w:jc w:val="center"/>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15.提供染色用标准玻片，用于仪器染色效果评估以及性能验证。</w:t>
            </w:r>
          </w:p>
        </w:tc>
        <w:tc>
          <w:tcPr>
            <w:tcW w:w="1462" w:type="pct"/>
            <w:vAlign w:val="center"/>
          </w:tcPr>
          <w:p>
            <w:pPr>
              <w:pStyle w:val="25"/>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hint="eastAsia" w:asciiTheme="minorEastAsia" w:hAnsiTheme="minorEastAsia" w:eastAsiaTheme="minorEastAsia" w:cstheme="minorEastAsia"/>
                <w:b/>
                <w:bCs/>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pStyle w:val="25"/>
              <w:ind w:left="0" w:leftChars="0" w:firstLine="0" w:firstLineChars="0"/>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16.提供玻片处理仪，用于染色完成时玻片的干燥。</w:t>
            </w:r>
          </w:p>
        </w:tc>
        <w:tc>
          <w:tcPr>
            <w:tcW w:w="1462" w:type="pct"/>
            <w:vAlign w:val="center"/>
          </w:tcPr>
          <w:p>
            <w:pPr>
              <w:pStyle w:val="25"/>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hint="eastAsia" w:asciiTheme="minorEastAsia" w:hAnsiTheme="minorEastAsia" w:eastAsiaTheme="minorEastAsia" w:cstheme="minorEastAsia"/>
                <w:b/>
                <w:bCs/>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pStyle w:val="25"/>
              <w:ind w:left="0" w:leftChars="0" w:firstLine="0" w:firstLineChars="0"/>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17.▲安全性能：只有盖子闭合时才能进行操作，仪器运行时自动开启电子锁。</w:t>
            </w:r>
            <w:r>
              <w:rPr>
                <w:rFonts w:hint="eastAsia" w:ascii="宋体" w:hAnsi="宋体" w:eastAsia="宋体" w:cs="宋体"/>
                <w:color w:val="FF0000"/>
                <w:sz w:val="24"/>
                <w:szCs w:val="24"/>
                <w:highlight w:val="none"/>
                <w:lang w:val="en-US" w:eastAsia="zh-CN"/>
              </w:rPr>
              <w:t>【提供加盖生产商公章的产品彩页或使用说明书作为证明材料，投标人需在证明材料中标注相应参数，未按要求标注的，评委可按负偏离处理】</w:t>
            </w:r>
          </w:p>
        </w:tc>
        <w:tc>
          <w:tcPr>
            <w:tcW w:w="1462" w:type="pct"/>
            <w:vAlign w:val="center"/>
          </w:tcPr>
          <w:p>
            <w:pPr>
              <w:pStyle w:val="25"/>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hint="eastAsia" w:asciiTheme="minorEastAsia" w:hAnsiTheme="minorEastAsia" w:eastAsiaTheme="minorEastAsia" w:cstheme="minorEastAsia"/>
                <w:b/>
                <w:bCs/>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pStyle w:val="25"/>
              <w:ind w:left="0" w:leftChars="0" w:firstLine="0" w:firstLineChars="0"/>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18.低速离心：0～400rpm，保证操作人员的安全。</w:t>
            </w:r>
          </w:p>
        </w:tc>
        <w:tc>
          <w:tcPr>
            <w:tcW w:w="1462" w:type="pct"/>
            <w:vAlign w:val="center"/>
          </w:tcPr>
          <w:p>
            <w:pPr>
              <w:pStyle w:val="25"/>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hint="eastAsia" w:asciiTheme="minorEastAsia" w:hAnsiTheme="minorEastAsia" w:eastAsiaTheme="minorEastAsia" w:cstheme="minorEastAsia"/>
                <w:b/>
                <w:bCs/>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pStyle w:val="25"/>
              <w:ind w:left="0" w:leftChars="0" w:firstLine="0" w:firstLineChars="0"/>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19.日常维护：染色机带有自动清洗功能，无需人工清洗。</w:t>
            </w:r>
          </w:p>
        </w:tc>
        <w:tc>
          <w:tcPr>
            <w:tcW w:w="1462" w:type="pct"/>
            <w:vAlign w:val="center"/>
          </w:tcPr>
          <w:p>
            <w:pPr>
              <w:pStyle w:val="25"/>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hint="eastAsia" w:asciiTheme="minorEastAsia" w:hAnsiTheme="minorEastAsia" w:eastAsiaTheme="minorEastAsia" w:cstheme="minorEastAsia"/>
                <w:b/>
                <w:bCs/>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pStyle w:val="25"/>
              <w:ind w:left="0" w:leftChars="0" w:firstLine="0" w:firstLineChars="0"/>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20.具备液量报警系统。</w:t>
            </w:r>
          </w:p>
        </w:tc>
        <w:tc>
          <w:tcPr>
            <w:tcW w:w="1462" w:type="pct"/>
            <w:vAlign w:val="center"/>
          </w:tcPr>
          <w:p>
            <w:pPr>
              <w:pStyle w:val="25"/>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hint="eastAsia" w:asciiTheme="minorEastAsia" w:hAnsiTheme="minorEastAsia" w:eastAsiaTheme="minorEastAsia" w:cstheme="minorEastAsia"/>
                <w:b/>
                <w:bCs/>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Merge w:val="continue"/>
            <w:vAlign w:val="center"/>
          </w:tcPr>
          <w:p>
            <w:pPr>
              <w:pStyle w:val="25"/>
              <w:ind w:left="0" w:leftChars="0" w:firstLine="0" w:firstLineChars="0"/>
              <w:rPr>
                <w:rFonts w:ascii="宋体" w:hAnsi="宋体" w:cs="宋体"/>
                <w:b/>
                <w:bCs/>
                <w:kern w:val="0"/>
                <w:sz w:val="22"/>
              </w:rPr>
            </w:pPr>
          </w:p>
        </w:tc>
        <w:tc>
          <w:tcPr>
            <w:tcW w:w="1597" w:type="pct"/>
            <w:vAlign w:val="center"/>
          </w:tcPr>
          <w:p>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21.具备故障报警系统。</w:t>
            </w:r>
          </w:p>
        </w:tc>
        <w:tc>
          <w:tcPr>
            <w:tcW w:w="1462" w:type="pct"/>
            <w:vAlign w:val="center"/>
          </w:tcPr>
          <w:p>
            <w:pPr>
              <w:pStyle w:val="25"/>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hint="eastAsia" w:asciiTheme="minorEastAsia" w:hAnsiTheme="minorEastAsia" w:eastAsiaTheme="minorEastAsia" w:cstheme="minorEastAsia"/>
                <w:b/>
                <w:bCs/>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0" w:type="pct"/>
            <w:vAlign w:val="center"/>
          </w:tcPr>
          <w:p>
            <w:pPr>
              <w:widowControl/>
              <w:jc w:val="center"/>
              <w:rPr>
                <w:rFonts w:ascii="宋体" w:hAnsi="宋体" w:cs="宋体"/>
                <w:b/>
                <w:bCs/>
                <w:kern w:val="0"/>
                <w:sz w:val="22"/>
              </w:rPr>
            </w:pPr>
            <w:r>
              <w:rPr>
                <w:rFonts w:hint="eastAsia" w:ascii="宋体" w:hAnsi="宋体" w:cs="宋体"/>
                <w:b/>
                <w:bCs/>
                <w:color w:val="FF0000"/>
                <w:kern w:val="0"/>
                <w:szCs w:val="21"/>
                <w:highlight w:val="none"/>
                <w:lang w:val="en-US" w:eastAsia="zh-CN"/>
              </w:rPr>
              <w:t>★</w:t>
            </w:r>
            <w:r>
              <w:rPr>
                <w:rFonts w:hint="eastAsia" w:ascii="宋体" w:hAnsi="宋体" w:cs="宋体"/>
                <w:b/>
                <w:bCs/>
                <w:kern w:val="0"/>
                <w:szCs w:val="21"/>
                <w:lang w:val="en-US" w:eastAsia="zh-CN"/>
              </w:rPr>
              <w:t>三、标准配置要求：</w:t>
            </w:r>
          </w:p>
        </w:tc>
        <w:tc>
          <w:tcPr>
            <w:tcW w:w="1597" w:type="pct"/>
            <w:vAlign w:val="center"/>
          </w:tcPr>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1.主机1台</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2.电源线1条</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3.备用保险丝3A1个</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4.备用保险丝15A1个</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5.废液管1根</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6.废液桶2个</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7.清水瓶1个</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8.试剂瓶座1个</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9.试剂瓶盖及连接管5个</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10.玻片处理器1个</w:t>
            </w:r>
          </w:p>
          <w:p>
            <w:pPr>
              <w:numPr>
                <w:ilvl w:val="0"/>
                <w:numId w:val="0"/>
              </w:num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11.染色用标准玻片1个</w:t>
            </w:r>
          </w:p>
        </w:tc>
        <w:tc>
          <w:tcPr>
            <w:tcW w:w="1462" w:type="pct"/>
            <w:vAlign w:val="center"/>
          </w:tcPr>
          <w:p>
            <w:pPr>
              <w:spacing w:line="300" w:lineRule="exact"/>
              <w:jc w:val="center"/>
              <w:rPr>
                <w:rFonts w:ascii="宋体" w:hAnsi="宋体" w:cs="宋体"/>
                <w:b/>
                <w:bCs/>
                <w:kern w:val="0"/>
                <w:sz w:val="22"/>
              </w:rPr>
            </w:pPr>
          </w:p>
        </w:tc>
        <w:tc>
          <w:tcPr>
            <w:tcW w:w="686" w:type="pct"/>
            <w:vAlign w:val="center"/>
          </w:tcPr>
          <w:p>
            <w:pPr>
              <w:spacing w:line="300" w:lineRule="exact"/>
              <w:jc w:val="center"/>
              <w:rPr>
                <w:rFonts w:ascii="宋体" w:hAnsi="宋体" w:cs="宋体"/>
                <w:b/>
                <w:bCs/>
                <w:kern w:val="0"/>
                <w:sz w:val="22"/>
              </w:rPr>
            </w:pPr>
          </w:p>
        </w:tc>
        <w:tc>
          <w:tcPr>
            <w:tcW w:w="792" w:type="pct"/>
            <w:vAlign w:val="center"/>
          </w:tcPr>
          <w:p>
            <w:pPr>
              <w:widowControl/>
              <w:jc w:val="center"/>
              <w:rPr>
                <w:rFonts w:ascii="宋体" w:hAnsi="宋体" w:cs="宋体"/>
                <w:kern w:val="0"/>
                <w:sz w:val="22"/>
              </w:rPr>
            </w:pPr>
          </w:p>
        </w:tc>
      </w:tr>
    </w:tbl>
    <w:p>
      <w:pPr>
        <w:rPr>
          <w:rFonts w:hint="eastAsia" w:asciiTheme="minorEastAsia" w:hAnsiTheme="minorEastAsia" w:eastAsiaTheme="minorEastAsia" w:cstheme="minorEastAsia"/>
          <w:b/>
          <w:color w:val="FF0000"/>
          <w:sz w:val="21"/>
          <w:szCs w:val="21"/>
        </w:rPr>
      </w:pPr>
      <w:bookmarkStart w:id="38" w:name="_Hlk72096176"/>
      <w:r>
        <w:rPr>
          <w:rFonts w:hint="eastAsia" w:asciiTheme="minorEastAsia" w:hAnsiTheme="minorEastAsia" w:eastAsiaTheme="minorEastAsia" w:cstheme="minorEastAsia"/>
          <w:b/>
          <w:color w:val="FF0000"/>
          <w:sz w:val="21"/>
          <w:szCs w:val="21"/>
        </w:rPr>
        <w:t>《技术要求偏离表》编制指引：</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1、技术要求偏离表的序号、货物名称、招标技术要求等栏目</w:t>
      </w:r>
      <w:bookmarkStart w:id="39" w:name="_Hlk72094407"/>
      <w:r>
        <w:rPr>
          <w:rFonts w:hint="eastAsia" w:asciiTheme="minorEastAsia" w:hAnsiTheme="minorEastAsia" w:eastAsiaTheme="minorEastAsia" w:cstheme="minorEastAsia"/>
          <w:b/>
          <w:color w:val="FF0000"/>
          <w:sz w:val="21"/>
          <w:szCs w:val="21"/>
        </w:rPr>
        <w:t>对应“用户需求书”中的“技术要求”章节</w:t>
      </w:r>
      <w:bookmarkEnd w:id="39"/>
      <w:r>
        <w:rPr>
          <w:rFonts w:hint="eastAsia" w:asciiTheme="minorEastAsia" w:hAnsiTheme="minorEastAsia" w:eastAsiaTheme="minorEastAsia" w:cstheme="minorEastAsia"/>
          <w:b/>
          <w:color w:val="FF0000"/>
          <w:sz w:val="21"/>
          <w:szCs w:val="21"/>
        </w:rPr>
        <w:t>相关内容。</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2、“投标技术响应”一栏必须一一对照“招标技术要求”，详细填写投标人自身投标货物的具体参数，而不能不合理照搬照抄招标文件的技术要求，以体现具体响应情况。</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3、</w:t>
      </w:r>
      <w:bookmarkStart w:id="40" w:name="_Hlk72158270"/>
      <w:r>
        <w:rPr>
          <w:rFonts w:hint="eastAsia" w:asciiTheme="minorEastAsia" w:hAnsiTheme="minorEastAsia" w:eastAsiaTheme="minorEastAsia" w:cstheme="minorEastAsia"/>
          <w:b/>
          <w:color w:val="FF0000"/>
          <w:sz w:val="21"/>
          <w:szCs w:val="21"/>
        </w:rPr>
        <w:t>“偏离情况”</w:t>
      </w:r>
      <w:bookmarkEnd w:id="40"/>
      <w:r>
        <w:rPr>
          <w:rFonts w:hint="eastAsia" w:asciiTheme="minorEastAsia" w:hAnsiTheme="minorEastAsia" w:eastAsiaTheme="minorEastAsia" w:cstheme="minorEastAsia"/>
          <w:b/>
          <w:color w:val="FF0000"/>
          <w:sz w:val="21"/>
          <w:szCs w:val="21"/>
        </w:rPr>
        <w:t>一栏填写如实填写“正偏离”、“负偏离”或“无偏离”，其中：</w:t>
      </w:r>
      <w:bookmarkStart w:id="41" w:name="_Hlk72093866"/>
      <w:r>
        <w:rPr>
          <w:rFonts w:hint="eastAsia" w:asciiTheme="minorEastAsia" w:hAnsiTheme="minorEastAsia" w:eastAsiaTheme="minorEastAsia" w:cstheme="minorEastAsia"/>
          <w:b/>
          <w:color w:val="FF0000"/>
          <w:sz w:val="21"/>
          <w:szCs w:val="21"/>
        </w:rPr>
        <w:t>“正偏离”表示“投标响应优于招标技术要求”，“负偏离”表示“投标响应不满足招标技术要求”，“无偏离”表示“投标响应与招标技术要求一致”</w:t>
      </w:r>
      <w:bookmarkEnd w:id="41"/>
      <w:r>
        <w:rPr>
          <w:rFonts w:hint="eastAsia" w:asciiTheme="minorEastAsia" w:hAnsiTheme="minorEastAsia" w:eastAsiaTheme="minorEastAsia" w:cstheme="minorEastAsia"/>
          <w:b/>
          <w:color w:val="FF0000"/>
          <w:sz w:val="21"/>
          <w:szCs w:val="21"/>
        </w:rPr>
        <w:t>。“投标技术响应”对比“招标技术要求”存在响应不全（包括未响应整项招标技术要求或者未响应一项招标技术要求的部分内容），均视为“负偏离”。</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4、未要求提供证明资料的招标技术要求，可以不提供证明资料（如实响应即可）。</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5、</w:t>
      </w:r>
      <w:bookmarkStart w:id="42" w:name="_Hlk72096106"/>
      <w:r>
        <w:rPr>
          <w:rFonts w:hint="eastAsia" w:asciiTheme="minorEastAsia" w:hAnsiTheme="minorEastAsia" w:eastAsiaTheme="minorEastAsia" w:cstheme="minorEastAsia"/>
          <w:b/>
          <w:color w:val="FF0000"/>
          <w:sz w:val="21"/>
          <w:szCs w:val="21"/>
        </w:rPr>
        <w:t>证明资料条款响应要求</w:t>
      </w:r>
      <w:bookmarkEnd w:id="42"/>
      <w:r>
        <w:rPr>
          <w:rFonts w:hint="eastAsia" w:asciiTheme="minorEastAsia" w:hAnsiTheme="minorEastAsia" w:eastAsiaTheme="minorEastAsia" w:cstheme="minorEastAsia"/>
          <w:b/>
          <w:color w:val="FF0000"/>
          <w:sz w:val="21"/>
          <w:szCs w:val="21"/>
        </w:rPr>
        <w:t>：要求提供证明资料（且已对证明资料的形式、内容作出明确要求）进行响应的条款，应当在“</w:t>
      </w:r>
      <w:r>
        <w:rPr>
          <w:rFonts w:hint="eastAsia" w:asciiTheme="minorEastAsia" w:hAnsiTheme="minorEastAsia" w:eastAsiaTheme="minorEastAsia" w:cstheme="minorEastAsia"/>
          <w:b/>
          <w:color w:val="FF0000"/>
          <w:sz w:val="21"/>
          <w:szCs w:val="21"/>
          <w:lang w:val="en-US" w:eastAsia="zh-CN"/>
        </w:rPr>
        <w:t>佐证材料</w:t>
      </w:r>
      <w:r>
        <w:rPr>
          <w:rFonts w:hint="eastAsia" w:asciiTheme="minorEastAsia" w:hAnsiTheme="minorEastAsia" w:eastAsiaTheme="minorEastAsia" w:cstheme="minorEastAsia"/>
          <w:b/>
          <w:color w:val="FF0000"/>
          <w:sz w:val="21"/>
          <w:szCs w:val="21"/>
        </w:rPr>
        <w:t>”一栏中列明是否提供了符合要求的证明资料；</w:t>
      </w:r>
      <w:bookmarkStart w:id="43" w:name="_Hlk73558782"/>
      <w:r>
        <w:rPr>
          <w:rFonts w:hint="eastAsia" w:asciiTheme="minorEastAsia" w:hAnsiTheme="minorEastAsia" w:eastAsiaTheme="minorEastAsia" w:cstheme="minorEastAsia"/>
          <w:b/>
          <w:color w:val="FF0000"/>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4" w:name="_Hlk73558164"/>
      <w:r>
        <w:rPr>
          <w:rFonts w:hint="eastAsia" w:asciiTheme="minorEastAsia" w:hAnsiTheme="minorEastAsia" w:eastAsiaTheme="minorEastAsia" w:cstheme="minorEastAsia"/>
          <w:b/>
          <w:color w:val="FF0000"/>
          <w:sz w:val="21"/>
          <w:szCs w:val="21"/>
        </w:rPr>
        <w:t>且投标人在“偏离情况”一栏响应为“正偏离”或“无偏离”的，经评审委员会认定，将判定为负偏离。</w:t>
      </w:r>
      <w:bookmarkEnd w:id="43"/>
      <w:bookmarkEnd w:id="44"/>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证明资料的形式及其它具体要求</w:t>
      </w:r>
      <w:bookmarkEnd w:id="38"/>
      <w:r>
        <w:rPr>
          <w:rFonts w:hint="eastAsia" w:asciiTheme="minorEastAsia" w:hAnsiTheme="minorEastAsia" w:eastAsiaTheme="minorEastAsia" w:cstheme="minorEastAsia"/>
          <w:b/>
          <w:color w:val="FF0000"/>
          <w:sz w:val="21"/>
          <w:szCs w:val="21"/>
        </w:rPr>
        <w:t>：</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（1）</w:t>
      </w:r>
      <w:r>
        <w:rPr>
          <w:rFonts w:hint="eastAsia" w:asciiTheme="minorEastAsia" w:hAnsiTheme="minorEastAsia" w:eastAsiaTheme="minorEastAsia" w:cstheme="minorEastAsia"/>
          <w:b/>
          <w:color w:val="FF0000"/>
          <w:sz w:val="21"/>
          <w:szCs w:val="21"/>
        </w:rPr>
        <w:t>除照片、图片（截图）及不需加盖公章的文字说明（技术说明）外，其它证明资料均要求为原件扫描件；</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（2）</w:t>
      </w:r>
      <w:r>
        <w:rPr>
          <w:rFonts w:hint="eastAsia" w:asciiTheme="minorEastAsia" w:hAnsiTheme="minorEastAsia" w:eastAsiaTheme="minorEastAsia" w:cstheme="minorEastAsia"/>
          <w:b/>
          <w:color w:val="FF0000"/>
          <w:sz w:val="21"/>
          <w:szCs w:val="21"/>
        </w:rPr>
        <w:t>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（3）</w:t>
      </w:r>
      <w:r>
        <w:rPr>
          <w:rFonts w:hint="eastAsia" w:asciiTheme="minorEastAsia" w:hAnsiTheme="minorEastAsia" w:eastAsiaTheme="minorEastAsia" w:cstheme="minorEastAsia"/>
          <w:b/>
          <w:color w:val="FF0000"/>
          <w:sz w:val="21"/>
          <w:szCs w:val="21"/>
        </w:rPr>
        <w:t>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我国政府机构出具的产品检验和核准证件应为证件正面、背面和附件标注的全部具体内容；产品检验和核准证件的尺寸和清晰度应该能够在电脑上被阅读、识别和判断；</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其它证明资料的形式要求参照以上要求执行；</w:t>
      </w:r>
    </w:p>
    <w:p>
      <w:pPr>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FF0000"/>
          <w:sz w:val="21"/>
          <w:szCs w:val="21"/>
        </w:rPr>
        <w:t>（4）证明资料均要求原件备查。</w:t>
      </w:r>
    </w:p>
    <w:p>
      <w:pPr>
        <w:spacing w:line="420" w:lineRule="exact"/>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证明材料：</w:t>
      </w:r>
    </w:p>
    <w:bookmarkEnd w:id="37"/>
    <w:p>
      <w:pPr>
        <w:rPr>
          <w:rFonts w:hint="eastAsia" w:asciiTheme="minorEastAsia" w:hAnsiTheme="minorEastAsia" w:eastAsiaTheme="minorEastAsia" w:cstheme="minorEastAsia"/>
          <w:b/>
          <w:kern w:val="2"/>
          <w:sz w:val="21"/>
          <w:szCs w:val="21"/>
        </w:rPr>
      </w:pPr>
      <w:bookmarkStart w:id="45" w:name="_Hlk72260530"/>
      <w:bookmarkStart w:id="46" w:name="_Hlk72092499"/>
    </w:p>
    <w:p>
      <w:pPr>
        <w:rPr>
          <w:rFonts w:hint="eastAsia" w:asciiTheme="minorEastAsia" w:hAnsiTheme="minorEastAsia" w:cstheme="minorEastAsia"/>
          <w:b/>
          <w:sz w:val="24"/>
          <w:szCs w:val="24"/>
          <w:lang w:val="en-US" w:eastAsia="zh-CN"/>
        </w:rPr>
      </w:pPr>
      <w:bookmarkStart w:id="47" w:name="_Toc9255"/>
      <w:r>
        <w:rPr>
          <w:rFonts w:hint="eastAsia" w:asciiTheme="minorEastAsia" w:hAnsiTheme="minorEastAsia" w:cstheme="minorEastAsia"/>
          <w:b/>
          <w:sz w:val="24"/>
          <w:szCs w:val="24"/>
          <w:lang w:val="en-US" w:eastAsia="zh-CN"/>
        </w:rPr>
        <w:br w:type="page"/>
      </w:r>
    </w:p>
    <w:p>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sz w:val="24"/>
          <w:szCs w:val="24"/>
          <w:lang w:val="en-US" w:eastAsia="zh-CN"/>
        </w:rPr>
        <w:t>九、</w:t>
      </w:r>
      <w:r>
        <w:rPr>
          <w:rFonts w:hint="eastAsia" w:asciiTheme="minorEastAsia" w:hAnsiTheme="minorEastAsia" w:eastAsiaTheme="minorEastAsia" w:cstheme="minorEastAsia"/>
          <w:b/>
          <w:sz w:val="24"/>
          <w:szCs w:val="24"/>
          <w:lang w:val="en-US" w:eastAsia="zh-CN"/>
        </w:rPr>
        <w:t>商务</w:t>
      </w:r>
      <w:r>
        <w:rPr>
          <w:rFonts w:hint="eastAsia" w:asciiTheme="minorEastAsia" w:hAnsiTheme="minorEastAsia" w:eastAsiaTheme="minorEastAsia" w:cstheme="minorEastAsia"/>
          <w:b/>
          <w:bCs/>
          <w:sz w:val="24"/>
          <w:szCs w:val="24"/>
          <w:lang w:val="en-US" w:eastAsia="zh-CN"/>
        </w:rPr>
        <w:t>要求偏离表</w:t>
      </w:r>
    </w:p>
    <w:tbl>
      <w:tblPr>
        <w:tblStyle w:val="26"/>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143"/>
        <w:gridCol w:w="2153"/>
        <w:gridCol w:w="1993"/>
        <w:gridCol w:w="1570"/>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338" w:type="pct"/>
            <w:tcBorders>
              <w:top w:val="single" w:color="auto" w:sz="4" w:space="0"/>
            </w:tcBorders>
            <w:vAlign w:val="center"/>
          </w:tcPr>
          <w:p>
            <w:pPr>
              <w:snapToGrid w:val="0"/>
              <w:jc w:val="center"/>
              <w:rPr>
                <w:rFonts w:ascii="宋体" w:hAnsi="宋体" w:cs="宋体"/>
                <w:b/>
                <w:bCs/>
                <w:kern w:val="0"/>
                <w:szCs w:val="21"/>
                <w:u w:val="single"/>
              </w:rPr>
            </w:pPr>
            <w:r>
              <w:rPr>
                <w:rFonts w:hint="eastAsia" w:ascii="宋体" w:hAnsi="宋体" w:cs="宋体"/>
                <w:b/>
                <w:bCs/>
                <w:kern w:val="0"/>
                <w:sz w:val="22"/>
              </w:rPr>
              <w:t>招标文件条目号</w:t>
            </w:r>
          </w:p>
        </w:tc>
        <w:tc>
          <w:tcPr>
            <w:tcW w:w="1891" w:type="pct"/>
            <w:gridSpan w:val="2"/>
            <w:tcBorders>
              <w:top w:val="single" w:color="auto" w:sz="4" w:space="0"/>
            </w:tcBorders>
            <w:vAlign w:val="center"/>
          </w:tcPr>
          <w:p>
            <w:pPr>
              <w:snapToGrid w:val="0"/>
              <w:jc w:val="center"/>
              <w:rPr>
                <w:rFonts w:ascii="宋体" w:hAnsi="宋体" w:cs="宋体"/>
                <w:b/>
                <w:bCs/>
              </w:rPr>
            </w:pPr>
            <w:r>
              <w:rPr>
                <w:rFonts w:hint="eastAsia" w:ascii="宋体" w:hAnsi="宋体" w:cs="宋体"/>
                <w:b/>
                <w:bCs/>
              </w:rPr>
              <w:t>商务需求</w:t>
            </w:r>
          </w:p>
        </w:tc>
        <w:tc>
          <w:tcPr>
            <w:tcW w:w="1143" w:type="pct"/>
            <w:tcBorders>
              <w:top w:val="single" w:color="auto" w:sz="4" w:space="0"/>
            </w:tcBorders>
            <w:vAlign w:val="center"/>
          </w:tcPr>
          <w:p>
            <w:pPr>
              <w:snapToGrid w:val="0"/>
              <w:jc w:val="center"/>
              <w:rPr>
                <w:rFonts w:hint="eastAsia" w:ascii="宋体" w:hAnsi="宋体" w:cs="宋体"/>
                <w:b/>
                <w:szCs w:val="21"/>
              </w:rPr>
            </w:pPr>
            <w:r>
              <w:rPr>
                <w:rFonts w:hint="eastAsia" w:ascii="宋体" w:hAnsi="宋体" w:cs="宋体"/>
                <w:b/>
                <w:szCs w:val="21"/>
              </w:rPr>
              <w:t>投标响应</w:t>
            </w:r>
          </w:p>
          <w:p>
            <w:pPr>
              <w:snapToGrid w:val="0"/>
              <w:jc w:val="center"/>
              <w:rPr>
                <w:rFonts w:hint="eastAsia" w:ascii="宋体" w:hAnsi="宋体" w:eastAsia="宋体" w:cs="宋体"/>
                <w:b/>
                <w:szCs w:val="21"/>
                <w:lang w:eastAsia="zh-CN"/>
              </w:rPr>
            </w:pPr>
            <w:r>
              <w:rPr>
                <w:rFonts w:hint="eastAsia" w:ascii="宋体" w:hAnsi="宋体" w:cs="宋体"/>
                <w:b/>
                <w:szCs w:val="21"/>
                <w:lang w:eastAsia="zh-CN"/>
              </w:rPr>
              <w:t>（</w:t>
            </w:r>
            <w:r>
              <w:rPr>
                <w:rFonts w:hint="eastAsia" w:ascii="宋体" w:hAnsi="宋体" w:cs="宋体"/>
                <w:b/>
                <w:bCs/>
                <w:kern w:val="0"/>
                <w:szCs w:val="21"/>
              </w:rPr>
              <w:t>投标人根据实际情况在此列进行响应</w:t>
            </w:r>
            <w:r>
              <w:rPr>
                <w:rFonts w:hint="eastAsia" w:ascii="宋体" w:hAnsi="宋体" w:cs="宋体"/>
                <w:b/>
                <w:szCs w:val="21"/>
                <w:lang w:eastAsia="zh-CN"/>
              </w:rPr>
              <w:t>）</w:t>
            </w:r>
          </w:p>
        </w:tc>
        <w:tc>
          <w:tcPr>
            <w:tcW w:w="901" w:type="pct"/>
            <w:tcBorders>
              <w:top w:val="single" w:color="auto" w:sz="4" w:space="0"/>
            </w:tcBorders>
            <w:vAlign w:val="center"/>
          </w:tcPr>
          <w:p>
            <w:pPr>
              <w:snapToGrid w:val="0"/>
              <w:jc w:val="center"/>
              <w:rPr>
                <w:rFonts w:hint="eastAsia" w:ascii="宋体" w:hAnsi="宋体" w:cs="宋体"/>
                <w:b/>
                <w:szCs w:val="21"/>
              </w:rPr>
            </w:pPr>
            <w:r>
              <w:rPr>
                <w:rFonts w:hint="eastAsia" w:ascii="宋体" w:hAnsi="宋体" w:cs="宋体"/>
                <w:b/>
                <w:szCs w:val="21"/>
              </w:rPr>
              <w:t>偏离情况</w:t>
            </w:r>
          </w:p>
          <w:p>
            <w:pPr>
              <w:snapToGrid w:val="0"/>
              <w:jc w:val="center"/>
              <w:rPr>
                <w:rFonts w:ascii="宋体" w:hAnsi="宋体" w:cs="宋体"/>
                <w:b/>
                <w:bCs/>
                <w:kern w:val="0"/>
                <w:szCs w:val="21"/>
              </w:rPr>
            </w:pPr>
            <w:r>
              <w:rPr>
                <w:rFonts w:hint="eastAsia" w:ascii="宋体" w:hAnsi="宋体" w:cs="宋体"/>
                <w:b/>
                <w:szCs w:val="21"/>
                <w:lang w:eastAsia="zh-CN"/>
              </w:rPr>
              <w:t>（</w:t>
            </w:r>
            <w:r>
              <w:rPr>
                <w:rFonts w:hint="eastAsia" w:ascii="宋体" w:hAnsi="宋体" w:cs="宋体"/>
                <w:b/>
                <w:bCs/>
                <w:kern w:val="0"/>
                <w:szCs w:val="21"/>
              </w:rPr>
              <w:t>填“正偏离”</w:t>
            </w:r>
          </w:p>
          <w:p>
            <w:pPr>
              <w:snapToGrid w:val="0"/>
              <w:jc w:val="center"/>
              <w:rPr>
                <w:rFonts w:ascii="宋体" w:hAnsi="宋体" w:cs="宋体"/>
                <w:b/>
                <w:bCs/>
                <w:kern w:val="0"/>
                <w:szCs w:val="21"/>
              </w:rPr>
            </w:pPr>
            <w:r>
              <w:rPr>
                <w:rFonts w:hint="eastAsia" w:ascii="宋体" w:hAnsi="宋体" w:cs="宋体"/>
                <w:b/>
                <w:bCs/>
                <w:kern w:val="0"/>
                <w:szCs w:val="21"/>
              </w:rPr>
              <w:t>或“无偏离”</w:t>
            </w:r>
          </w:p>
          <w:p>
            <w:pPr>
              <w:snapToGrid w:val="0"/>
              <w:jc w:val="center"/>
              <w:rPr>
                <w:rFonts w:hint="eastAsia" w:ascii="宋体" w:hAnsi="宋体" w:eastAsia="宋体" w:cs="宋体"/>
                <w:b/>
                <w:szCs w:val="21"/>
                <w:lang w:eastAsia="zh-CN"/>
              </w:rPr>
            </w:pPr>
            <w:r>
              <w:rPr>
                <w:rFonts w:hint="eastAsia" w:ascii="宋体" w:hAnsi="宋体" w:cs="宋体"/>
                <w:b/>
                <w:bCs/>
                <w:kern w:val="0"/>
                <w:szCs w:val="21"/>
              </w:rPr>
              <w:t>或“负偏离”</w:t>
            </w:r>
            <w:r>
              <w:rPr>
                <w:rFonts w:hint="eastAsia" w:ascii="宋体" w:hAnsi="宋体" w:cs="宋体"/>
                <w:b/>
                <w:szCs w:val="21"/>
                <w:lang w:eastAsia="zh-CN"/>
              </w:rPr>
              <w:t>）</w:t>
            </w:r>
          </w:p>
        </w:tc>
        <w:tc>
          <w:tcPr>
            <w:tcW w:w="724" w:type="pct"/>
            <w:tcBorders>
              <w:top w:val="single" w:color="auto" w:sz="4" w:space="0"/>
            </w:tcBorders>
            <w:vAlign w:val="center"/>
          </w:tcPr>
          <w:p>
            <w:pPr>
              <w:snapToGrid w:val="0"/>
              <w:jc w:val="center"/>
              <w:rPr>
                <w:rFonts w:ascii="宋体" w:hAnsi="宋体" w:cs="宋体"/>
                <w:b/>
                <w:szCs w:val="21"/>
              </w:rPr>
            </w:pPr>
            <w:r>
              <w:rPr>
                <w:rFonts w:hint="eastAsia" w:asciiTheme="minorEastAsia" w:hAnsiTheme="minorEastAsia" w:cstheme="minorEastAsia"/>
                <w:b/>
                <w:bCs/>
                <w:sz w:val="21"/>
                <w:szCs w:val="21"/>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Align w:val="center"/>
          </w:tcPr>
          <w:p>
            <w:pPr>
              <w:snapToGrid w:val="0"/>
              <w:spacing w:line="460" w:lineRule="exact"/>
              <w:jc w:val="center"/>
              <w:rPr>
                <w:rFonts w:hint="eastAsia" w:ascii="宋体" w:hAnsi="宋体" w:eastAsia="宋体" w:cs="宋体"/>
                <w:b/>
                <w:color w:val="000000"/>
                <w:kern w:val="0"/>
                <w:szCs w:val="21"/>
                <w:lang w:eastAsia="zh-CN"/>
              </w:rPr>
            </w:pPr>
            <w:r>
              <w:rPr>
                <w:rFonts w:hint="eastAsia" w:ascii="宋体" w:hAnsi="宋体" w:cs="宋体"/>
                <w:b/>
                <w:szCs w:val="21"/>
                <w:lang w:eastAsia="zh-CN"/>
              </w:rPr>
              <w:t>（</w:t>
            </w:r>
            <w:r>
              <w:rPr>
                <w:rFonts w:hint="eastAsia" w:ascii="宋体" w:hAnsi="宋体" w:cs="宋体"/>
                <w:b/>
                <w:szCs w:val="21"/>
                <w:lang w:val="en-US" w:eastAsia="zh-CN"/>
              </w:rPr>
              <w:t>一</w:t>
            </w:r>
            <w:r>
              <w:rPr>
                <w:rFonts w:hint="eastAsia" w:ascii="宋体" w:hAnsi="宋体" w:cs="宋体"/>
                <w:b/>
                <w:szCs w:val="21"/>
                <w:lang w:eastAsia="zh-CN"/>
              </w:rPr>
              <w:t>）</w:t>
            </w:r>
          </w:p>
        </w:tc>
        <w:tc>
          <w:tcPr>
            <w:tcW w:w="655" w:type="pct"/>
            <w:vAlign w:val="center"/>
          </w:tcPr>
          <w:p>
            <w:pPr>
              <w:snapToGrid w:val="0"/>
              <w:spacing w:line="460" w:lineRule="exact"/>
              <w:jc w:val="center"/>
              <w:rPr>
                <w:b/>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报价</w:t>
            </w:r>
          </w:p>
        </w:tc>
        <w:tc>
          <w:tcPr>
            <w:tcW w:w="1235" w:type="pct"/>
          </w:tcPr>
          <w:p>
            <w:pPr>
              <w:pStyle w:val="2"/>
              <w:keepNext w:val="0"/>
              <w:keepLines w:val="0"/>
              <w:pageBreakBefore w:val="0"/>
              <w:numPr>
                <w:ilvl w:val="0"/>
                <w:numId w:val="0"/>
              </w:numPr>
              <w:overflowPunct/>
              <w:topLinePunct w:val="0"/>
              <w:bidi w:val="0"/>
              <w:spacing w:before="0" w:after="0" w:line="240" w:lineRule="auto"/>
              <w:rPr>
                <w:rFonts w:hint="eastAsia" w:ascii="宋体" w:hAnsi="宋体" w:eastAsia="宋体" w:cs="宋体"/>
                <w:sz w:val="21"/>
                <w:szCs w:val="21"/>
              </w:rPr>
            </w:pPr>
            <w:r>
              <w:rPr>
                <w:rFonts w:hint="eastAsia" w:asciiTheme="minorEastAsia" w:hAnsiTheme="minorEastAsia" w:eastAsiaTheme="minorEastAsia" w:cstheme="minorEastAsia"/>
                <w:b w:val="0"/>
                <w:bCs w:val="0"/>
                <w:color w:val="10243F" w:themeColor="text2" w:themeShade="80"/>
                <w:sz w:val="21"/>
                <w:szCs w:val="21"/>
                <w:highlight w:val="none"/>
              </w:rPr>
              <w:t>人民币报价</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Align w:val="center"/>
          </w:tcPr>
          <w:p>
            <w:pPr>
              <w:snapToGrid w:val="0"/>
              <w:spacing w:line="460" w:lineRule="exact"/>
              <w:jc w:val="center"/>
              <w:rPr>
                <w:rFonts w:hint="eastAsia" w:ascii="宋体" w:hAnsi="宋体" w:eastAsia="宋体" w:cs="宋体"/>
                <w:b/>
                <w:color w:val="000000"/>
                <w:kern w:val="0"/>
                <w:szCs w:val="21"/>
                <w:lang w:eastAsia="zh-CN"/>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二</w:t>
            </w:r>
            <w:r>
              <w:rPr>
                <w:rFonts w:hint="eastAsia" w:ascii="宋体" w:hAnsi="宋体" w:cs="宋体"/>
                <w:b/>
                <w:color w:val="000000"/>
                <w:kern w:val="0"/>
                <w:szCs w:val="21"/>
                <w:lang w:eastAsia="zh-CN"/>
              </w:rPr>
              <w:t>）</w:t>
            </w:r>
          </w:p>
        </w:tc>
        <w:tc>
          <w:tcPr>
            <w:tcW w:w="655" w:type="pct"/>
            <w:vAlign w:val="center"/>
          </w:tcPr>
          <w:p>
            <w:pPr>
              <w:pStyle w:val="43"/>
              <w:keepNext w:val="0"/>
              <w:keepLines w:val="0"/>
              <w:pageBreakBefore w:val="0"/>
              <w:widowControl w:val="0"/>
              <w:numPr>
                <w:ilvl w:val="0"/>
                <w:numId w:val="0"/>
              </w:numPr>
              <w:kinsoku/>
              <w:wordWrap/>
              <w:overflowPunct/>
              <w:topLinePunct w:val="0"/>
              <w:autoSpaceDE/>
              <w:autoSpaceDN/>
              <w:bidi w:val="0"/>
              <w:spacing w:line="460" w:lineRule="atLeast"/>
              <w:jc w:val="center"/>
              <w:textAlignment w:val="auto"/>
              <w:rPr>
                <w:b/>
              </w:rPr>
            </w:pPr>
            <w:r>
              <w:rPr>
                <w:rFonts w:hint="eastAsia" w:ascii="宋体" w:hAnsi="宋体" w:cs="宋体"/>
                <w:color w:val="FF0000"/>
                <w:kern w:val="0"/>
                <w:szCs w:val="21"/>
                <w:highlight w:val="yellow"/>
              </w:rPr>
              <w:t>★</w:t>
            </w:r>
            <w:r>
              <w:rPr>
                <w:rFonts w:hint="eastAsia" w:ascii="宋体" w:hAnsi="宋体" w:cs="宋体"/>
                <w:b/>
                <w:szCs w:val="21"/>
                <w:highlight w:val="yellow"/>
                <w:lang w:eastAsia="zh-CN"/>
              </w:rPr>
              <w:t>交货地点</w:t>
            </w:r>
            <w:r>
              <w:rPr>
                <w:rFonts w:hint="eastAsia" w:ascii="宋体" w:hAnsi="宋体" w:cs="宋体"/>
                <w:b/>
                <w:szCs w:val="21"/>
                <w:highlight w:val="yellow"/>
              </w:rPr>
              <w:t>：</w:t>
            </w: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sz w:val="21"/>
                <w:szCs w:val="21"/>
              </w:rPr>
            </w:pPr>
            <w:r>
              <w:rPr>
                <w:rFonts w:hint="eastAsia" w:asciiTheme="minorEastAsia" w:hAnsiTheme="minorEastAsia" w:eastAsiaTheme="minorEastAsia" w:cstheme="minorEastAsia"/>
                <w:b w:val="0"/>
                <w:bCs w:val="0"/>
                <w:color w:val="10243F" w:themeColor="text2" w:themeShade="80"/>
                <w:spacing w:val="10"/>
                <w:sz w:val="21"/>
                <w:szCs w:val="21"/>
                <w:highlight w:val="none"/>
                <w:lang w:val="en-US" w:eastAsia="zh-CN" w:bidi="ar-SA"/>
              </w:rPr>
              <w:t>采购人指定位置（深圳市龙岗区龙城街道黄阁路186号）</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Align w:val="center"/>
          </w:tcPr>
          <w:p>
            <w:pPr>
              <w:snapToGrid w:val="0"/>
              <w:spacing w:line="460" w:lineRule="exact"/>
              <w:jc w:val="center"/>
              <w:rPr>
                <w:rFonts w:hint="eastAsia" w:ascii="宋体" w:hAnsi="宋体" w:eastAsia="宋体" w:cs="宋体"/>
                <w:b/>
                <w:color w:val="000000"/>
                <w:kern w:val="0"/>
                <w:szCs w:val="21"/>
                <w:lang w:eastAsia="zh-CN"/>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三</w:t>
            </w:r>
            <w:r>
              <w:rPr>
                <w:rFonts w:hint="eastAsia" w:ascii="宋体" w:hAnsi="宋体" w:cs="宋体"/>
                <w:b/>
                <w:color w:val="000000"/>
                <w:kern w:val="0"/>
                <w:szCs w:val="21"/>
                <w:lang w:eastAsia="zh-CN"/>
              </w:rPr>
              <w:t>）</w:t>
            </w:r>
          </w:p>
        </w:tc>
        <w:tc>
          <w:tcPr>
            <w:tcW w:w="655" w:type="pct"/>
            <w:vAlign w:val="center"/>
          </w:tcPr>
          <w:p>
            <w:pPr>
              <w:keepNext w:val="0"/>
              <w:keepLines w:val="0"/>
              <w:pageBreakBefore w:val="0"/>
              <w:tabs>
                <w:tab w:val="left" w:pos="426"/>
              </w:tabs>
              <w:kinsoku/>
              <w:wordWrap/>
              <w:overflowPunct/>
              <w:topLinePunct w:val="0"/>
              <w:autoSpaceDE/>
              <w:autoSpaceDN/>
              <w:bidi w:val="0"/>
              <w:adjustRightInd/>
              <w:snapToGrid/>
              <w:spacing w:line="360" w:lineRule="auto"/>
              <w:ind w:firstLine="0" w:firstLineChars="0"/>
              <w:jc w:val="center"/>
              <w:textAlignment w:val="auto"/>
              <w:rPr>
                <w:b/>
              </w:rPr>
            </w:pPr>
            <w:r>
              <w:rPr>
                <w:rFonts w:hint="eastAsia" w:asciiTheme="minorEastAsia" w:hAnsiTheme="minorEastAsia" w:eastAsiaTheme="minorEastAsia" w:cstheme="minorEastAsia"/>
                <w:b w:val="0"/>
                <w:bCs w:val="0"/>
                <w:color w:val="10243F" w:themeColor="text2" w:themeShade="80"/>
                <w:kern w:val="0"/>
                <w:sz w:val="21"/>
                <w:szCs w:val="21"/>
                <w:highlight w:val="none"/>
                <w:lang w:val="en-US" w:eastAsia="zh-CN"/>
              </w:rPr>
              <w:t>★</w:t>
            </w:r>
            <w:r>
              <w:rPr>
                <w:rFonts w:hint="eastAsia" w:asciiTheme="minorEastAsia" w:hAnsiTheme="minorEastAsia" w:eastAsiaTheme="minorEastAsia" w:cstheme="minorEastAsia"/>
                <w:b w:val="0"/>
                <w:bCs w:val="0"/>
                <w:color w:val="10243F" w:themeColor="text2" w:themeShade="80"/>
                <w:sz w:val="21"/>
                <w:szCs w:val="21"/>
                <w:highlight w:val="none"/>
              </w:rPr>
              <w:t>交货期</w:t>
            </w:r>
          </w:p>
        </w:tc>
        <w:tc>
          <w:tcPr>
            <w:tcW w:w="1235" w:type="pct"/>
            <w:vAlign w:val="center"/>
          </w:tcPr>
          <w:p>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Cs/>
                <w:sz w:val="21"/>
                <w:szCs w:val="21"/>
              </w:rPr>
            </w:pPr>
            <w:r>
              <w:rPr>
                <w:rFonts w:hint="eastAsia" w:asciiTheme="minorEastAsia" w:hAnsiTheme="minorEastAsia" w:eastAsiaTheme="minorEastAsia" w:cstheme="minorEastAsia"/>
                <w:b w:val="0"/>
                <w:bCs w:val="0"/>
                <w:color w:val="10243F" w:themeColor="text2" w:themeShade="80"/>
                <w:spacing w:val="10"/>
                <w:sz w:val="21"/>
                <w:szCs w:val="21"/>
                <w:highlight w:val="yellow"/>
                <w:lang w:val="en-US" w:eastAsia="zh-CN" w:bidi="ar-SA"/>
              </w:rPr>
              <w:t>合同签订后</w:t>
            </w:r>
            <w:r>
              <w:rPr>
                <w:rFonts w:hint="eastAsia" w:asciiTheme="minorEastAsia" w:hAnsiTheme="minorEastAsia" w:cstheme="minorEastAsia"/>
                <w:b w:val="0"/>
                <w:bCs w:val="0"/>
                <w:color w:val="10243F" w:themeColor="text2" w:themeShade="80"/>
                <w:spacing w:val="10"/>
                <w:sz w:val="21"/>
                <w:szCs w:val="21"/>
                <w:highlight w:val="yellow"/>
                <w:lang w:val="en-US" w:eastAsia="zh-CN" w:bidi="ar-SA"/>
              </w:rPr>
              <w:t>接到甲方通知</w:t>
            </w:r>
            <w:r>
              <w:rPr>
                <w:rFonts w:hint="eastAsia" w:asciiTheme="minorEastAsia" w:hAnsiTheme="minorEastAsia" w:eastAsiaTheme="minorEastAsia" w:cstheme="minorEastAsia"/>
                <w:b w:val="0"/>
                <w:bCs w:val="0"/>
                <w:color w:val="10243F" w:themeColor="text2" w:themeShade="80"/>
                <w:spacing w:val="10"/>
                <w:sz w:val="21"/>
                <w:szCs w:val="21"/>
                <w:highlight w:val="yellow"/>
                <w:lang w:val="en-US" w:eastAsia="zh-CN" w:bidi="ar-SA"/>
              </w:rPr>
              <w:t>30个日历日内完成交货。</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restart"/>
            <w:vAlign w:val="center"/>
          </w:tcPr>
          <w:p>
            <w:pPr>
              <w:snapToGrid w:val="0"/>
              <w:spacing w:line="460" w:lineRule="exact"/>
              <w:jc w:val="center"/>
              <w:rPr>
                <w:rFonts w:hint="eastAsia" w:ascii="宋体" w:hAnsi="宋体" w:eastAsia="宋体" w:cs="宋体"/>
                <w:b/>
                <w:color w:val="000000"/>
                <w:kern w:val="0"/>
                <w:szCs w:val="21"/>
                <w:lang w:eastAsia="zh-CN"/>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四</w:t>
            </w:r>
            <w:r>
              <w:rPr>
                <w:rFonts w:hint="eastAsia" w:ascii="宋体" w:hAnsi="宋体" w:cs="宋体"/>
                <w:b/>
                <w:color w:val="000000"/>
                <w:kern w:val="0"/>
                <w:szCs w:val="21"/>
                <w:lang w:eastAsia="zh-CN"/>
              </w:rPr>
              <w:t>）</w:t>
            </w:r>
          </w:p>
        </w:tc>
        <w:tc>
          <w:tcPr>
            <w:tcW w:w="655" w:type="pct"/>
            <w:vMerge w:val="restart"/>
            <w:vAlign w:val="center"/>
          </w:tcPr>
          <w:p>
            <w:pPr>
              <w:snapToGrid w:val="0"/>
              <w:spacing w:line="460" w:lineRule="exact"/>
              <w:jc w:val="center"/>
              <w:rPr>
                <w:b/>
              </w:rPr>
            </w:pPr>
            <w:r>
              <w:rPr>
                <w:rFonts w:hint="eastAsia" w:ascii="宋体" w:hAnsi="宋体" w:cs="宋体"/>
                <w:color w:val="FF0000"/>
                <w:kern w:val="0"/>
                <w:sz w:val="22"/>
                <w:szCs w:val="20"/>
                <w:highlight w:val="yellow"/>
              </w:rPr>
              <w:t>★</w:t>
            </w:r>
            <w:r>
              <w:rPr>
                <w:rFonts w:hint="eastAsia" w:ascii="宋体" w:hAnsi="宋体" w:cs="宋体"/>
                <w:b/>
                <w:sz w:val="22"/>
                <w:szCs w:val="20"/>
                <w:highlight w:val="yellow"/>
                <w:lang w:eastAsia="zh-CN"/>
              </w:rPr>
              <w:t>付款方式</w:t>
            </w:r>
            <w:r>
              <w:rPr>
                <w:rFonts w:hint="eastAsia" w:ascii="宋体" w:hAnsi="宋体" w:cs="宋体"/>
                <w:b/>
                <w:sz w:val="22"/>
                <w:szCs w:val="20"/>
                <w:highlight w:val="yellow"/>
              </w:rPr>
              <w:t>：</w:t>
            </w:r>
          </w:p>
        </w:tc>
        <w:tc>
          <w:tcPr>
            <w:tcW w:w="1235" w:type="pct"/>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yellow"/>
                <w:lang w:eastAsia="zh-CN"/>
              </w:rPr>
            </w:pPr>
            <w:r>
              <w:rPr>
                <w:rFonts w:hint="eastAsia" w:asciiTheme="minorEastAsia" w:hAnsiTheme="minorEastAsia" w:eastAsiaTheme="minorEastAsia" w:cstheme="minorEastAsia"/>
                <w:b w:val="0"/>
                <w:bCs w:val="0"/>
                <w:color w:val="10243F" w:themeColor="text2" w:themeShade="80"/>
                <w:sz w:val="21"/>
                <w:szCs w:val="21"/>
                <w:highlight w:val="yellow"/>
                <w:lang w:eastAsia="zh-CN"/>
              </w:rPr>
              <w:t>1、分期支付：①合同签订、财政资金到位后且收到中标人的发票，支付中标人不高于项目总额 70%预付款；②设备到货、财政资金到位且收到中标人累计100%设备货款发票，按照相应规定支付中标人累计不高于项目总额</w:t>
            </w:r>
            <w:r>
              <w:rPr>
                <w:rFonts w:hint="eastAsia" w:asciiTheme="minorEastAsia" w:hAnsiTheme="minorEastAsia" w:eastAsiaTheme="minorEastAsia" w:cstheme="minorEastAsia"/>
                <w:b w:val="0"/>
                <w:bCs w:val="0"/>
                <w:color w:val="10243F" w:themeColor="text2" w:themeShade="80"/>
                <w:sz w:val="21"/>
                <w:szCs w:val="21"/>
                <w:highlight w:val="yellow"/>
                <w:lang w:val="en-US" w:eastAsia="zh-CN"/>
              </w:rPr>
              <w:t>95</w:t>
            </w:r>
            <w:r>
              <w:rPr>
                <w:rFonts w:hint="eastAsia" w:asciiTheme="minorEastAsia" w:hAnsiTheme="minorEastAsia" w:eastAsiaTheme="minorEastAsia" w:cstheme="minorEastAsia"/>
                <w:b w:val="0"/>
                <w:bCs w:val="0"/>
                <w:color w:val="10243F" w:themeColor="text2" w:themeShade="80"/>
                <w:sz w:val="21"/>
                <w:szCs w:val="21"/>
                <w:highlight w:val="yellow"/>
                <w:lang w:eastAsia="zh-CN"/>
              </w:rPr>
              <w:t>%货款；③设备验收合格、财政资金到位按照相应规定支付中标人剩余货款。当采购人本年度的资金预算不足以支付项目款项时，则需顺延至下年度支付。</w:t>
            </w:r>
          </w:p>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签订合同时</w:t>
            </w:r>
            <w:r>
              <w:rPr>
                <w:rFonts w:hint="eastAsia" w:asciiTheme="minorEastAsia" w:hAnsiTheme="minorEastAsia" w:eastAsiaTheme="minorEastAsia" w:cstheme="minorEastAsia"/>
                <w:b w:val="0"/>
                <w:bCs w:val="0"/>
                <w:color w:val="10243F" w:themeColor="text2" w:themeShade="80"/>
                <w:sz w:val="21"/>
                <w:szCs w:val="21"/>
                <w:highlight w:val="none"/>
                <w:lang w:eastAsia="zh-CN"/>
              </w:rPr>
              <w:t>需提交厂家</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出具的</w:t>
            </w:r>
            <w:r>
              <w:rPr>
                <w:rFonts w:hint="eastAsia" w:asciiTheme="minorEastAsia" w:hAnsiTheme="minorEastAsia" w:eastAsiaTheme="minorEastAsia" w:cstheme="minorEastAsia"/>
                <w:b w:val="0"/>
                <w:bCs w:val="0"/>
                <w:color w:val="10243F" w:themeColor="text2" w:themeShade="80"/>
                <w:sz w:val="21"/>
                <w:szCs w:val="21"/>
                <w:highlight w:val="yellow"/>
                <w:lang w:val="en-US" w:eastAsia="zh-CN"/>
              </w:rPr>
              <w:t>3年</w:t>
            </w:r>
            <w:r>
              <w:rPr>
                <w:rFonts w:hint="eastAsia" w:asciiTheme="minorEastAsia" w:hAnsiTheme="minorEastAsia" w:eastAsiaTheme="minorEastAsia" w:cstheme="minorEastAsia"/>
                <w:b w:val="0"/>
                <w:bCs w:val="0"/>
                <w:color w:val="10243F" w:themeColor="text2" w:themeShade="80"/>
                <w:sz w:val="21"/>
                <w:szCs w:val="21"/>
                <w:highlight w:val="none"/>
                <w:lang w:eastAsia="zh-CN"/>
              </w:rPr>
              <w:t>质保售后服务</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承诺书</w:t>
            </w:r>
            <w:r>
              <w:rPr>
                <w:rFonts w:hint="eastAsia" w:asciiTheme="minorEastAsia" w:hAnsiTheme="minorEastAsia" w:eastAsiaTheme="minorEastAsia" w:cstheme="minorEastAsia"/>
                <w:b w:val="0"/>
                <w:bCs w:val="0"/>
                <w:color w:val="10243F" w:themeColor="text2" w:themeShade="80"/>
                <w:sz w:val="21"/>
                <w:szCs w:val="21"/>
                <w:highlight w:val="none"/>
                <w:lang w:eastAsia="zh-CN"/>
              </w:rPr>
              <w:t>。</w:t>
            </w:r>
          </w:p>
        </w:tc>
        <w:tc>
          <w:tcPr>
            <w:tcW w:w="1143" w:type="pct"/>
            <w:vAlign w:val="top"/>
          </w:tcPr>
          <w:p>
            <w:pPr>
              <w:numPr>
                <w:ilvl w:val="0"/>
                <w:numId w:val="0"/>
              </w:numPr>
              <w:ind w:left="0" w:leftChars="0" w:firstLine="0" w:firstLineChars="0"/>
              <w:rPr>
                <w:rFonts w:hint="eastAsia" w:ascii="宋体" w:hAnsi="宋体" w:eastAsia="宋体" w:cs="宋体"/>
                <w:sz w:val="24"/>
                <w:szCs w:val="24"/>
                <w:highlight w:val="none"/>
                <w:lang w:val="en-US" w:eastAsia="zh-CN" w:bidi="ar-SA"/>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ascii="宋体" w:hAnsi="宋体" w:cs="宋体"/>
                <w:color w:val="000000"/>
                <w:kern w:val="0"/>
                <w:szCs w:val="21"/>
              </w:rPr>
            </w:pPr>
          </w:p>
        </w:tc>
        <w:tc>
          <w:tcPr>
            <w:tcW w:w="655" w:type="pct"/>
            <w:vMerge w:val="continue"/>
            <w:vAlign w:val="center"/>
          </w:tcPr>
          <w:p>
            <w:pPr>
              <w:snapToGrid w:val="0"/>
              <w:spacing w:line="460" w:lineRule="exact"/>
              <w:jc w:val="center"/>
            </w:pPr>
          </w:p>
        </w:tc>
        <w:tc>
          <w:tcPr>
            <w:tcW w:w="1235" w:type="pct"/>
          </w:tcPr>
          <w:p>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1</w:t>
            </w:r>
            <w:r>
              <w:rPr>
                <w:rFonts w:hint="eastAsia" w:asciiTheme="minorEastAsia" w:hAnsiTheme="minorEastAsia" w:eastAsiaTheme="minorEastAsia" w:cstheme="minorEastAsia"/>
                <w:b w:val="0"/>
                <w:bCs w:val="0"/>
                <w:color w:val="10243F" w:themeColor="text2" w:themeShade="80"/>
                <w:sz w:val="21"/>
                <w:szCs w:val="21"/>
                <w:highlight w:val="none"/>
                <w:lang w:eastAsia="zh-CN"/>
              </w:rPr>
              <w:t>）如果采购人对中标人提供的产品有质量异议的，可以视具体情况暂时中止支付争议款项或其他相关款项，直到争议解除，采购人不因此承担延期付款的违约责任。</w:t>
            </w:r>
          </w:p>
          <w:p>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2</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）中标人提供的产品不合格，或产品存在瑕疵、缺陷，采购人有权暂停支付中标人项目相应到期应付货款，且不视为采购人违约，直到双方正式处理完不合格产品为止。</w:t>
            </w:r>
          </w:p>
          <w:p>
            <w:pPr>
              <w:keepNext w:val="0"/>
              <w:keepLines w:val="0"/>
              <w:pageBreakBefore w:val="0"/>
              <w:widowControl/>
              <w:numPr>
                <w:ilvl w:val="0"/>
                <w:numId w:val="0"/>
              </w:numPr>
              <w:tabs>
                <w:tab w:val="left" w:pos="426"/>
              </w:tabs>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4</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pPr>
              <w:pStyle w:val="2"/>
              <w:keepNext w:val="0"/>
              <w:keepLines w:val="0"/>
              <w:pageBreakBefore w:val="0"/>
              <w:widowControl/>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Cs/>
                <w:color w:val="auto"/>
                <w:sz w:val="21"/>
                <w:szCs w:val="21"/>
                <w:highlight w:val="none"/>
              </w:rPr>
            </w:pPr>
            <w:r>
              <w:rPr>
                <w:rFonts w:hint="eastAsia" w:asciiTheme="minorEastAsia" w:hAnsiTheme="minorEastAsia" w:eastAsiaTheme="minorEastAsia" w:cstheme="minorEastAsia"/>
                <w:b w:val="0"/>
                <w:bCs w:val="0"/>
                <w:color w:val="10243F" w:themeColor="text2" w:themeShade="80"/>
                <w:sz w:val="21"/>
                <w:szCs w:val="21"/>
                <w:highlight w:val="none"/>
                <w:lang w:eastAsia="zh-CN"/>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5</w:t>
            </w:r>
            <w:r>
              <w:rPr>
                <w:rFonts w:hint="eastAsia" w:asciiTheme="minorEastAsia" w:hAnsiTheme="minorEastAsia" w:eastAsiaTheme="minorEastAsia" w:cstheme="minorEastAsia"/>
                <w:b w:val="0"/>
                <w:bCs w:val="0"/>
                <w:color w:val="10243F" w:themeColor="text2" w:themeShade="80"/>
                <w:sz w:val="21"/>
                <w:szCs w:val="21"/>
                <w:highlight w:val="none"/>
                <w:lang w:eastAsia="zh-CN"/>
              </w:rPr>
              <w:t>）采购人在规定时间向支付部门提出支付申请，如因财政支付部门审核时间导致无法按期支付的，采购人不承担违约责任。</w:t>
            </w:r>
          </w:p>
        </w:tc>
        <w:tc>
          <w:tcPr>
            <w:tcW w:w="1143" w:type="pct"/>
            <w:vAlign w:val="top"/>
          </w:tcPr>
          <w:p>
            <w:pPr>
              <w:pStyle w:val="25"/>
              <w:ind w:left="0" w:leftChars="0" w:firstLine="0" w:firstLineChars="0"/>
              <w:rPr>
                <w:rFonts w:hint="default" w:ascii="Times New Roman" w:hAnsi="Times New Roman" w:cs="Times New Roman" w:eastAsiaTheme="minorEastAsia"/>
                <w:sz w:val="24"/>
                <w:szCs w:val="24"/>
                <w:lang w:val="en-US" w:eastAsia="zh-CN" w:bidi="ar-SA"/>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restart"/>
            <w:vAlign w:val="center"/>
          </w:tcPr>
          <w:p>
            <w:pPr>
              <w:snapToGrid w:val="0"/>
              <w:spacing w:line="460" w:lineRule="exact"/>
              <w:jc w:val="center"/>
              <w:rPr>
                <w:rFonts w:hint="eastAsia" w:ascii="宋体" w:hAnsi="宋体" w:eastAsia="宋体" w:cs="宋体"/>
                <w:b/>
                <w:color w:val="000000"/>
                <w:kern w:val="0"/>
                <w:szCs w:val="21"/>
                <w:lang w:eastAsia="zh-CN"/>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五</w:t>
            </w:r>
            <w:r>
              <w:rPr>
                <w:rFonts w:hint="eastAsia" w:ascii="宋体" w:hAnsi="宋体" w:cs="宋体"/>
                <w:b/>
                <w:color w:val="000000"/>
                <w:kern w:val="0"/>
                <w:szCs w:val="21"/>
                <w:lang w:eastAsia="zh-CN"/>
              </w:rPr>
              <w:t>）</w:t>
            </w:r>
          </w:p>
        </w:tc>
        <w:tc>
          <w:tcPr>
            <w:tcW w:w="655" w:type="pct"/>
            <w:vMerge w:val="restart"/>
            <w:vAlign w:val="center"/>
          </w:tcPr>
          <w:p>
            <w:pPr>
              <w:snapToGrid w:val="0"/>
              <w:spacing w:line="460" w:lineRule="exact"/>
              <w:jc w:val="center"/>
              <w:rPr>
                <w:b/>
              </w:rPr>
            </w:pPr>
            <w:r>
              <w:rPr>
                <w:rFonts w:hint="eastAsia" w:ascii="宋体" w:hAnsi="宋体" w:cs="宋体"/>
                <w:color w:val="FF0000"/>
                <w:kern w:val="0"/>
                <w:sz w:val="22"/>
                <w:szCs w:val="20"/>
                <w:highlight w:val="yellow"/>
              </w:rPr>
              <w:t>★</w:t>
            </w:r>
            <w:r>
              <w:rPr>
                <w:rFonts w:hint="eastAsia" w:ascii="宋体" w:hAnsi="宋体" w:cs="宋体"/>
                <w:b/>
                <w:sz w:val="22"/>
                <w:szCs w:val="20"/>
                <w:highlight w:val="yellow"/>
                <w:lang w:eastAsia="zh-CN"/>
              </w:rPr>
              <w:t>验收方式</w:t>
            </w:r>
            <w:r>
              <w:rPr>
                <w:rFonts w:hint="eastAsia" w:ascii="宋体" w:hAnsi="宋体" w:cs="宋体"/>
                <w:b/>
                <w:sz w:val="22"/>
                <w:szCs w:val="20"/>
                <w:highlight w:val="yellow"/>
              </w:rPr>
              <w:t>：</w:t>
            </w: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1、货到安装，现场验收。供应商应派有经验的技术人员到现场进行安装、调试，直到设备正常使用。</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color w:val="FF0000"/>
                <w:kern w:val="0"/>
                <w:sz w:val="22"/>
                <w:szCs w:val="20"/>
                <w:highlight w:val="yellow"/>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2、交货后30个日历日内完成安装、调试、交付使用，由采购人使用科室、设备科、中标人等代表在场进行验收。</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ascii="宋体" w:hAnsi="宋体" w:cs="宋体"/>
                <w:color w:val="000000"/>
                <w:kern w:val="0"/>
                <w:szCs w:val="21"/>
              </w:rPr>
            </w:pPr>
          </w:p>
        </w:tc>
        <w:tc>
          <w:tcPr>
            <w:tcW w:w="655" w:type="pct"/>
            <w:vMerge w:val="continue"/>
          </w:tcPr>
          <w:p>
            <w:pPr>
              <w:snapToGrid w:val="0"/>
              <w:spacing w:line="460" w:lineRule="exact"/>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在本</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项目</w:t>
            </w:r>
            <w:r>
              <w:rPr>
                <w:rFonts w:hint="eastAsia" w:asciiTheme="minorEastAsia" w:hAnsiTheme="minorEastAsia" w:eastAsiaTheme="minorEastAsia" w:cstheme="minorEastAsia"/>
                <w:b w:val="0"/>
                <w:bCs w:val="0"/>
                <w:color w:val="10243F" w:themeColor="text2" w:themeShade="80"/>
                <w:sz w:val="21"/>
                <w:szCs w:val="21"/>
                <w:highlight w:val="none"/>
                <w:lang w:eastAsia="zh-CN"/>
              </w:rPr>
              <w:t>涉及的医疗设备安装过程中，若安装场地需进行改造以满足设备安装要求，乙方应承担全部改造工作及相关费用。改造工作包括但不限于拆除、新建、装修、水电线路改造、通风系统调整等一切为实现设备正常安装及后续使用所必需的工程内容。改造工程费用由乙方全额承担，费用包含但不限于材料采购、施工人员薪酬、设备租赁、运输、税费等所有与改造工程相关的支出。</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ascii="宋体" w:hAnsi="宋体" w:cs="宋体"/>
                <w:color w:val="000000"/>
                <w:kern w:val="0"/>
                <w:szCs w:val="21"/>
              </w:rPr>
            </w:pPr>
          </w:p>
        </w:tc>
        <w:tc>
          <w:tcPr>
            <w:tcW w:w="655" w:type="pct"/>
            <w:vMerge w:val="continue"/>
          </w:tcPr>
          <w:p>
            <w:pPr>
              <w:snapToGrid w:val="0"/>
              <w:spacing w:line="460" w:lineRule="exact"/>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产品质量和安装调试检验标准遵照国家相关规定和最新标准执行。提供的货物必须为全新、经检验合格的产品，且</w:t>
            </w:r>
            <w:r>
              <w:rPr>
                <w:rFonts w:hint="eastAsia" w:ascii="宋体" w:hAnsi="宋体"/>
                <w:szCs w:val="21"/>
                <w:highlight w:val="none"/>
              </w:rPr>
              <w:t>产品生产日期应为验收日期一年内</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ascii="宋体" w:hAnsi="宋体" w:cs="宋体"/>
                <w:color w:val="000000"/>
                <w:kern w:val="0"/>
                <w:szCs w:val="21"/>
              </w:rPr>
            </w:pPr>
          </w:p>
        </w:tc>
        <w:tc>
          <w:tcPr>
            <w:tcW w:w="655" w:type="pct"/>
            <w:vMerge w:val="continue"/>
          </w:tcPr>
          <w:p>
            <w:pPr>
              <w:snapToGrid w:val="0"/>
              <w:spacing w:line="460" w:lineRule="exact"/>
            </w:pPr>
          </w:p>
        </w:tc>
        <w:tc>
          <w:tcPr>
            <w:tcW w:w="1235" w:type="pct"/>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cstheme="minorEastAsia"/>
                <w:b w:val="0"/>
                <w:bCs w:val="0"/>
                <w:color w:val="10243F" w:themeColor="text2" w:themeShade="80"/>
                <w:sz w:val="21"/>
                <w:szCs w:val="21"/>
                <w:highlight w:val="none"/>
                <w:lang w:val="en-US" w:eastAsia="zh-CN"/>
              </w:rPr>
              <w:t>5、</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当满足以下条件时，采购人才向中标人签发货物验收报告：</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A.设备出厂日期≤1年</w:t>
            </w:r>
            <w:r>
              <w:rPr>
                <w:rFonts w:hint="eastAsia" w:asciiTheme="minorEastAsia" w:hAnsiTheme="minorEastAsia" w:cstheme="minorEastAsia"/>
                <w:b w:val="0"/>
                <w:bCs w:val="0"/>
                <w:color w:val="10243F" w:themeColor="text2" w:themeShade="80"/>
                <w:sz w:val="21"/>
                <w:szCs w:val="21"/>
                <w:highlight w:val="none"/>
                <w:lang w:val="en-US" w:eastAsia="zh-CN"/>
              </w:rPr>
              <w:t>（以合同签订时间为准）</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B.中标人按合同要求如期交货；</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C.中标人已按照合同规定提供了全部产品及完整的技术资料；</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D.货物符合招标文件技术规格书的要求，性能满足要求；</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E.提供货物中文说明书；</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F.提供维修手册、与厂家签订的3年质保售后服务协议；</w:t>
            </w:r>
          </w:p>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val="0"/>
                <w:bCs w:val="0"/>
                <w:color w:val="1024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G.进口设备必须提供正常有效的报关证明（报关单、海关增值税发票）及合法有效的商检合格证明</w:t>
            </w:r>
            <w:r>
              <w:rPr>
                <w:rFonts w:hint="eastAsia" w:asciiTheme="minorEastAsia" w:hAnsiTheme="minorEastAsia" w:cstheme="minorEastAsia"/>
                <w:b w:val="0"/>
                <w:bCs w:val="0"/>
                <w:color w:val="10243F" w:themeColor="text2" w:themeShade="80"/>
                <w:sz w:val="21"/>
                <w:szCs w:val="21"/>
                <w:highlight w:val="none"/>
                <w:lang w:val="en-US" w:eastAsia="zh-CN"/>
              </w:rPr>
              <w:t>。</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ascii="宋体" w:hAnsi="宋体" w:cs="宋体"/>
                <w:color w:val="000000"/>
                <w:kern w:val="0"/>
                <w:szCs w:val="21"/>
              </w:rPr>
            </w:pPr>
          </w:p>
        </w:tc>
        <w:tc>
          <w:tcPr>
            <w:tcW w:w="655" w:type="pct"/>
            <w:vMerge w:val="continue"/>
          </w:tcPr>
          <w:p>
            <w:pPr>
              <w:snapToGrid w:val="0"/>
              <w:spacing w:line="460" w:lineRule="exact"/>
            </w:pPr>
          </w:p>
        </w:tc>
        <w:tc>
          <w:tcPr>
            <w:tcW w:w="1235" w:type="pct"/>
          </w:tcPr>
          <w:p>
            <w:pPr>
              <w:pStyle w:val="2"/>
              <w:keepNext w:val="0"/>
              <w:keepLines w:val="0"/>
              <w:pageBreakBefore w:val="0"/>
              <w:numPr>
                <w:ilvl w:val="0"/>
                <w:numId w:val="0"/>
              </w:numPr>
              <w:overflowPunct/>
              <w:topLinePunct w:val="0"/>
              <w:bidi w:val="0"/>
              <w:spacing w:before="0" w:after="0" w:line="240" w:lineRule="auto"/>
              <w:rPr>
                <w:rFonts w:hint="eastAsia" w:asciiTheme="minorEastAsia" w:hAnsiTheme="minorEastAsia" w:eastAsiaTheme="minorEastAsia" w:cstheme="minorEastAsia"/>
                <w:b w:val="0"/>
                <w:bCs w:val="0"/>
                <w:color w:val="10243F" w:themeColor="text2" w:themeShade="80"/>
                <w:sz w:val="21"/>
                <w:szCs w:val="21"/>
                <w:highlight w:val="none"/>
                <w:lang w:eastAsia="zh-CN"/>
              </w:rPr>
            </w:pPr>
            <w:r>
              <w:rPr>
                <w:rFonts w:hint="eastAsia" w:ascii="宋体" w:hAnsi="宋体" w:eastAsia="宋体" w:cs="宋体"/>
                <w:bCs/>
                <w:color w:val="auto"/>
                <w:sz w:val="21"/>
                <w:szCs w:val="21"/>
                <w:highlight w:val="none"/>
                <w:lang w:val="en-US" w:eastAsia="zh-CN"/>
              </w:rPr>
              <w:t>6、</w:t>
            </w:r>
            <w:r>
              <w:rPr>
                <w:rFonts w:hint="eastAsia" w:asciiTheme="minorEastAsia" w:hAnsiTheme="minorEastAsia" w:eastAsiaTheme="minorEastAsia" w:cstheme="minorEastAsia"/>
                <w:b w:val="0"/>
                <w:bCs w:val="0"/>
                <w:color w:val="10243F" w:themeColor="text2" w:themeShade="80"/>
                <w:sz w:val="21"/>
                <w:szCs w:val="21"/>
                <w:highlight w:val="none"/>
                <w:lang w:eastAsia="zh-CN"/>
              </w:rPr>
              <w:t>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pPr>
              <w:pStyle w:val="2"/>
              <w:keepNext w:val="0"/>
              <w:keepLines w:val="0"/>
              <w:pageBreakBefore w:val="0"/>
              <w:numPr>
                <w:ilvl w:val="0"/>
                <w:numId w:val="0"/>
              </w:numPr>
              <w:overflowPunct/>
              <w:topLinePunct w:val="0"/>
              <w:bidi w:val="0"/>
              <w:spacing w:before="0" w:after="0" w:line="240" w:lineRule="auto"/>
              <w:rPr>
                <w:rFonts w:hint="eastAsia" w:asciiTheme="minorEastAsia" w:hAnsiTheme="minorEastAsia" w:cstheme="minorEastAsia"/>
                <w:b w:val="0"/>
                <w:bCs w:val="0"/>
                <w:color w:val="10243F" w:themeColor="text2" w:themeShade="80"/>
                <w:sz w:val="21"/>
                <w:szCs w:val="21"/>
                <w:highlight w:val="none"/>
                <w:lang w:val="en-US" w:eastAsia="zh-CN"/>
              </w:rPr>
            </w:pP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ascii="宋体" w:hAnsi="宋体" w:cs="宋体"/>
                <w:color w:val="000000"/>
                <w:kern w:val="0"/>
                <w:szCs w:val="21"/>
              </w:rPr>
            </w:pPr>
          </w:p>
        </w:tc>
        <w:tc>
          <w:tcPr>
            <w:tcW w:w="655" w:type="pct"/>
            <w:vMerge w:val="continue"/>
          </w:tcPr>
          <w:p>
            <w:pPr>
              <w:snapToGrid w:val="0"/>
              <w:spacing w:line="460" w:lineRule="exact"/>
            </w:pPr>
          </w:p>
        </w:tc>
        <w:tc>
          <w:tcPr>
            <w:tcW w:w="1235" w:type="pct"/>
          </w:tcPr>
          <w:p>
            <w:pPr>
              <w:pStyle w:val="2"/>
              <w:keepNext w:val="0"/>
              <w:keepLines w:val="0"/>
              <w:pageBreakBefore w:val="0"/>
              <w:numPr>
                <w:ilvl w:val="0"/>
                <w:numId w:val="0"/>
              </w:numPr>
              <w:overflowPunct/>
              <w:topLinePunct w:val="0"/>
              <w:bidi w:val="0"/>
              <w:spacing w:before="0" w:after="0" w:line="240" w:lineRule="auto"/>
              <w:rPr>
                <w:rFonts w:hint="eastAsia" w:asciiTheme="minorEastAsia" w:hAnsiTheme="minorEastAsia" w:cstheme="minorEastAsia"/>
                <w:b w:val="0"/>
                <w:bCs w:val="0"/>
                <w:color w:val="10243F" w:themeColor="text2" w:themeShade="80"/>
                <w:sz w:val="21"/>
                <w:szCs w:val="21"/>
                <w:highlight w:val="none"/>
                <w:lang w:val="en-US" w:eastAsia="zh-CN"/>
              </w:rPr>
            </w:pPr>
            <w:r>
              <w:rPr>
                <w:rFonts w:hint="eastAsia" w:asciiTheme="minorEastAsia" w:hAnsiTheme="minorEastAsia" w:cstheme="minorEastAsia"/>
                <w:b w:val="0"/>
                <w:bCs w:val="0"/>
                <w:color w:val="10243F" w:themeColor="text2" w:themeShade="80"/>
                <w:sz w:val="21"/>
                <w:szCs w:val="21"/>
                <w:highlight w:val="none"/>
                <w:lang w:val="en-US" w:eastAsia="zh-CN"/>
              </w:rPr>
              <w:t>7、</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验收时，中标人须按采购人要求提供中标验货验收所需要的其他资料。</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Align w:val="center"/>
          </w:tcPr>
          <w:p>
            <w:pPr>
              <w:snapToGrid w:val="0"/>
              <w:spacing w:line="460" w:lineRule="exact"/>
              <w:jc w:val="center"/>
              <w:rPr>
                <w:rFonts w:hint="eastAsia" w:ascii="宋体" w:hAnsi="宋体" w:cs="宋体"/>
                <w:b/>
                <w:color w:val="000000"/>
                <w:kern w:val="0"/>
                <w:szCs w:val="21"/>
                <w:lang w:eastAsia="zh-CN"/>
              </w:rPr>
            </w:pPr>
            <w:r>
              <w:rPr>
                <w:rFonts w:hint="eastAsia" w:ascii="宋体" w:hAnsi="宋体" w:cs="宋体"/>
                <w:b/>
                <w:color w:val="000000"/>
                <w:kern w:val="0"/>
                <w:szCs w:val="21"/>
                <w:lang w:eastAsia="zh-CN"/>
              </w:rPr>
              <w:t>（六）</w:t>
            </w:r>
          </w:p>
        </w:tc>
        <w:tc>
          <w:tcPr>
            <w:tcW w:w="655" w:type="pct"/>
            <w:vAlign w:val="center"/>
          </w:tcPr>
          <w:p>
            <w:pPr>
              <w:snapToGrid w:val="0"/>
              <w:spacing w:line="460" w:lineRule="exact"/>
              <w:jc w:val="center"/>
              <w:rPr>
                <w:rFonts w:hint="eastAsia" w:ascii="宋体" w:hAnsi="宋体" w:cs="宋体"/>
                <w:b/>
                <w:color w:val="000000"/>
                <w:kern w:val="0"/>
                <w:szCs w:val="21"/>
                <w:lang w:eastAsia="zh-CN"/>
              </w:rPr>
            </w:pPr>
            <w:r>
              <w:rPr>
                <w:rFonts w:hint="eastAsia" w:ascii="宋体" w:hAnsi="宋体" w:cs="宋体"/>
                <w:color w:val="FF0000"/>
                <w:kern w:val="0"/>
                <w:sz w:val="22"/>
                <w:szCs w:val="20"/>
                <w:highlight w:val="yellow"/>
              </w:rPr>
              <w:t>★</w:t>
            </w:r>
            <w:r>
              <w:rPr>
                <w:rFonts w:hint="eastAsia" w:ascii="宋体" w:hAnsi="宋体" w:cs="宋体"/>
                <w:b/>
                <w:sz w:val="22"/>
                <w:szCs w:val="20"/>
                <w:highlight w:val="yellow"/>
                <w:lang w:eastAsia="zh-CN"/>
              </w:rPr>
              <w:t>包装及运输要求</w:t>
            </w:r>
            <w:r>
              <w:rPr>
                <w:rFonts w:hint="eastAsia" w:ascii="宋体" w:hAnsi="宋体" w:cs="宋体"/>
                <w:b/>
                <w:sz w:val="22"/>
                <w:szCs w:val="20"/>
                <w:highlight w:val="yellow"/>
              </w:rPr>
              <w:t>：</w:t>
            </w: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restart"/>
            <w:vAlign w:val="center"/>
          </w:tcPr>
          <w:p>
            <w:pPr>
              <w:snapToGrid w:val="0"/>
              <w:spacing w:line="460" w:lineRule="exact"/>
              <w:jc w:val="center"/>
              <w:rPr>
                <w:rFonts w:ascii="宋体" w:hAnsi="宋体" w:cs="宋体"/>
                <w:color w:val="000000"/>
                <w:kern w:val="0"/>
                <w:szCs w:val="21"/>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七</w:t>
            </w:r>
            <w:r>
              <w:rPr>
                <w:rFonts w:hint="eastAsia" w:ascii="宋体" w:hAnsi="宋体" w:cs="宋体"/>
                <w:b/>
                <w:color w:val="000000"/>
                <w:kern w:val="0"/>
                <w:szCs w:val="21"/>
                <w:lang w:eastAsia="zh-CN"/>
              </w:rPr>
              <w:t>）</w:t>
            </w:r>
          </w:p>
        </w:tc>
        <w:tc>
          <w:tcPr>
            <w:tcW w:w="655" w:type="pct"/>
            <w:vMerge w:val="restart"/>
            <w:vAlign w:val="center"/>
          </w:tcPr>
          <w:p>
            <w:pPr>
              <w:snapToGrid w:val="0"/>
              <w:spacing w:line="460" w:lineRule="exact"/>
              <w:jc w:val="center"/>
            </w:pPr>
            <w:r>
              <w:rPr>
                <w:rFonts w:hint="eastAsia" w:ascii="宋体" w:hAnsi="宋体" w:cs="宋体"/>
                <w:color w:val="FF0000"/>
                <w:kern w:val="0"/>
                <w:sz w:val="22"/>
                <w:szCs w:val="20"/>
                <w:highlight w:val="yellow"/>
              </w:rPr>
              <w:t>★</w:t>
            </w:r>
            <w:r>
              <w:rPr>
                <w:rFonts w:hint="eastAsia" w:ascii="宋体" w:hAnsi="宋体" w:cs="宋体"/>
                <w:b/>
                <w:sz w:val="22"/>
                <w:szCs w:val="20"/>
                <w:highlight w:val="yellow"/>
                <w:lang w:eastAsia="zh-CN"/>
              </w:rPr>
              <w:t>售后服务要求</w:t>
            </w:r>
            <w:r>
              <w:rPr>
                <w:rFonts w:hint="eastAsia" w:ascii="宋体" w:hAnsi="宋体" w:cs="宋体"/>
                <w:b/>
                <w:sz w:val="22"/>
                <w:szCs w:val="20"/>
                <w:highlight w:val="yellow"/>
              </w:rPr>
              <w:t>：</w:t>
            </w: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Theme="minorEastAsia" w:hAnsiTheme="minorEastAsia" w:eastAsiaTheme="minorEastAsia" w:cstheme="minorEastAsia"/>
                <w:b w:val="0"/>
                <w:bCs w:val="0"/>
                <w:color w:val="10243F" w:themeColor="text2" w:themeShade="80"/>
                <w:sz w:val="21"/>
                <w:szCs w:val="21"/>
                <w:highlight w:val="none"/>
                <w:lang w:eastAsia="zh-CN"/>
              </w:rPr>
              <w:t>乙方对所提供的设备(包括零配件)提供</w:t>
            </w:r>
            <w:r>
              <w:rPr>
                <w:rFonts w:hint="eastAsia" w:asciiTheme="minorEastAsia" w:hAnsiTheme="minorEastAsia" w:eastAsiaTheme="minorEastAsia" w:cstheme="minorEastAsia"/>
                <w:b w:val="0"/>
                <w:bCs w:val="0"/>
                <w:color w:val="10243F" w:themeColor="text2" w:themeShade="80"/>
                <w:sz w:val="21"/>
                <w:szCs w:val="21"/>
                <w:highlight w:val="yellow"/>
                <w:lang w:eastAsia="zh-CN"/>
              </w:rPr>
              <w:t>免费保修期</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 xml:space="preserve"> 3 </w:t>
            </w:r>
            <w:r>
              <w:rPr>
                <w:rFonts w:hint="eastAsia" w:asciiTheme="minorEastAsia" w:hAnsiTheme="minorEastAsia" w:eastAsiaTheme="minorEastAsia" w:cstheme="minorEastAsia"/>
                <w:b w:val="0"/>
                <w:bCs w:val="0"/>
                <w:color w:val="10243F" w:themeColor="text2" w:themeShade="80"/>
                <w:sz w:val="21"/>
                <w:szCs w:val="21"/>
                <w:highlight w:val="yellow"/>
                <w:lang w:eastAsia="zh-CN"/>
              </w:rPr>
              <w:t>年</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。(免费保修期时间自最终验收合格并交付使用之日起计算)，在免费保修期，</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需</w:t>
            </w:r>
            <w:r>
              <w:rPr>
                <w:rFonts w:hint="eastAsia" w:asciiTheme="minorEastAsia" w:hAnsiTheme="minorEastAsia" w:eastAsiaTheme="minorEastAsia" w:cstheme="minorEastAsia"/>
                <w:b w:val="0"/>
                <w:bCs w:val="0"/>
                <w:color w:val="10243F" w:themeColor="text2" w:themeShade="80"/>
                <w:sz w:val="21"/>
                <w:szCs w:val="21"/>
                <w:highlight w:val="none"/>
                <w:lang w:eastAsia="zh-CN"/>
              </w:rPr>
              <w:t>提供原装的零配件及其维修，终身负责维修，储备足够的零配件备库并保证十年以上维修配件；</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一</w:t>
            </w:r>
            <w:r>
              <w:rPr>
                <w:rFonts w:hint="eastAsia" w:asciiTheme="minorEastAsia" w:hAnsiTheme="minorEastAsia" w:eastAsiaTheme="minorEastAsia" w:cstheme="minorEastAsia"/>
                <w:b w:val="0"/>
                <w:bCs w:val="0"/>
                <w:color w:val="10243F" w:themeColor="text2" w:themeShade="80"/>
                <w:sz w:val="21"/>
                <w:szCs w:val="21"/>
                <w:highlight w:val="none"/>
                <w:lang w:eastAsia="zh-CN"/>
              </w:rPr>
              <w:t>年需对设备进行维护四次（每季度一次），不额外收费。免费保修期内出现的质量问题,由乙方负责,乙方负责包修、包换或者包退,并承担修理、调换或退货的实际费用。免费保修期外，乙方负责提供原装配件并免费维修更换，不额外收费，甲方只需支付更换的零配件费用。乙方负责该套设备软件的免费安装，</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软件终身</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免费升级维护、备份。</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免费保修期内，乙方应对产品因质量出现的问题修复，在</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2小时</w:t>
            </w:r>
            <w:r>
              <w:rPr>
                <w:rFonts w:hint="eastAsia" w:asciiTheme="minorEastAsia" w:hAnsiTheme="minorEastAsia" w:eastAsiaTheme="minorEastAsia" w:cstheme="minorEastAsia"/>
                <w:b w:val="0"/>
                <w:bCs w:val="0"/>
                <w:color w:val="10243F" w:themeColor="text2" w:themeShade="80"/>
                <w:sz w:val="21"/>
                <w:szCs w:val="21"/>
                <w:highlight w:val="none"/>
                <w:lang w:eastAsia="zh-CN"/>
              </w:rPr>
              <w:t>内响应，</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24小时</w:t>
            </w:r>
            <w:r>
              <w:rPr>
                <w:rFonts w:hint="eastAsia" w:asciiTheme="minorEastAsia" w:hAnsiTheme="minorEastAsia" w:eastAsiaTheme="minorEastAsia" w:cstheme="minorEastAsia"/>
                <w:b w:val="0"/>
                <w:bCs w:val="0"/>
                <w:color w:val="10243F" w:themeColor="text2" w:themeShade="80"/>
                <w:sz w:val="21"/>
                <w:szCs w:val="21"/>
                <w:highlight w:val="none"/>
                <w:lang w:eastAsia="zh-CN"/>
              </w:rPr>
              <w:t>内到达现场维修，</w:t>
            </w:r>
            <w:r>
              <w:rPr>
                <w:rFonts w:hint="eastAsia" w:asciiTheme="minorEastAsia" w:hAnsiTheme="minorEastAsia" w:eastAsiaTheme="minorEastAsia" w:cstheme="minorEastAsia"/>
                <w:b w:val="0"/>
                <w:bCs w:val="0"/>
                <w:color w:val="10243F" w:themeColor="text2" w:themeShade="80"/>
                <w:sz w:val="21"/>
                <w:szCs w:val="21"/>
                <w:highlight w:val="yellow"/>
                <w:u w:val="single"/>
                <w:lang w:eastAsia="zh-CN"/>
              </w:rPr>
              <w:t>48小时</w:t>
            </w:r>
            <w:r>
              <w:rPr>
                <w:rFonts w:hint="eastAsia" w:asciiTheme="minorEastAsia" w:hAnsiTheme="minorEastAsia" w:eastAsiaTheme="minorEastAsia" w:cstheme="minorEastAsia"/>
                <w:b w:val="0"/>
                <w:bCs w:val="0"/>
                <w:color w:val="10243F" w:themeColor="text2" w:themeShade="80"/>
                <w:sz w:val="21"/>
                <w:szCs w:val="21"/>
                <w:highlight w:val="none"/>
                <w:lang w:eastAsia="zh-CN"/>
              </w:rPr>
              <w:t>内消除故障(不可抗力情况除外)，消耗品/零配件供应及时；若在48小时内不能及时排除故障的，乙方应在</w:t>
            </w:r>
            <w:r>
              <w:rPr>
                <w:rFonts w:hint="eastAsia" w:asciiTheme="minorEastAsia" w:hAnsiTheme="minorEastAsia" w:eastAsiaTheme="minorEastAsia" w:cstheme="minorEastAsia"/>
                <w:b w:val="0"/>
                <w:bCs w:val="0"/>
                <w:color w:val="10243F" w:themeColor="text2" w:themeShade="80"/>
                <w:sz w:val="21"/>
                <w:szCs w:val="21"/>
                <w:highlight w:val="yellow"/>
                <w:lang w:eastAsia="zh-CN"/>
              </w:rPr>
              <w:t>10个日历日内向甲方提供不低故障设备规格型号档次的备用设备使用</w:t>
            </w:r>
            <w:r>
              <w:rPr>
                <w:rFonts w:hint="eastAsia" w:asciiTheme="minorEastAsia" w:hAnsiTheme="minorEastAsia" w:eastAsiaTheme="minorEastAsia" w:cstheme="minorEastAsia"/>
                <w:b w:val="0"/>
                <w:bCs w:val="0"/>
                <w:color w:val="10243F" w:themeColor="text2" w:themeShade="80"/>
                <w:sz w:val="21"/>
                <w:szCs w:val="21"/>
                <w:highlight w:val="none"/>
                <w:lang w:eastAsia="zh-CN"/>
              </w:rPr>
              <w:t>，直至故障修复为止。由此产生的包括但不限于运输费、安装费、搬运费、替换产品的损耗费、零部件费、调试费等全部费用由乙方承担。</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免费保修期，乙方应确保设备年开机率在98%（含）以上，若达不到此开机率，将作以下处理：年开机率在90%（含）-98%（不含）之间，免费保修期延长一年；年开机率在85%（含）-90%（不含）之间，免费保修期延长两年；年开机率低于85（不含），乙方必须无条件更换新设备，并重新计算新设备的免费保修期，以及赔偿甲方的直接经济损失和间接经济损失，以上费用均已包含在洽谈报价中。【注：年开机率=（365-停机天数）/365】</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Theme="minorEastAsia" w:hAnsiTheme="minorEastAsia" w:eastAsiaTheme="minorEastAsia" w:cstheme="minorEastAsia"/>
                <w:b w:val="0"/>
                <w:bCs w:val="0"/>
                <w:color w:val="10243F" w:themeColor="text2" w:themeShade="80"/>
                <w:sz w:val="21"/>
                <w:szCs w:val="21"/>
                <w:highlight w:val="none"/>
                <w:lang w:eastAsia="zh-CN"/>
              </w:rPr>
              <w:t>提供工程师电话和技术维修力量情况和维修的详细地址及联系方式。</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Theme="minorEastAsia" w:hAnsiTheme="minorEastAsia" w:eastAsiaTheme="minorEastAsia" w:cstheme="minorEastAsia"/>
                <w:b w:val="0"/>
                <w:bCs w:val="0"/>
                <w:color w:val="10243F" w:themeColor="text2" w:themeShade="80"/>
                <w:sz w:val="21"/>
                <w:szCs w:val="21"/>
                <w:highlight w:val="none"/>
                <w:lang w:eastAsia="zh-CN"/>
              </w:rPr>
              <w:t>负责安装、调试、提供技术咨询、软件升级及人员培训，以保证采购人工作人员掌握设备各种使用操作，不额外收费。</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Theme="minorEastAsia" w:hAnsiTheme="minorEastAsia" w:eastAsiaTheme="minorEastAsia" w:cstheme="minorEastAsia"/>
                <w:b w:val="0"/>
                <w:bCs w:val="0"/>
                <w:color w:val="10243F" w:themeColor="text2" w:themeShade="80"/>
                <w:sz w:val="21"/>
                <w:szCs w:val="21"/>
                <w:highlight w:val="none"/>
                <w:lang w:eastAsia="zh-CN"/>
              </w:rPr>
              <w:t>如场地迁移，需要移机时，乙方需提供设备拆装服务（包括但不限于本次招标的设备）并提供技术支持，且确保机器的正常使用，不额外收费。</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restart"/>
            <w:vAlign w:val="center"/>
          </w:tcPr>
          <w:p>
            <w:pPr>
              <w:snapToGrid w:val="0"/>
              <w:spacing w:line="460" w:lineRule="exact"/>
              <w:jc w:val="center"/>
              <w:rPr>
                <w:rFonts w:hint="eastAsia" w:ascii="宋体" w:hAnsi="宋体" w:cs="宋体"/>
                <w:b/>
                <w:color w:val="000000"/>
                <w:kern w:val="0"/>
                <w:szCs w:val="21"/>
                <w:lang w:eastAsia="zh-CN"/>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八</w:t>
            </w:r>
            <w:r>
              <w:rPr>
                <w:rFonts w:hint="eastAsia" w:ascii="宋体" w:hAnsi="宋体" w:cs="宋体"/>
                <w:b/>
                <w:szCs w:val="21"/>
                <w:highlight w:val="none"/>
                <w:lang w:eastAsia="zh-CN"/>
              </w:rPr>
              <w:t>）</w:t>
            </w:r>
          </w:p>
        </w:tc>
        <w:tc>
          <w:tcPr>
            <w:tcW w:w="655" w:type="pct"/>
            <w:vMerge w:val="restart"/>
            <w:vAlign w:val="center"/>
          </w:tcPr>
          <w:p>
            <w:pPr>
              <w:snapToGrid w:val="0"/>
              <w:spacing w:line="460" w:lineRule="exact"/>
              <w:jc w:val="center"/>
              <w:rPr>
                <w:rFonts w:hint="eastAsia" w:ascii="宋体" w:hAnsi="宋体" w:cs="宋体"/>
                <w:b/>
                <w:szCs w:val="21"/>
              </w:rPr>
            </w:pPr>
            <w:r>
              <w:rPr>
                <w:rFonts w:hint="eastAsia" w:ascii="宋体" w:hAnsi="宋体" w:cs="宋体"/>
                <w:color w:val="FF0000"/>
                <w:kern w:val="0"/>
                <w:sz w:val="22"/>
                <w:szCs w:val="20"/>
                <w:highlight w:val="yellow"/>
              </w:rPr>
              <w:t>★</w:t>
            </w:r>
            <w:r>
              <w:rPr>
                <w:rFonts w:hint="eastAsia" w:ascii="宋体" w:hAnsi="宋体" w:cs="宋体"/>
                <w:b/>
                <w:sz w:val="22"/>
                <w:szCs w:val="20"/>
                <w:highlight w:val="yellow"/>
                <w:lang w:val="en-US" w:eastAsia="zh-CN"/>
              </w:rPr>
              <w:t>违约责任</w:t>
            </w:r>
            <w:r>
              <w:rPr>
                <w:rFonts w:hint="eastAsia" w:ascii="宋体" w:hAnsi="宋体" w:cs="宋体"/>
                <w:b/>
                <w:sz w:val="22"/>
                <w:szCs w:val="20"/>
                <w:highlight w:val="yellow"/>
              </w:rPr>
              <w:t>：</w:t>
            </w: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中标人所交的设备品种、规格、型号、质量等任何一项不符合同规定标准的，采购人有权拒绝收货，中标人向采购人支付本合同总金额百分之二十的违约金，并需在采购人指定期限内重新提供，否则采购人有权解除合同。 </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中标人若逾期30日以上不能交付设备，采购人有权选择解除合同并且中标人应向采购人支付本合同总金额百分之二十的违约金。 </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中标人逾期交付设备或安装调试，中标人向采购人每日支付本合同总金额万分之五的违约金。  </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如中标人未按照本合同的约定提供售后服务，中标人向采购人支付本合同总金额百分之二十的违约金，给采购人造成损失的，中标人应承担全部赔偿责任。  </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 xml:space="preserve">中标人所供设备因质量、缺陷、技术标准等问题，给采购人或实际使用人造成损害的，中标人接到采购人通知后立即到现场配合采购人处理事故，一切赔偿责任及法律责任由中标人承担。 </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中标人如交付假冒伪劣、以旧充新、以不合格冒充合格产品，一经发现，采购人有权选择解除合同并且中标人应向采购人支付本合同总金额百分之二十的违约金，给采购人造成损失的，中标人应承担全部赔偿责任。</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Align w:val="center"/>
          </w:tcPr>
          <w:p>
            <w:pPr>
              <w:snapToGrid w:val="0"/>
              <w:spacing w:line="460" w:lineRule="exact"/>
              <w:jc w:val="center"/>
              <w:rPr>
                <w:rFonts w:hint="eastAsia" w:ascii="宋体" w:hAnsi="宋体" w:cs="宋体"/>
                <w:b/>
                <w:color w:val="000000"/>
                <w:kern w:val="0"/>
                <w:szCs w:val="21"/>
                <w:lang w:eastAsia="zh-CN"/>
              </w:rPr>
            </w:pPr>
          </w:p>
        </w:tc>
        <w:tc>
          <w:tcPr>
            <w:tcW w:w="655" w:type="pct"/>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8、如果采购人对中标人提供的产品有质量异议的，可以视具体情况暂时中止支付争议款项或其他相关款项，直到争议解除，采购人不因此承担延期付款的违约责任。</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Align w:val="center"/>
          </w:tcPr>
          <w:p>
            <w:pPr>
              <w:snapToGrid w:val="0"/>
              <w:spacing w:line="460" w:lineRule="exact"/>
              <w:jc w:val="center"/>
              <w:rPr>
                <w:rFonts w:hint="eastAsia" w:ascii="宋体" w:hAnsi="宋体" w:cs="宋体"/>
                <w:b/>
                <w:color w:val="000000"/>
                <w:kern w:val="0"/>
                <w:szCs w:val="21"/>
                <w:lang w:eastAsia="zh-CN"/>
              </w:rPr>
            </w:pPr>
          </w:p>
        </w:tc>
        <w:tc>
          <w:tcPr>
            <w:tcW w:w="655" w:type="pct"/>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lang w:val="en-US" w:eastAsia="zh-CN"/>
              </w:rPr>
            </w:pP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9、</w:t>
            </w:r>
            <w:r>
              <w:rPr>
                <w:rFonts w:hint="eastAsia" w:asciiTheme="minorEastAsia" w:hAnsiTheme="minorEastAsia" w:eastAsiaTheme="minorEastAsia" w:cstheme="minorEastAsia"/>
                <w:b w:val="0"/>
                <w:bCs w:val="0"/>
                <w:color w:val="10243F" w:themeColor="text2" w:themeShade="80"/>
                <w:sz w:val="21"/>
                <w:szCs w:val="21"/>
                <w:highlight w:val="none"/>
                <w:lang w:eastAsia="zh-CN"/>
              </w:rPr>
              <w:t>中标人提供的产品不合格，或产品存在瑕疵、缺陷，采购人有权暂停支付中标人项下相应到期应付货款，且不视为采购人违约，直到双方正式处理完不合格产品为止。</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restart"/>
            <w:vAlign w:val="center"/>
          </w:tcPr>
          <w:p>
            <w:pPr>
              <w:snapToGrid w:val="0"/>
              <w:spacing w:line="460" w:lineRule="exact"/>
              <w:jc w:val="center"/>
              <w:rPr>
                <w:rFonts w:hint="eastAsia" w:ascii="宋体" w:hAnsi="宋体" w:cs="宋体"/>
                <w:b/>
                <w:color w:val="000000"/>
                <w:kern w:val="0"/>
                <w:szCs w:val="21"/>
                <w:lang w:eastAsia="zh-CN"/>
              </w:rPr>
            </w:pPr>
            <w:r>
              <w:rPr>
                <w:rFonts w:hint="eastAsia" w:ascii="宋体" w:hAnsi="宋体" w:cs="宋体"/>
                <w:b/>
                <w:szCs w:val="21"/>
                <w:highlight w:val="none"/>
                <w:lang w:eastAsia="zh-CN"/>
              </w:rPr>
              <w:t>（</w:t>
            </w:r>
            <w:r>
              <w:rPr>
                <w:rFonts w:hint="eastAsia" w:ascii="宋体" w:hAnsi="宋体" w:cs="宋体"/>
                <w:b/>
                <w:szCs w:val="21"/>
                <w:highlight w:val="none"/>
                <w:lang w:val="en-US" w:eastAsia="zh-CN"/>
              </w:rPr>
              <w:t>九</w:t>
            </w:r>
            <w:r>
              <w:rPr>
                <w:rFonts w:hint="eastAsia" w:ascii="宋体" w:hAnsi="宋体" w:cs="宋体"/>
                <w:b/>
                <w:szCs w:val="21"/>
                <w:highlight w:val="none"/>
                <w:lang w:eastAsia="zh-CN"/>
              </w:rPr>
              <w:t>）</w:t>
            </w:r>
          </w:p>
        </w:tc>
        <w:tc>
          <w:tcPr>
            <w:tcW w:w="655" w:type="pct"/>
            <w:vMerge w:val="restart"/>
            <w:vAlign w:val="center"/>
          </w:tcPr>
          <w:p>
            <w:pPr>
              <w:pStyle w:val="43"/>
              <w:keepNext w:val="0"/>
              <w:keepLines w:val="0"/>
              <w:pageBreakBefore w:val="0"/>
              <w:widowControl w:val="0"/>
              <w:numPr>
                <w:ilvl w:val="0"/>
                <w:numId w:val="0"/>
              </w:numPr>
              <w:kinsoku/>
              <w:wordWrap/>
              <w:overflowPunct/>
              <w:topLinePunct w:val="0"/>
              <w:autoSpaceDE/>
              <w:autoSpaceDN/>
              <w:bidi w:val="0"/>
              <w:spacing w:line="460" w:lineRule="atLeast"/>
              <w:jc w:val="center"/>
              <w:textAlignment w:val="auto"/>
              <w:rPr>
                <w:rFonts w:hint="eastAsia" w:ascii="宋体" w:hAnsi="宋体" w:cs="宋体"/>
                <w:b/>
                <w:szCs w:val="21"/>
              </w:rPr>
            </w:pPr>
            <w:r>
              <w:rPr>
                <w:rFonts w:hint="eastAsia" w:ascii="宋体" w:hAnsi="宋体" w:cs="宋体"/>
                <w:color w:val="FF0000"/>
                <w:kern w:val="0"/>
                <w:szCs w:val="21"/>
                <w:highlight w:val="yellow"/>
              </w:rPr>
              <w:t>★</w:t>
            </w:r>
            <w:r>
              <w:rPr>
                <w:rFonts w:hint="eastAsia" w:ascii="宋体" w:hAnsi="宋体" w:cs="宋体"/>
                <w:b/>
                <w:szCs w:val="21"/>
                <w:highlight w:val="yellow"/>
                <w:lang w:eastAsia="zh-CN"/>
              </w:rPr>
              <w:t>其他要求</w:t>
            </w:r>
            <w:r>
              <w:rPr>
                <w:rFonts w:hint="eastAsia" w:ascii="宋体" w:hAnsi="宋体" w:cs="宋体"/>
                <w:b/>
                <w:szCs w:val="21"/>
                <w:highlight w:val="yellow"/>
              </w:rPr>
              <w:t>：</w:t>
            </w: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本项目中如有涉及水、电、气设备安装及调试、室外高空作业等项目的中标人应使用具有国家认可资质的操作人员（资质证书仍在有效期内）实施，否则由此造成的后果由中标人负责。</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Theme="minorEastAsia" w:hAnsiTheme="minorEastAsia" w:eastAsiaTheme="minorEastAsia" w:cstheme="minorEastAsia"/>
                <w:b w:val="0"/>
                <w:bCs w:val="0"/>
                <w:color w:val="10243F" w:themeColor="text2" w:themeShade="80"/>
                <w:sz w:val="21"/>
                <w:szCs w:val="21"/>
                <w:highlight w:val="none"/>
                <w:lang w:eastAsia="zh-CN"/>
              </w:rPr>
              <w:t>本项目所要求的硬件、软件，中标人要配备给采购人，并保证采购人能正常使用，不需要另外增加其他附件和其他费用。</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Theme="minorEastAsia" w:hAnsiTheme="minorEastAsia" w:eastAsiaTheme="minorEastAsia" w:cstheme="minorEastAsia"/>
                <w:b w:val="0"/>
                <w:bCs w:val="0"/>
                <w:color w:val="10243F" w:themeColor="text2" w:themeShade="80"/>
                <w:sz w:val="21"/>
                <w:szCs w:val="21"/>
                <w:highlight w:val="none"/>
                <w:lang w:eastAsia="zh-CN"/>
              </w:rPr>
              <w:t>涉及软件应用的设备，中标人和厂家应配合采购人智慧采购人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Theme="minorEastAsia" w:hAnsiTheme="minorEastAsia" w:eastAsiaTheme="minorEastAsia" w:cstheme="minorEastAsia"/>
                <w:b w:val="0"/>
                <w:bCs w:val="0"/>
                <w:color w:val="10243F" w:themeColor="text2" w:themeShade="80"/>
                <w:sz w:val="21"/>
                <w:szCs w:val="21"/>
                <w:highlight w:val="none"/>
                <w:lang w:eastAsia="zh-CN"/>
              </w:rPr>
              <w:t>投标机型的硬件及软件配置均须是注册证或官方白皮书所描述的，且在不同的应用领域（临床、科研）新技术改进、更新的产品。</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8" w:type="pct"/>
            <w:vMerge w:val="continue"/>
            <w:vAlign w:val="center"/>
          </w:tcPr>
          <w:p>
            <w:pPr>
              <w:snapToGrid w:val="0"/>
              <w:spacing w:line="460" w:lineRule="exact"/>
              <w:jc w:val="center"/>
              <w:rPr>
                <w:rFonts w:hint="eastAsia" w:ascii="宋体" w:hAnsi="宋体" w:cs="宋体"/>
                <w:b/>
                <w:color w:val="000000"/>
                <w:kern w:val="0"/>
                <w:szCs w:val="21"/>
                <w:lang w:eastAsia="zh-CN"/>
              </w:rPr>
            </w:pPr>
          </w:p>
        </w:tc>
        <w:tc>
          <w:tcPr>
            <w:tcW w:w="655" w:type="pct"/>
            <w:vMerge w:val="continue"/>
            <w:vAlign w:val="center"/>
          </w:tcPr>
          <w:p>
            <w:pPr>
              <w:snapToGrid w:val="0"/>
              <w:spacing w:line="460" w:lineRule="exact"/>
              <w:jc w:val="center"/>
              <w:rPr>
                <w:rFonts w:hint="eastAsia" w:ascii="宋体" w:hAnsi="宋体" w:cs="宋体"/>
                <w:b/>
                <w:szCs w:val="21"/>
              </w:rPr>
            </w:pPr>
          </w:p>
        </w:tc>
        <w:tc>
          <w:tcPr>
            <w:tcW w:w="1235" w:type="pct"/>
          </w:tcPr>
          <w:p>
            <w:pPr>
              <w:pStyle w:val="2"/>
              <w:keepNext w:val="0"/>
              <w:keepLines w:val="0"/>
              <w:pageBreakBefore w:val="0"/>
              <w:overflowPunct/>
              <w:topLinePunct w:val="0"/>
              <w:bidi w:val="0"/>
              <w:spacing w:before="0" w:after="0" w:line="24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Theme="minorEastAsia" w:hAnsiTheme="minorEastAsia" w:eastAsiaTheme="minorEastAsia" w:cstheme="minorEastAsia"/>
                <w:b w:val="0"/>
                <w:bCs w:val="0"/>
                <w:color w:val="10243F" w:themeColor="text2" w:themeShade="80"/>
                <w:sz w:val="21"/>
                <w:szCs w:val="21"/>
                <w:highlight w:val="none"/>
                <w:lang w:val="en-US" w:eastAsia="zh-CN"/>
              </w:rPr>
              <w:t>设备使用期间，发生产品召回事件，中标人提供替代或赔偿方案。</w:t>
            </w:r>
          </w:p>
        </w:tc>
        <w:tc>
          <w:tcPr>
            <w:tcW w:w="1143" w:type="pct"/>
          </w:tcPr>
          <w:p>
            <w:pPr>
              <w:snapToGrid w:val="0"/>
              <w:rPr>
                <w:rFonts w:ascii="宋体" w:hAnsi="宋体" w:cs="宋体"/>
                <w:kern w:val="0"/>
                <w:szCs w:val="21"/>
              </w:rPr>
            </w:pPr>
          </w:p>
        </w:tc>
        <w:tc>
          <w:tcPr>
            <w:tcW w:w="901" w:type="pct"/>
          </w:tcPr>
          <w:p>
            <w:pPr>
              <w:snapToGrid w:val="0"/>
              <w:rPr>
                <w:rFonts w:ascii="宋体" w:hAnsi="宋体" w:cs="宋体"/>
                <w:kern w:val="0"/>
                <w:szCs w:val="21"/>
              </w:rPr>
            </w:pPr>
          </w:p>
        </w:tc>
        <w:tc>
          <w:tcPr>
            <w:tcW w:w="724" w:type="pct"/>
          </w:tcPr>
          <w:p>
            <w:pPr>
              <w:snapToGrid w:val="0"/>
              <w:rPr>
                <w:rFonts w:ascii="宋体" w:hAnsi="宋体" w:cs="宋体"/>
                <w:kern w:val="0"/>
                <w:szCs w:val="21"/>
              </w:rPr>
            </w:pPr>
          </w:p>
        </w:tc>
      </w:tr>
    </w:tbl>
    <w:p>
      <w:pPr>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《商务要求偏离表》编制指引：</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1、商务要求偏离表的序号、招标商务要求等栏目对应“用户需求书”中的“商务要求”章节相关内容。</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2、“投标商务响应”一栏必须一一对照“招标商务要求”，</w:t>
      </w:r>
      <w:r>
        <w:rPr>
          <w:rFonts w:hint="eastAsia" w:asciiTheme="minorEastAsia" w:hAnsiTheme="minorEastAsia" w:eastAsiaTheme="minorEastAsia" w:cstheme="minorEastAsia"/>
          <w:b/>
          <w:color w:val="0070C0"/>
          <w:sz w:val="21"/>
          <w:szCs w:val="21"/>
        </w:rPr>
        <w:t>详细填写自身响应情况，而不能不合理照搬照抄招标文件的商务要求，</w:t>
      </w:r>
      <w:r>
        <w:rPr>
          <w:rFonts w:hint="eastAsia" w:asciiTheme="minorEastAsia" w:hAnsiTheme="minorEastAsia" w:eastAsiaTheme="minorEastAsia" w:cstheme="minorEastAsia"/>
          <w:b/>
          <w:color w:val="FF0000"/>
          <w:sz w:val="21"/>
          <w:szCs w:val="21"/>
        </w:rPr>
        <w:t>以体现具体响应情况。</w:t>
      </w:r>
    </w:p>
    <w:p>
      <w:pPr>
        <w:ind w:firstLine="422"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b/>
          <w:color w:val="FF0000"/>
          <w:sz w:val="21"/>
          <w:szCs w:val="21"/>
        </w:rPr>
        <w:t>3、“偏离情况”一栏填写如实填写“正偏离”、“负偏离”或“无偏离”，其中：“正偏离”表示“投标响应优于招标商务要求”，“负偏离”表示“投标响应不满足招标商务要求”，“无偏离”表示“投标响应与招标商务要求一致”。</w:t>
      </w:r>
    </w:p>
    <w:p>
      <w:pPr>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“投标商务响应”对比“招标商务要求”存在响应不全（包括未响应整项招标商务要求或者未响应一项招标商务要求的部分内容），均视为“负偏离”。</w:t>
      </w:r>
    </w:p>
    <w:p>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4.</w:t>
      </w:r>
      <w:r>
        <w:rPr>
          <w:rFonts w:hint="eastAsia" w:asciiTheme="minorEastAsia" w:hAnsiTheme="minorEastAsia" w:eastAsiaTheme="minorEastAsia" w:cstheme="minorEastAsia"/>
          <w:b/>
          <w:color w:val="FF0000"/>
          <w:sz w:val="21"/>
          <w:szCs w:val="21"/>
        </w:rPr>
        <w:t>带★号条款为不可偏离条款，如未响应或出现负偏离的，将作投标无效处理。</w:t>
      </w:r>
      <w:bookmarkEnd w:id="47"/>
      <w:bookmarkStart w:id="48" w:name="_Toc5476"/>
    </w:p>
    <w:p>
      <w:pPr>
        <w:ind w:firstLine="422" w:firstLineChars="200"/>
        <w:rPr>
          <w:rFonts w:hint="eastAsia" w:asciiTheme="minorEastAsia" w:hAnsiTheme="minorEastAsia" w:eastAsiaTheme="minorEastAsia" w:cstheme="minorEastAsia"/>
          <w:b/>
          <w:color w:val="FF0000"/>
          <w:sz w:val="21"/>
          <w:szCs w:val="21"/>
          <w:lang w:val="en-US" w:eastAsia="zh-CN"/>
        </w:rPr>
      </w:pPr>
    </w:p>
    <w:p>
      <w:pPr>
        <w:keepNext/>
        <w:keepLines/>
        <w:widowControl w:val="0"/>
        <w:spacing w:line="360" w:lineRule="auto"/>
        <w:jc w:val="both"/>
        <w:outlineLvl w:val="3"/>
        <w:rPr>
          <w:rFonts w:hint="default" w:asciiTheme="minorEastAsia" w:hAnsiTheme="minorEastAsia" w:eastAsiaTheme="minorEastAsia" w:cstheme="minorEastAsia"/>
          <w:b/>
          <w:bCs/>
          <w:kern w:val="2"/>
          <w:sz w:val="21"/>
          <w:szCs w:val="21"/>
          <w:lang w:val="en-US" w:eastAsia="zh-CN"/>
        </w:rPr>
      </w:pPr>
      <w:r>
        <w:rPr>
          <w:rFonts w:hint="eastAsia" w:asciiTheme="minorEastAsia" w:hAnsiTheme="minorEastAsia" w:cstheme="minorEastAsia"/>
          <w:b/>
          <w:bCs/>
          <w:kern w:val="2"/>
          <w:sz w:val="21"/>
          <w:szCs w:val="21"/>
          <w:lang w:val="en-US" w:eastAsia="zh-CN"/>
        </w:rPr>
        <w:t>证明材料：</w:t>
      </w:r>
    </w:p>
    <w:p>
      <w:pPr>
        <w:keepNext/>
        <w:keepLines/>
        <w:widowControl w:val="0"/>
        <w:spacing w:line="360" w:lineRule="auto"/>
        <w:jc w:val="both"/>
        <w:outlineLvl w:val="3"/>
        <w:rPr>
          <w:rFonts w:hint="eastAsia" w:asciiTheme="minorEastAsia" w:hAnsiTheme="minorEastAsia" w:eastAsiaTheme="minorEastAsia" w:cstheme="minorEastAsia"/>
          <w:b/>
          <w:bCs/>
          <w:kern w:val="2"/>
          <w:sz w:val="21"/>
          <w:szCs w:val="21"/>
          <w:lang w:val="en-US" w:eastAsia="zh-CN"/>
        </w:rPr>
      </w:pPr>
    </w:p>
    <w:p>
      <w:pPr>
        <w:keepNext/>
        <w:keepLines/>
        <w:widowControl w:val="0"/>
        <w:spacing w:line="360" w:lineRule="auto"/>
        <w:jc w:val="both"/>
        <w:outlineLvl w:val="3"/>
        <w:rPr>
          <w:rFonts w:hint="eastAsia" w:asciiTheme="minorEastAsia" w:hAnsiTheme="minorEastAsia" w:eastAsiaTheme="minorEastAsia" w:cstheme="minorEastAsia"/>
          <w:b/>
          <w:bCs/>
          <w:kern w:val="2"/>
          <w:sz w:val="21"/>
          <w:szCs w:val="21"/>
          <w:lang w:val="en-US" w:eastAsia="zh-CN"/>
        </w:rPr>
      </w:pPr>
    </w:p>
    <w:p>
      <w:pPr>
        <w:keepNext/>
        <w:keepLines/>
        <w:widowControl w:val="0"/>
        <w:spacing w:line="360" w:lineRule="auto"/>
        <w:jc w:val="both"/>
        <w:outlineLvl w:val="3"/>
        <w:rPr>
          <w:rFonts w:hint="eastAsia" w:asciiTheme="minorEastAsia" w:hAnsiTheme="minorEastAsia" w:cstheme="minorEastAsia"/>
          <w:b/>
          <w:bCs/>
          <w:kern w:val="2"/>
          <w:sz w:val="21"/>
          <w:szCs w:val="21"/>
          <w:lang w:val="en-US" w:eastAsia="zh-CN"/>
        </w:rPr>
        <w:sectPr>
          <w:headerReference r:id="rId3" w:type="default"/>
          <w:pgSz w:w="11906" w:h="16838"/>
          <w:pgMar w:top="1440" w:right="1800" w:bottom="1440" w:left="1800" w:header="720" w:footer="720" w:gutter="0"/>
          <w:cols w:space="720" w:num="1"/>
        </w:sectPr>
      </w:pPr>
    </w:p>
    <w:p>
      <w:pPr>
        <w:keepNext/>
        <w:keepLines/>
        <w:widowControl w:val="0"/>
        <w:spacing w:line="360" w:lineRule="auto"/>
        <w:jc w:val="both"/>
        <w:outlineLvl w:val="3"/>
        <w:rPr>
          <w:rFonts w:hint="eastAsia" w:asciiTheme="minorEastAsia" w:hAnsiTheme="minorEastAsia" w:cstheme="minorEastAsia"/>
          <w:b/>
          <w:bCs/>
          <w:kern w:val="2"/>
          <w:sz w:val="24"/>
          <w:szCs w:val="24"/>
          <w:lang w:val="en-US" w:eastAsia="zh-CN"/>
        </w:rPr>
      </w:pPr>
      <w:r>
        <w:rPr>
          <w:rFonts w:hint="eastAsia" w:asciiTheme="minorEastAsia" w:hAnsiTheme="minorEastAsia" w:cstheme="minorEastAsia"/>
          <w:b/>
          <w:bCs/>
          <w:kern w:val="2"/>
          <w:sz w:val="24"/>
          <w:szCs w:val="24"/>
          <w:lang w:val="en-US" w:eastAsia="zh-CN"/>
        </w:rPr>
        <w:t>十</w:t>
      </w:r>
      <w:r>
        <w:rPr>
          <w:rFonts w:hint="eastAsia" w:asciiTheme="minorEastAsia" w:hAnsiTheme="minorEastAsia" w:eastAsiaTheme="minorEastAsia" w:cstheme="minorEastAsia"/>
          <w:b/>
          <w:bCs/>
          <w:kern w:val="2"/>
          <w:sz w:val="24"/>
          <w:szCs w:val="24"/>
        </w:rPr>
        <w:t>、</w:t>
      </w:r>
      <w:bookmarkEnd w:id="48"/>
      <w:r>
        <w:rPr>
          <w:rFonts w:hint="eastAsia" w:asciiTheme="minorEastAsia" w:hAnsiTheme="minorEastAsia" w:cstheme="minorEastAsia"/>
          <w:b/>
          <w:bCs/>
          <w:kern w:val="2"/>
          <w:sz w:val="24"/>
          <w:szCs w:val="24"/>
          <w:lang w:val="en-US" w:eastAsia="zh-CN"/>
        </w:rPr>
        <w:t>其他响应评分的内容及佐证材料（如业绩等）</w:t>
      </w:r>
    </w:p>
    <w:p>
      <w:pPr>
        <w:pStyle w:val="25"/>
        <w:ind w:left="0" w:leftChars="0" w:firstLine="0" w:firstLineChars="0"/>
        <w:rPr>
          <w:rFonts w:hint="eastAsia" w:asciiTheme="minorEastAsia" w:hAnsiTheme="minorEastAsia" w:cstheme="minorEastAsia"/>
          <w:b/>
          <w:bCs/>
          <w:kern w:val="2"/>
          <w:sz w:val="24"/>
          <w:szCs w:val="24"/>
          <w:lang w:val="en-US" w:eastAsia="zh-CN"/>
        </w:rPr>
      </w:pPr>
    </w:p>
    <w:p>
      <w:pPr>
        <w:pStyle w:val="25"/>
        <w:ind w:left="0" w:leftChars="0" w:firstLine="0" w:firstLineChars="0"/>
        <w:rPr>
          <w:rFonts w:hint="eastAsia" w:asciiTheme="minorEastAsia" w:hAnsiTheme="minorEastAsia" w:cstheme="minorEastAsia"/>
          <w:b/>
          <w:bCs/>
          <w:kern w:val="2"/>
          <w:sz w:val="24"/>
          <w:szCs w:val="24"/>
          <w:lang w:val="en-US" w:eastAsia="zh-CN"/>
        </w:rPr>
      </w:pPr>
    </w:p>
    <w:p>
      <w:pPr>
        <w:pStyle w:val="25"/>
        <w:ind w:left="0" w:leftChars="0" w:firstLine="0" w:firstLineChars="0"/>
        <w:rPr>
          <w:rFonts w:hint="eastAsia" w:asciiTheme="minorEastAsia" w:hAnsiTheme="minorEastAsia" w:cstheme="minorEastAsia"/>
          <w:b/>
          <w:bCs/>
          <w:kern w:val="2"/>
          <w:sz w:val="24"/>
          <w:szCs w:val="24"/>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right="0" w:rightChars="0"/>
        <w:jc w:val="both"/>
        <w:textAlignment w:val="auto"/>
        <w:rPr>
          <w:rFonts w:hint="default"/>
          <w:sz w:val="24"/>
          <w:szCs w:val="24"/>
          <w:lang w:val="en-US" w:eastAsia="zh-CN"/>
        </w:rPr>
      </w:pPr>
      <w:r>
        <w:rPr>
          <w:rFonts w:hint="eastAsia" w:asciiTheme="minorEastAsia" w:hAnsiTheme="minorEastAsia" w:cstheme="minorEastAsia"/>
          <w:b/>
          <w:bCs/>
          <w:kern w:val="2"/>
          <w:sz w:val="24"/>
          <w:szCs w:val="24"/>
          <w:lang w:val="en-US" w:eastAsia="zh-CN" w:bidi="ar-SA"/>
        </w:rPr>
        <w:t>十一、</w:t>
      </w:r>
      <w:r>
        <w:rPr>
          <w:rFonts w:hint="eastAsia" w:asciiTheme="minorEastAsia" w:hAnsiTheme="minorEastAsia" w:eastAsiaTheme="minorEastAsia" w:cstheme="minorEastAsia"/>
          <w:b/>
          <w:bCs/>
          <w:kern w:val="2"/>
          <w:sz w:val="24"/>
          <w:szCs w:val="24"/>
          <w:lang w:val="en-US" w:eastAsia="zh-CN" w:bidi="ar-SA"/>
        </w:rPr>
        <w:t>产品的保障措施</w:t>
      </w:r>
    </w:p>
    <w:p>
      <w:pPr>
        <w:pStyle w:val="25"/>
        <w:numPr>
          <w:ilvl w:val="0"/>
          <w:numId w:val="0"/>
        </w:numPr>
        <w:rPr>
          <w:rFonts w:hint="eastAsia"/>
          <w:sz w:val="24"/>
          <w:szCs w:val="24"/>
          <w:lang w:val="en-US" w:eastAsia="zh-CN"/>
        </w:rPr>
      </w:pPr>
    </w:p>
    <w:p>
      <w:pPr>
        <w:keepNext/>
        <w:keepLines/>
        <w:widowControl w:val="0"/>
        <w:spacing w:line="360" w:lineRule="auto"/>
        <w:jc w:val="both"/>
        <w:outlineLvl w:val="3"/>
        <w:rPr>
          <w:rFonts w:hint="eastAsia" w:asciiTheme="minorEastAsia" w:hAnsiTheme="minorEastAsia" w:cstheme="minorEastAsia"/>
          <w:b/>
          <w:bCs/>
          <w:kern w:val="2"/>
          <w:sz w:val="21"/>
          <w:szCs w:val="21"/>
          <w:lang w:val="en-US" w:eastAsia="zh-CN"/>
        </w:rPr>
      </w:pPr>
    </w:p>
    <w:p>
      <w:pPr>
        <w:pStyle w:val="18"/>
        <w:spacing w:line="420" w:lineRule="exact"/>
        <w:rPr>
          <w:rFonts w:hint="eastAsia" w:asciiTheme="minorEastAsia" w:hAnsiTheme="minorEastAsia" w:eastAsiaTheme="minorEastAsia" w:cstheme="minorEastAsia"/>
          <w:sz w:val="21"/>
          <w:szCs w:val="21"/>
        </w:rPr>
      </w:pPr>
    </w:p>
    <w:p>
      <w:pPr>
        <w:pStyle w:val="14"/>
        <w:spacing w:line="420" w:lineRule="exact"/>
        <w:ind w:left="0" w:firstLine="0"/>
        <w:rPr>
          <w:rFonts w:hint="eastAsia" w:asciiTheme="minorEastAsia" w:hAnsiTheme="minorEastAsia" w:eastAsiaTheme="minorEastAsia" w:cstheme="minorEastAsia"/>
          <w:b/>
          <w:kern w:val="2"/>
          <w:sz w:val="21"/>
          <w:szCs w:val="21"/>
        </w:rPr>
      </w:pPr>
    </w:p>
    <w:bookmarkEnd w:id="45"/>
    <w:bookmarkEnd w:id="46"/>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pStyle w:val="2"/>
        <w:rPr>
          <w:rFonts w:hint="eastAsia" w:asciiTheme="minorEastAsia" w:hAnsiTheme="minorEastAsia" w:eastAsiaTheme="minorEastAsia" w:cstheme="minorEastAsia"/>
          <w:b/>
          <w:sz w:val="21"/>
          <w:szCs w:val="21"/>
        </w:rPr>
      </w:pPr>
    </w:p>
    <w:p>
      <w:pPr>
        <w:pStyle w:val="2"/>
        <w:rPr>
          <w:rFonts w:hint="eastAsia" w:asciiTheme="minorEastAsia" w:hAnsiTheme="minorEastAsia" w:eastAsiaTheme="minorEastAsia" w:cstheme="minorEastAsia"/>
          <w:b/>
          <w:sz w:val="21"/>
          <w:szCs w:val="21"/>
        </w:rPr>
      </w:pPr>
    </w:p>
    <w:p>
      <w:pPr>
        <w:pStyle w:val="2"/>
        <w:rPr>
          <w:rFonts w:hint="eastAsia" w:asciiTheme="minorEastAsia" w:hAnsiTheme="minorEastAsia" w:eastAsiaTheme="minorEastAsia" w:cstheme="minorEastAsia"/>
          <w:b/>
          <w:sz w:val="21"/>
          <w:szCs w:val="21"/>
        </w:rPr>
      </w:pPr>
    </w:p>
    <w:p>
      <w:pPr>
        <w:pStyle w:val="2"/>
        <w:rPr>
          <w:rFonts w:hint="eastAsia" w:asciiTheme="minorEastAsia" w:hAnsiTheme="minorEastAsia" w:eastAsiaTheme="minorEastAsia" w:cstheme="minorEastAsia"/>
          <w:b/>
          <w:sz w:val="21"/>
          <w:szCs w:val="21"/>
        </w:rPr>
      </w:pPr>
    </w:p>
    <w:p>
      <w:pPr>
        <w:pStyle w:val="2"/>
        <w:rPr>
          <w:rFonts w:hint="eastAsia" w:asciiTheme="minorEastAsia" w:hAnsiTheme="minorEastAsia" w:eastAsiaTheme="minorEastAsia" w:cstheme="minorEastAsia"/>
          <w:b/>
          <w:sz w:val="21"/>
          <w:szCs w:val="21"/>
        </w:rPr>
      </w:pPr>
    </w:p>
    <w:p>
      <w:pPr>
        <w:pStyle w:val="2"/>
        <w:rPr>
          <w:rFonts w:hint="eastAsia" w:asciiTheme="minorEastAsia" w:hAnsiTheme="minorEastAsia" w:eastAsiaTheme="minorEastAsia" w:cstheme="minorEastAsia"/>
          <w:b/>
          <w:sz w:val="21"/>
          <w:szCs w:val="21"/>
        </w:rPr>
      </w:pPr>
    </w:p>
    <w:p>
      <w:pPr>
        <w:pStyle w:val="2"/>
        <w:rPr>
          <w:rFonts w:hint="eastAsia" w:asciiTheme="minorEastAsia" w:hAnsiTheme="minorEastAsia" w:eastAsiaTheme="minorEastAsia" w:cstheme="minorEastAsia"/>
          <w:b/>
          <w:sz w:val="21"/>
          <w:szCs w:val="21"/>
        </w:rPr>
      </w:pPr>
    </w:p>
    <w:p>
      <w:pPr>
        <w:pStyle w:val="2"/>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rPr>
          <w:rFonts w:hint="eastAsia" w:asciiTheme="minorEastAsia" w:hAnsiTheme="minorEastAsia" w:eastAsiaTheme="minorEastAsia" w:cstheme="minorEastAsia"/>
          <w:b/>
          <w:sz w:val="21"/>
          <w:szCs w:val="21"/>
        </w:rPr>
      </w:pPr>
    </w:p>
    <w:p>
      <w:pPr>
        <w:spacing w:line="420" w:lineRule="exact"/>
        <w:ind w:firstLine="422" w:firstLineChars="200"/>
        <w:rPr>
          <w:rFonts w:hint="eastAsia" w:asciiTheme="minorEastAsia" w:hAnsiTheme="minorEastAsia" w:eastAsiaTheme="minorEastAsia" w:cstheme="minorEastAsia"/>
          <w:b/>
          <w:sz w:val="21"/>
          <w:szCs w:val="21"/>
        </w:rPr>
      </w:pPr>
    </w:p>
    <w:p>
      <w:pPr>
        <w:spacing w:line="420" w:lineRule="exact"/>
        <w:rPr>
          <w:rFonts w:hint="eastAsia" w:asciiTheme="minorEastAsia" w:hAnsiTheme="minorEastAsia" w:eastAsiaTheme="minorEastAsia" w:cstheme="minorEastAsia"/>
          <w:bCs/>
          <w:sz w:val="21"/>
          <w:szCs w:val="21"/>
        </w:rPr>
      </w:pPr>
    </w:p>
    <w:sectPr>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H Yb 2gj">
    <w:altName w:val="黑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126E1"/>
    <w:multiLevelType w:val="singleLevel"/>
    <w:tmpl w:val="C1D126E1"/>
    <w:lvl w:ilvl="0" w:tentative="0">
      <w:start w:val="2"/>
      <w:numFmt w:val="chineseCounting"/>
      <w:suff w:val="nothing"/>
      <w:lvlText w:val="%1、"/>
      <w:lvlJc w:val="left"/>
      <w:rPr>
        <w:rFonts w:hint="eastAsia"/>
      </w:rPr>
    </w:lvl>
  </w:abstractNum>
  <w:abstractNum w:abstractNumId="1">
    <w:nsid w:val="08B39CBD"/>
    <w:multiLevelType w:val="singleLevel"/>
    <w:tmpl w:val="08B39CBD"/>
    <w:lvl w:ilvl="0" w:tentative="0">
      <w:start w:val="1"/>
      <w:numFmt w:val="decimal"/>
      <w:suff w:val="nothing"/>
      <w:lvlText w:val="%1、"/>
      <w:lvlJc w:val="left"/>
    </w:lvl>
  </w:abstractNum>
  <w:abstractNum w:abstractNumId="2">
    <w:nsid w:val="2E30D166"/>
    <w:multiLevelType w:val="singleLevel"/>
    <w:tmpl w:val="2E30D166"/>
    <w:lvl w:ilvl="0" w:tentative="0">
      <w:start w:val="3"/>
      <w:numFmt w:val="decimal"/>
      <w:lvlText w:val="%1."/>
      <w:lvlJc w:val="left"/>
      <w:pPr>
        <w:tabs>
          <w:tab w:val="left" w:pos="312"/>
        </w:tabs>
      </w:pPr>
    </w:lvl>
  </w:abstractNum>
  <w:abstractNum w:abstractNumId="3">
    <w:nsid w:val="355E9718"/>
    <w:multiLevelType w:val="singleLevel"/>
    <w:tmpl w:val="355E971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A5739"/>
    <w:rsid w:val="001B0AA5"/>
    <w:rsid w:val="001B64D0"/>
    <w:rsid w:val="001C523E"/>
    <w:rsid w:val="001C5E54"/>
    <w:rsid w:val="001D66BE"/>
    <w:rsid w:val="001D7B18"/>
    <w:rsid w:val="00200D84"/>
    <w:rsid w:val="0020733E"/>
    <w:rsid w:val="002079BC"/>
    <w:rsid w:val="00210947"/>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36F3"/>
    <w:rsid w:val="00316674"/>
    <w:rsid w:val="00324BEA"/>
    <w:rsid w:val="00324D15"/>
    <w:rsid w:val="0032662D"/>
    <w:rsid w:val="003336A3"/>
    <w:rsid w:val="00336EE3"/>
    <w:rsid w:val="00343AB8"/>
    <w:rsid w:val="00347DD8"/>
    <w:rsid w:val="00352494"/>
    <w:rsid w:val="00353010"/>
    <w:rsid w:val="00380E2F"/>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646FB"/>
    <w:rsid w:val="007712D1"/>
    <w:rsid w:val="00772B68"/>
    <w:rsid w:val="00782EEF"/>
    <w:rsid w:val="00784158"/>
    <w:rsid w:val="00786850"/>
    <w:rsid w:val="00787C73"/>
    <w:rsid w:val="007909CA"/>
    <w:rsid w:val="00795A72"/>
    <w:rsid w:val="0079670A"/>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50B7D"/>
    <w:rsid w:val="009645E3"/>
    <w:rsid w:val="00964C05"/>
    <w:rsid w:val="00972279"/>
    <w:rsid w:val="009728CC"/>
    <w:rsid w:val="00976388"/>
    <w:rsid w:val="00992494"/>
    <w:rsid w:val="009A30F1"/>
    <w:rsid w:val="009A67A7"/>
    <w:rsid w:val="009B3F84"/>
    <w:rsid w:val="009D2005"/>
    <w:rsid w:val="009F0303"/>
    <w:rsid w:val="009F5F48"/>
    <w:rsid w:val="00A03AEE"/>
    <w:rsid w:val="00A0467D"/>
    <w:rsid w:val="00A10D22"/>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E15A9"/>
    <w:rsid w:val="00AE5C31"/>
    <w:rsid w:val="00B02B42"/>
    <w:rsid w:val="00B07DA7"/>
    <w:rsid w:val="00B110CA"/>
    <w:rsid w:val="00B23D8D"/>
    <w:rsid w:val="00B31987"/>
    <w:rsid w:val="00B3481D"/>
    <w:rsid w:val="00B56CBE"/>
    <w:rsid w:val="00B57B31"/>
    <w:rsid w:val="00B601FE"/>
    <w:rsid w:val="00B6274E"/>
    <w:rsid w:val="00B64965"/>
    <w:rsid w:val="00B71074"/>
    <w:rsid w:val="00B835F1"/>
    <w:rsid w:val="00B93B58"/>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7489"/>
    <w:rsid w:val="00CD2CDC"/>
    <w:rsid w:val="00CD68BC"/>
    <w:rsid w:val="00CD7264"/>
    <w:rsid w:val="00CE064A"/>
    <w:rsid w:val="00CE3DFF"/>
    <w:rsid w:val="00CE51D9"/>
    <w:rsid w:val="00CE51FB"/>
    <w:rsid w:val="00CE6AFB"/>
    <w:rsid w:val="00CF2AF2"/>
    <w:rsid w:val="00CF3894"/>
    <w:rsid w:val="00CF7117"/>
    <w:rsid w:val="00D073CE"/>
    <w:rsid w:val="00D120F8"/>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E4A"/>
    <w:rsid w:val="00EC09BA"/>
    <w:rsid w:val="00EC23FE"/>
    <w:rsid w:val="00EC56F0"/>
    <w:rsid w:val="00EC7CB9"/>
    <w:rsid w:val="00EE02F7"/>
    <w:rsid w:val="00EE0B0C"/>
    <w:rsid w:val="00EE3AD7"/>
    <w:rsid w:val="00EE669A"/>
    <w:rsid w:val="00EE7BE5"/>
    <w:rsid w:val="00F065D5"/>
    <w:rsid w:val="00F37153"/>
    <w:rsid w:val="00F4246D"/>
    <w:rsid w:val="00F43C5F"/>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034EC1"/>
    <w:rsid w:val="01137ECF"/>
    <w:rsid w:val="013C5B0D"/>
    <w:rsid w:val="01657C13"/>
    <w:rsid w:val="018316A1"/>
    <w:rsid w:val="0183728A"/>
    <w:rsid w:val="018A58CB"/>
    <w:rsid w:val="018E4199"/>
    <w:rsid w:val="01937524"/>
    <w:rsid w:val="019A10AD"/>
    <w:rsid w:val="01A96A7C"/>
    <w:rsid w:val="01B93B6E"/>
    <w:rsid w:val="01BC28E7"/>
    <w:rsid w:val="01CE0603"/>
    <w:rsid w:val="01D70F12"/>
    <w:rsid w:val="01DC34F3"/>
    <w:rsid w:val="01E4093E"/>
    <w:rsid w:val="01E85338"/>
    <w:rsid w:val="01ED334E"/>
    <w:rsid w:val="01F77248"/>
    <w:rsid w:val="01F84CCA"/>
    <w:rsid w:val="01F94B81"/>
    <w:rsid w:val="01FC7E4D"/>
    <w:rsid w:val="01FD4788"/>
    <w:rsid w:val="02246E13"/>
    <w:rsid w:val="02273395"/>
    <w:rsid w:val="022B7710"/>
    <w:rsid w:val="023B31B5"/>
    <w:rsid w:val="025509AB"/>
    <w:rsid w:val="026155F3"/>
    <w:rsid w:val="026268F8"/>
    <w:rsid w:val="02680801"/>
    <w:rsid w:val="0273635F"/>
    <w:rsid w:val="029403CC"/>
    <w:rsid w:val="029F7205"/>
    <w:rsid w:val="02B212F1"/>
    <w:rsid w:val="02B475FB"/>
    <w:rsid w:val="02BD5D0D"/>
    <w:rsid w:val="02BE1E79"/>
    <w:rsid w:val="02E3014B"/>
    <w:rsid w:val="02E57645"/>
    <w:rsid w:val="02EE4C27"/>
    <w:rsid w:val="02FC0103"/>
    <w:rsid w:val="02FD60F2"/>
    <w:rsid w:val="030A5E0C"/>
    <w:rsid w:val="030C130F"/>
    <w:rsid w:val="03190625"/>
    <w:rsid w:val="031D303D"/>
    <w:rsid w:val="032875BA"/>
    <w:rsid w:val="032A1207"/>
    <w:rsid w:val="035B4911"/>
    <w:rsid w:val="035E7A94"/>
    <w:rsid w:val="035F375B"/>
    <w:rsid w:val="03610A19"/>
    <w:rsid w:val="03660724"/>
    <w:rsid w:val="038257E6"/>
    <w:rsid w:val="039649B8"/>
    <w:rsid w:val="039659F0"/>
    <w:rsid w:val="03A055CA"/>
    <w:rsid w:val="03A638A0"/>
    <w:rsid w:val="03D32EE8"/>
    <w:rsid w:val="03E5328D"/>
    <w:rsid w:val="04036024"/>
    <w:rsid w:val="041C6F4E"/>
    <w:rsid w:val="04351B1E"/>
    <w:rsid w:val="04383DFE"/>
    <w:rsid w:val="043A06FC"/>
    <w:rsid w:val="045D0C58"/>
    <w:rsid w:val="04943480"/>
    <w:rsid w:val="04B638C9"/>
    <w:rsid w:val="04C75D62"/>
    <w:rsid w:val="04EF6F26"/>
    <w:rsid w:val="05120F59"/>
    <w:rsid w:val="05195B6C"/>
    <w:rsid w:val="056B42F1"/>
    <w:rsid w:val="057C1322"/>
    <w:rsid w:val="058A7125"/>
    <w:rsid w:val="05952F37"/>
    <w:rsid w:val="059C28C2"/>
    <w:rsid w:val="05A11AF2"/>
    <w:rsid w:val="05A247CB"/>
    <w:rsid w:val="05CB3411"/>
    <w:rsid w:val="05D25A0A"/>
    <w:rsid w:val="05E3301A"/>
    <w:rsid w:val="05F1023E"/>
    <w:rsid w:val="060F7F31"/>
    <w:rsid w:val="06187C8D"/>
    <w:rsid w:val="0620091D"/>
    <w:rsid w:val="06212B1B"/>
    <w:rsid w:val="06473D8B"/>
    <w:rsid w:val="065751F3"/>
    <w:rsid w:val="06626E08"/>
    <w:rsid w:val="066C6927"/>
    <w:rsid w:val="0685283F"/>
    <w:rsid w:val="068A3342"/>
    <w:rsid w:val="068F312F"/>
    <w:rsid w:val="06963DDF"/>
    <w:rsid w:val="06BC4A49"/>
    <w:rsid w:val="06CC02D8"/>
    <w:rsid w:val="06E02487"/>
    <w:rsid w:val="06E155DE"/>
    <w:rsid w:val="06EA7FE5"/>
    <w:rsid w:val="06F430C9"/>
    <w:rsid w:val="06F5180B"/>
    <w:rsid w:val="06FC3783"/>
    <w:rsid w:val="07017C0B"/>
    <w:rsid w:val="072E5257"/>
    <w:rsid w:val="07682F5C"/>
    <w:rsid w:val="076D0BCD"/>
    <w:rsid w:val="07802062"/>
    <w:rsid w:val="078B414B"/>
    <w:rsid w:val="07B05960"/>
    <w:rsid w:val="07B509B3"/>
    <w:rsid w:val="07BD176D"/>
    <w:rsid w:val="07BF421F"/>
    <w:rsid w:val="07C07B32"/>
    <w:rsid w:val="07DB289C"/>
    <w:rsid w:val="07DC0503"/>
    <w:rsid w:val="07F6399B"/>
    <w:rsid w:val="07F649DB"/>
    <w:rsid w:val="08005083"/>
    <w:rsid w:val="08150A61"/>
    <w:rsid w:val="08162D8B"/>
    <w:rsid w:val="081D70DE"/>
    <w:rsid w:val="084837A5"/>
    <w:rsid w:val="08533F11"/>
    <w:rsid w:val="08835DB9"/>
    <w:rsid w:val="08DA2C94"/>
    <w:rsid w:val="08E1269F"/>
    <w:rsid w:val="08E9552D"/>
    <w:rsid w:val="08F42600"/>
    <w:rsid w:val="08FC0CCA"/>
    <w:rsid w:val="091927F9"/>
    <w:rsid w:val="0919607C"/>
    <w:rsid w:val="091B157F"/>
    <w:rsid w:val="091B64E9"/>
    <w:rsid w:val="094A684B"/>
    <w:rsid w:val="09837CAA"/>
    <w:rsid w:val="098562E3"/>
    <w:rsid w:val="09860C2E"/>
    <w:rsid w:val="099334E6"/>
    <w:rsid w:val="09957BC4"/>
    <w:rsid w:val="09A24CDB"/>
    <w:rsid w:val="09A6526C"/>
    <w:rsid w:val="09BC05EC"/>
    <w:rsid w:val="09BC1108"/>
    <w:rsid w:val="09DD5198"/>
    <w:rsid w:val="09DE4B40"/>
    <w:rsid w:val="09E50C48"/>
    <w:rsid w:val="09F4422A"/>
    <w:rsid w:val="09FB4292"/>
    <w:rsid w:val="09FF5075"/>
    <w:rsid w:val="0A1B1122"/>
    <w:rsid w:val="0A2D0142"/>
    <w:rsid w:val="0A2E381F"/>
    <w:rsid w:val="0A48676E"/>
    <w:rsid w:val="0A4D1589"/>
    <w:rsid w:val="0A644A1B"/>
    <w:rsid w:val="0A73514E"/>
    <w:rsid w:val="0A8B4C59"/>
    <w:rsid w:val="0A8C50AC"/>
    <w:rsid w:val="0A9A26C8"/>
    <w:rsid w:val="0AAD6492"/>
    <w:rsid w:val="0AB74823"/>
    <w:rsid w:val="0AC17331"/>
    <w:rsid w:val="0B14713B"/>
    <w:rsid w:val="0B446AEB"/>
    <w:rsid w:val="0B47088F"/>
    <w:rsid w:val="0B494045"/>
    <w:rsid w:val="0B6423BD"/>
    <w:rsid w:val="0B6E6550"/>
    <w:rsid w:val="0B9A2898"/>
    <w:rsid w:val="0BA50C29"/>
    <w:rsid w:val="0BAA3F58"/>
    <w:rsid w:val="0BB124BD"/>
    <w:rsid w:val="0BB8447D"/>
    <w:rsid w:val="0BCA507B"/>
    <w:rsid w:val="0C0C18D2"/>
    <w:rsid w:val="0C564901"/>
    <w:rsid w:val="0C610FDC"/>
    <w:rsid w:val="0C7C5409"/>
    <w:rsid w:val="0C9A2041"/>
    <w:rsid w:val="0C9C53A2"/>
    <w:rsid w:val="0CAA4C53"/>
    <w:rsid w:val="0CB50A66"/>
    <w:rsid w:val="0CC07F2E"/>
    <w:rsid w:val="0CD914B5"/>
    <w:rsid w:val="0D003464"/>
    <w:rsid w:val="0D015662"/>
    <w:rsid w:val="0D205F17"/>
    <w:rsid w:val="0D460355"/>
    <w:rsid w:val="0D4E0FE4"/>
    <w:rsid w:val="0D6C7CF1"/>
    <w:rsid w:val="0D79097F"/>
    <w:rsid w:val="0D7B2DAD"/>
    <w:rsid w:val="0DA0368C"/>
    <w:rsid w:val="0DB20D09"/>
    <w:rsid w:val="0DB47DA7"/>
    <w:rsid w:val="0DBF259D"/>
    <w:rsid w:val="0DCF199B"/>
    <w:rsid w:val="0DDA7D20"/>
    <w:rsid w:val="0DF46AF0"/>
    <w:rsid w:val="0DFA10FD"/>
    <w:rsid w:val="0E107158"/>
    <w:rsid w:val="0E1C48E9"/>
    <w:rsid w:val="0E2224DB"/>
    <w:rsid w:val="0E236E8B"/>
    <w:rsid w:val="0E2F02D2"/>
    <w:rsid w:val="0E347FDD"/>
    <w:rsid w:val="0E455AFE"/>
    <w:rsid w:val="0E465388"/>
    <w:rsid w:val="0E6D5BB9"/>
    <w:rsid w:val="0E706B3D"/>
    <w:rsid w:val="0E920377"/>
    <w:rsid w:val="0E94233C"/>
    <w:rsid w:val="0E963A0F"/>
    <w:rsid w:val="0EAC615B"/>
    <w:rsid w:val="0EB3632D"/>
    <w:rsid w:val="0EC92D8B"/>
    <w:rsid w:val="0EDB14DB"/>
    <w:rsid w:val="0EE27660"/>
    <w:rsid w:val="0EEC778C"/>
    <w:rsid w:val="0F073DDF"/>
    <w:rsid w:val="0F100C45"/>
    <w:rsid w:val="0F1E5E33"/>
    <w:rsid w:val="0F316BFB"/>
    <w:rsid w:val="0F355602"/>
    <w:rsid w:val="0F473373"/>
    <w:rsid w:val="0F4E552B"/>
    <w:rsid w:val="0F6A0D0D"/>
    <w:rsid w:val="0F6E58A0"/>
    <w:rsid w:val="0F7D081D"/>
    <w:rsid w:val="0F841B59"/>
    <w:rsid w:val="0F976DDE"/>
    <w:rsid w:val="0FB3297C"/>
    <w:rsid w:val="0FB82358"/>
    <w:rsid w:val="0FBC0D5E"/>
    <w:rsid w:val="0FBF5566"/>
    <w:rsid w:val="0FC90073"/>
    <w:rsid w:val="0FCE1079"/>
    <w:rsid w:val="0FED72D5"/>
    <w:rsid w:val="0FFF2ACC"/>
    <w:rsid w:val="100833DB"/>
    <w:rsid w:val="100E53EF"/>
    <w:rsid w:val="10260EB5"/>
    <w:rsid w:val="10406DB9"/>
    <w:rsid w:val="104344BA"/>
    <w:rsid w:val="104963C3"/>
    <w:rsid w:val="104F3B50"/>
    <w:rsid w:val="104F6162"/>
    <w:rsid w:val="1058445F"/>
    <w:rsid w:val="10AC0666"/>
    <w:rsid w:val="10B25DF3"/>
    <w:rsid w:val="10B74479"/>
    <w:rsid w:val="10CB6DDE"/>
    <w:rsid w:val="10DE213A"/>
    <w:rsid w:val="10ED1235"/>
    <w:rsid w:val="110E4E87"/>
    <w:rsid w:val="11254CC9"/>
    <w:rsid w:val="1133639C"/>
    <w:rsid w:val="11394082"/>
    <w:rsid w:val="11452DE3"/>
    <w:rsid w:val="115668B9"/>
    <w:rsid w:val="115A7505"/>
    <w:rsid w:val="115C2A08"/>
    <w:rsid w:val="11616F26"/>
    <w:rsid w:val="1168209E"/>
    <w:rsid w:val="11731ED8"/>
    <w:rsid w:val="117A00E2"/>
    <w:rsid w:val="1184614B"/>
    <w:rsid w:val="11930964"/>
    <w:rsid w:val="11BB284B"/>
    <w:rsid w:val="11E06E41"/>
    <w:rsid w:val="12126CB4"/>
    <w:rsid w:val="121F6D3E"/>
    <w:rsid w:val="12210792"/>
    <w:rsid w:val="122733D6"/>
    <w:rsid w:val="122A435A"/>
    <w:rsid w:val="1236016D"/>
    <w:rsid w:val="12542FA0"/>
    <w:rsid w:val="1259088B"/>
    <w:rsid w:val="127534D5"/>
    <w:rsid w:val="127F7506"/>
    <w:rsid w:val="128959F9"/>
    <w:rsid w:val="128A347A"/>
    <w:rsid w:val="128D0B7C"/>
    <w:rsid w:val="12A82A2A"/>
    <w:rsid w:val="12B75243"/>
    <w:rsid w:val="12BB03C6"/>
    <w:rsid w:val="12F450A8"/>
    <w:rsid w:val="12FA11B0"/>
    <w:rsid w:val="12FC46B3"/>
    <w:rsid w:val="12FD5C9E"/>
    <w:rsid w:val="13045342"/>
    <w:rsid w:val="131C12E8"/>
    <w:rsid w:val="131E5EEC"/>
    <w:rsid w:val="132809FA"/>
    <w:rsid w:val="13397BCE"/>
    <w:rsid w:val="133A3258"/>
    <w:rsid w:val="136E36ED"/>
    <w:rsid w:val="13872098"/>
    <w:rsid w:val="138E1A23"/>
    <w:rsid w:val="13A051C1"/>
    <w:rsid w:val="13AB3BAB"/>
    <w:rsid w:val="13B860EB"/>
    <w:rsid w:val="13BC015C"/>
    <w:rsid w:val="13C733C8"/>
    <w:rsid w:val="13D57C19"/>
    <w:rsid w:val="13DF0529"/>
    <w:rsid w:val="13ED53DF"/>
    <w:rsid w:val="140053B6"/>
    <w:rsid w:val="140337F8"/>
    <w:rsid w:val="140E57F5"/>
    <w:rsid w:val="1431319F"/>
    <w:rsid w:val="1449010B"/>
    <w:rsid w:val="144C30DB"/>
    <w:rsid w:val="14640782"/>
    <w:rsid w:val="14784A9B"/>
    <w:rsid w:val="14871C3B"/>
    <w:rsid w:val="148F28CB"/>
    <w:rsid w:val="149547D4"/>
    <w:rsid w:val="149D101A"/>
    <w:rsid w:val="14AF7204"/>
    <w:rsid w:val="14BA1191"/>
    <w:rsid w:val="14D72CBF"/>
    <w:rsid w:val="14EA24B1"/>
    <w:rsid w:val="14EB1960"/>
    <w:rsid w:val="14FA0E93"/>
    <w:rsid w:val="15097B50"/>
    <w:rsid w:val="151A227A"/>
    <w:rsid w:val="1524753B"/>
    <w:rsid w:val="15254FBD"/>
    <w:rsid w:val="152E75FA"/>
    <w:rsid w:val="153E0A4F"/>
    <w:rsid w:val="15445ABC"/>
    <w:rsid w:val="1553054F"/>
    <w:rsid w:val="15633AC4"/>
    <w:rsid w:val="157B3F10"/>
    <w:rsid w:val="158278D5"/>
    <w:rsid w:val="158540DD"/>
    <w:rsid w:val="158D422C"/>
    <w:rsid w:val="158D6F6A"/>
    <w:rsid w:val="15907EEF"/>
    <w:rsid w:val="159B4676"/>
    <w:rsid w:val="15A74728"/>
    <w:rsid w:val="15AD20D5"/>
    <w:rsid w:val="15B23D16"/>
    <w:rsid w:val="15C301DF"/>
    <w:rsid w:val="15D140F8"/>
    <w:rsid w:val="16022814"/>
    <w:rsid w:val="16025167"/>
    <w:rsid w:val="161A5018"/>
    <w:rsid w:val="161C2B3E"/>
    <w:rsid w:val="162D573E"/>
    <w:rsid w:val="163B5754"/>
    <w:rsid w:val="1650578E"/>
    <w:rsid w:val="1666025D"/>
    <w:rsid w:val="167304E2"/>
    <w:rsid w:val="167E55A7"/>
    <w:rsid w:val="16822CFB"/>
    <w:rsid w:val="16861701"/>
    <w:rsid w:val="16BD2F72"/>
    <w:rsid w:val="16C36211"/>
    <w:rsid w:val="16C759ED"/>
    <w:rsid w:val="16C93880"/>
    <w:rsid w:val="16E6367D"/>
    <w:rsid w:val="16F46A2C"/>
    <w:rsid w:val="170A3CDB"/>
    <w:rsid w:val="1716356E"/>
    <w:rsid w:val="171A4173"/>
    <w:rsid w:val="171F05FA"/>
    <w:rsid w:val="17204729"/>
    <w:rsid w:val="174A659D"/>
    <w:rsid w:val="174E114A"/>
    <w:rsid w:val="176432ED"/>
    <w:rsid w:val="17697775"/>
    <w:rsid w:val="17707100"/>
    <w:rsid w:val="17725E86"/>
    <w:rsid w:val="177E790E"/>
    <w:rsid w:val="17967340"/>
    <w:rsid w:val="17977695"/>
    <w:rsid w:val="17A10E21"/>
    <w:rsid w:val="17C164DE"/>
    <w:rsid w:val="17D13CA1"/>
    <w:rsid w:val="17E26A66"/>
    <w:rsid w:val="17E603C4"/>
    <w:rsid w:val="17EA7578"/>
    <w:rsid w:val="17EE3251"/>
    <w:rsid w:val="17F0491D"/>
    <w:rsid w:val="1816603C"/>
    <w:rsid w:val="18191B17"/>
    <w:rsid w:val="181A777C"/>
    <w:rsid w:val="185A24B2"/>
    <w:rsid w:val="18791A18"/>
    <w:rsid w:val="18823AC5"/>
    <w:rsid w:val="18904044"/>
    <w:rsid w:val="18B72C9A"/>
    <w:rsid w:val="18C7749D"/>
    <w:rsid w:val="18CD4E3E"/>
    <w:rsid w:val="18E01A75"/>
    <w:rsid w:val="1917583F"/>
    <w:rsid w:val="1922234A"/>
    <w:rsid w:val="192F7B79"/>
    <w:rsid w:val="193A4695"/>
    <w:rsid w:val="193A762E"/>
    <w:rsid w:val="193F0D7D"/>
    <w:rsid w:val="194B53F3"/>
    <w:rsid w:val="1963339F"/>
    <w:rsid w:val="197874D5"/>
    <w:rsid w:val="19794F57"/>
    <w:rsid w:val="197A5962"/>
    <w:rsid w:val="19A07438"/>
    <w:rsid w:val="19A44EA1"/>
    <w:rsid w:val="19BF56CB"/>
    <w:rsid w:val="19C553D6"/>
    <w:rsid w:val="19E44606"/>
    <w:rsid w:val="19F710A8"/>
    <w:rsid w:val="19FB7274"/>
    <w:rsid w:val="1A141D7E"/>
    <w:rsid w:val="1A16565C"/>
    <w:rsid w:val="1A2B7D1E"/>
    <w:rsid w:val="1A364410"/>
    <w:rsid w:val="1A404921"/>
    <w:rsid w:val="1A49562F"/>
    <w:rsid w:val="1A555BBE"/>
    <w:rsid w:val="1A7154EF"/>
    <w:rsid w:val="1A7B6CA6"/>
    <w:rsid w:val="1A865494"/>
    <w:rsid w:val="1AA17AB6"/>
    <w:rsid w:val="1AAA269E"/>
    <w:rsid w:val="1AB84DFF"/>
    <w:rsid w:val="1AB866A6"/>
    <w:rsid w:val="1AD93C19"/>
    <w:rsid w:val="1ADC4B9E"/>
    <w:rsid w:val="1AF40E27"/>
    <w:rsid w:val="1AF76A4D"/>
    <w:rsid w:val="1AF82F96"/>
    <w:rsid w:val="1AF92B8F"/>
    <w:rsid w:val="1AFA47A5"/>
    <w:rsid w:val="1B151F36"/>
    <w:rsid w:val="1B3874B6"/>
    <w:rsid w:val="1B3B043B"/>
    <w:rsid w:val="1B3D71C1"/>
    <w:rsid w:val="1B467412"/>
    <w:rsid w:val="1B4817B1"/>
    <w:rsid w:val="1B485552"/>
    <w:rsid w:val="1B707610"/>
    <w:rsid w:val="1B761519"/>
    <w:rsid w:val="1B776AFB"/>
    <w:rsid w:val="1B8309E7"/>
    <w:rsid w:val="1B8575B5"/>
    <w:rsid w:val="1B924C7F"/>
    <w:rsid w:val="1BA24AAA"/>
    <w:rsid w:val="1BBA662D"/>
    <w:rsid w:val="1BBD2F92"/>
    <w:rsid w:val="1BC5531A"/>
    <w:rsid w:val="1BC9121C"/>
    <w:rsid w:val="1BD359E4"/>
    <w:rsid w:val="1BD529DB"/>
    <w:rsid w:val="1BD6394C"/>
    <w:rsid w:val="1BE240CC"/>
    <w:rsid w:val="1BF57910"/>
    <w:rsid w:val="1BF91AF2"/>
    <w:rsid w:val="1BF91D70"/>
    <w:rsid w:val="1C037E84"/>
    <w:rsid w:val="1C04167F"/>
    <w:rsid w:val="1C0F7519"/>
    <w:rsid w:val="1C172A17"/>
    <w:rsid w:val="1C174926"/>
    <w:rsid w:val="1C2F6749"/>
    <w:rsid w:val="1C3276CE"/>
    <w:rsid w:val="1C3D55BC"/>
    <w:rsid w:val="1C441279"/>
    <w:rsid w:val="1C4D79EE"/>
    <w:rsid w:val="1C592E11"/>
    <w:rsid w:val="1C5E6101"/>
    <w:rsid w:val="1C643B19"/>
    <w:rsid w:val="1C7958C4"/>
    <w:rsid w:val="1C9526F9"/>
    <w:rsid w:val="1C9551F4"/>
    <w:rsid w:val="1CA76EDA"/>
    <w:rsid w:val="1CB67927"/>
    <w:rsid w:val="1CC34A3E"/>
    <w:rsid w:val="1CDB20E5"/>
    <w:rsid w:val="1CE60476"/>
    <w:rsid w:val="1CF77E61"/>
    <w:rsid w:val="1D0609AB"/>
    <w:rsid w:val="1D0E51AB"/>
    <w:rsid w:val="1D165353"/>
    <w:rsid w:val="1D3E218A"/>
    <w:rsid w:val="1D477E44"/>
    <w:rsid w:val="1D5774B0"/>
    <w:rsid w:val="1D9C08F7"/>
    <w:rsid w:val="1DB146C7"/>
    <w:rsid w:val="1DC47E64"/>
    <w:rsid w:val="1DCC31FE"/>
    <w:rsid w:val="1DE70AB5"/>
    <w:rsid w:val="1E112162"/>
    <w:rsid w:val="1E161E6D"/>
    <w:rsid w:val="1E251E5D"/>
    <w:rsid w:val="1E4829FC"/>
    <w:rsid w:val="1E746983"/>
    <w:rsid w:val="1E9E304B"/>
    <w:rsid w:val="1EAF0D67"/>
    <w:rsid w:val="1EDB5833"/>
    <w:rsid w:val="1EED7DAE"/>
    <w:rsid w:val="1F0D1100"/>
    <w:rsid w:val="1F0E32FE"/>
    <w:rsid w:val="1F1115FD"/>
    <w:rsid w:val="1F167376"/>
    <w:rsid w:val="1F1D139B"/>
    <w:rsid w:val="1F271DA9"/>
    <w:rsid w:val="1F33353E"/>
    <w:rsid w:val="1F3E16E6"/>
    <w:rsid w:val="1F59377E"/>
    <w:rsid w:val="1F5B7EF1"/>
    <w:rsid w:val="1F764083"/>
    <w:rsid w:val="1F7A3CB3"/>
    <w:rsid w:val="1F973891"/>
    <w:rsid w:val="1F9C4DBA"/>
    <w:rsid w:val="1FC11BEB"/>
    <w:rsid w:val="1FCD5CBB"/>
    <w:rsid w:val="1FD06C40"/>
    <w:rsid w:val="1FD93CCC"/>
    <w:rsid w:val="20045E15"/>
    <w:rsid w:val="201400DE"/>
    <w:rsid w:val="203159E0"/>
    <w:rsid w:val="203676F3"/>
    <w:rsid w:val="20427E78"/>
    <w:rsid w:val="20485605"/>
    <w:rsid w:val="2049323F"/>
    <w:rsid w:val="204C2272"/>
    <w:rsid w:val="20517769"/>
    <w:rsid w:val="20597DBD"/>
    <w:rsid w:val="205C39BF"/>
    <w:rsid w:val="20672C08"/>
    <w:rsid w:val="207167C9"/>
    <w:rsid w:val="20727497"/>
    <w:rsid w:val="207B4B5A"/>
    <w:rsid w:val="208C2876"/>
    <w:rsid w:val="20902332"/>
    <w:rsid w:val="20A200E4"/>
    <w:rsid w:val="20A47F1D"/>
    <w:rsid w:val="20C73955"/>
    <w:rsid w:val="20D067E3"/>
    <w:rsid w:val="20E06A7D"/>
    <w:rsid w:val="20F437A8"/>
    <w:rsid w:val="21012835"/>
    <w:rsid w:val="21245BCA"/>
    <w:rsid w:val="2152522B"/>
    <w:rsid w:val="215315CA"/>
    <w:rsid w:val="21644AD8"/>
    <w:rsid w:val="21697719"/>
    <w:rsid w:val="216F3FEE"/>
    <w:rsid w:val="217C217E"/>
    <w:rsid w:val="218E2416"/>
    <w:rsid w:val="21962D28"/>
    <w:rsid w:val="21B26DD5"/>
    <w:rsid w:val="21B34857"/>
    <w:rsid w:val="21B45B5C"/>
    <w:rsid w:val="21B76AE0"/>
    <w:rsid w:val="21D249F9"/>
    <w:rsid w:val="21ED1AE9"/>
    <w:rsid w:val="220977E4"/>
    <w:rsid w:val="221B6805"/>
    <w:rsid w:val="22336391"/>
    <w:rsid w:val="2250761E"/>
    <w:rsid w:val="22633D4D"/>
    <w:rsid w:val="22734C95"/>
    <w:rsid w:val="227B42A0"/>
    <w:rsid w:val="22806203"/>
    <w:rsid w:val="228F3315"/>
    <w:rsid w:val="229473C8"/>
    <w:rsid w:val="22977147"/>
    <w:rsid w:val="229C47D4"/>
    <w:rsid w:val="22B84105"/>
    <w:rsid w:val="22D24CAE"/>
    <w:rsid w:val="22D514B6"/>
    <w:rsid w:val="22DC4FC9"/>
    <w:rsid w:val="22ED1D00"/>
    <w:rsid w:val="22F872D1"/>
    <w:rsid w:val="230279FC"/>
    <w:rsid w:val="23312AC9"/>
    <w:rsid w:val="23412D64"/>
    <w:rsid w:val="236B742B"/>
    <w:rsid w:val="236C49D9"/>
    <w:rsid w:val="237A7227"/>
    <w:rsid w:val="238C6599"/>
    <w:rsid w:val="239C0544"/>
    <w:rsid w:val="23A115DB"/>
    <w:rsid w:val="23B87C1E"/>
    <w:rsid w:val="23C670E9"/>
    <w:rsid w:val="23CB2CC8"/>
    <w:rsid w:val="23D34A58"/>
    <w:rsid w:val="23E36EF8"/>
    <w:rsid w:val="23E53872"/>
    <w:rsid w:val="24247062"/>
    <w:rsid w:val="242F29EC"/>
    <w:rsid w:val="24383C05"/>
    <w:rsid w:val="243865C5"/>
    <w:rsid w:val="24493596"/>
    <w:rsid w:val="244B2840"/>
    <w:rsid w:val="24535936"/>
    <w:rsid w:val="247F3A70"/>
    <w:rsid w:val="248217B5"/>
    <w:rsid w:val="2489657E"/>
    <w:rsid w:val="24AC5839"/>
    <w:rsid w:val="24AD7A37"/>
    <w:rsid w:val="24B6415E"/>
    <w:rsid w:val="24BA5C95"/>
    <w:rsid w:val="24C56EC3"/>
    <w:rsid w:val="24CA4EA5"/>
    <w:rsid w:val="24D14774"/>
    <w:rsid w:val="24E25D13"/>
    <w:rsid w:val="24E53415"/>
    <w:rsid w:val="24E66D03"/>
    <w:rsid w:val="24F649B4"/>
    <w:rsid w:val="24F77CAD"/>
    <w:rsid w:val="25101CDA"/>
    <w:rsid w:val="25230CFB"/>
    <w:rsid w:val="25316CE6"/>
    <w:rsid w:val="253B6199"/>
    <w:rsid w:val="25496F5C"/>
    <w:rsid w:val="254D1B3F"/>
    <w:rsid w:val="257F27A2"/>
    <w:rsid w:val="258F28DF"/>
    <w:rsid w:val="259A54C2"/>
    <w:rsid w:val="25A073CB"/>
    <w:rsid w:val="25B848FA"/>
    <w:rsid w:val="25BA46F2"/>
    <w:rsid w:val="25BF5294"/>
    <w:rsid w:val="25C118A5"/>
    <w:rsid w:val="25C27580"/>
    <w:rsid w:val="25C50504"/>
    <w:rsid w:val="25D41EFF"/>
    <w:rsid w:val="25D61ECE"/>
    <w:rsid w:val="25DB76D4"/>
    <w:rsid w:val="25F807A6"/>
    <w:rsid w:val="25FE74CB"/>
    <w:rsid w:val="2602389A"/>
    <w:rsid w:val="260F3A44"/>
    <w:rsid w:val="261455E0"/>
    <w:rsid w:val="26151588"/>
    <w:rsid w:val="261D101D"/>
    <w:rsid w:val="2620319C"/>
    <w:rsid w:val="262F7F34"/>
    <w:rsid w:val="2632693A"/>
    <w:rsid w:val="264473DF"/>
    <w:rsid w:val="264C0596"/>
    <w:rsid w:val="264D4F65"/>
    <w:rsid w:val="2651396B"/>
    <w:rsid w:val="265C403C"/>
    <w:rsid w:val="266A2317"/>
    <w:rsid w:val="26886044"/>
    <w:rsid w:val="26914CE6"/>
    <w:rsid w:val="26B61111"/>
    <w:rsid w:val="26C83E3F"/>
    <w:rsid w:val="26D1527F"/>
    <w:rsid w:val="26F57CEA"/>
    <w:rsid w:val="27273128"/>
    <w:rsid w:val="27424579"/>
    <w:rsid w:val="275217AC"/>
    <w:rsid w:val="275B723E"/>
    <w:rsid w:val="277409BC"/>
    <w:rsid w:val="277B2154"/>
    <w:rsid w:val="279D1605"/>
    <w:rsid w:val="27A71D1F"/>
    <w:rsid w:val="27A97A2E"/>
    <w:rsid w:val="27CB0185"/>
    <w:rsid w:val="27DD6975"/>
    <w:rsid w:val="27FC39A7"/>
    <w:rsid w:val="28030DB3"/>
    <w:rsid w:val="280520B8"/>
    <w:rsid w:val="280B5827"/>
    <w:rsid w:val="282B77EA"/>
    <w:rsid w:val="28327F9F"/>
    <w:rsid w:val="283B0F0D"/>
    <w:rsid w:val="284952E9"/>
    <w:rsid w:val="2855533A"/>
    <w:rsid w:val="287967F4"/>
    <w:rsid w:val="28797ED5"/>
    <w:rsid w:val="288325E6"/>
    <w:rsid w:val="28850088"/>
    <w:rsid w:val="289A5475"/>
    <w:rsid w:val="289F0C32"/>
    <w:rsid w:val="28A52B3B"/>
    <w:rsid w:val="28C5217C"/>
    <w:rsid w:val="28D66B8D"/>
    <w:rsid w:val="28E07CD1"/>
    <w:rsid w:val="28EB582E"/>
    <w:rsid w:val="28F364BD"/>
    <w:rsid w:val="28F57442"/>
    <w:rsid w:val="28F95E48"/>
    <w:rsid w:val="29076D93"/>
    <w:rsid w:val="291E0523"/>
    <w:rsid w:val="29220014"/>
    <w:rsid w:val="292A6617"/>
    <w:rsid w:val="29315FA2"/>
    <w:rsid w:val="29334D29"/>
    <w:rsid w:val="294360C5"/>
    <w:rsid w:val="294E7AD1"/>
    <w:rsid w:val="295F6A17"/>
    <w:rsid w:val="298015A5"/>
    <w:rsid w:val="29817026"/>
    <w:rsid w:val="29963748"/>
    <w:rsid w:val="299C4C13"/>
    <w:rsid w:val="299C5BE6"/>
    <w:rsid w:val="29A504DF"/>
    <w:rsid w:val="29AC42AB"/>
    <w:rsid w:val="29C748CC"/>
    <w:rsid w:val="29D57ECD"/>
    <w:rsid w:val="29E14AC1"/>
    <w:rsid w:val="29F36631"/>
    <w:rsid w:val="2A151A98"/>
    <w:rsid w:val="2A305EC5"/>
    <w:rsid w:val="2A34234D"/>
    <w:rsid w:val="2A3C7759"/>
    <w:rsid w:val="2A423861"/>
    <w:rsid w:val="2A4312E2"/>
    <w:rsid w:val="2A4A6B02"/>
    <w:rsid w:val="2A5218FD"/>
    <w:rsid w:val="2A583806"/>
    <w:rsid w:val="2A63541A"/>
    <w:rsid w:val="2A756F04"/>
    <w:rsid w:val="2A923062"/>
    <w:rsid w:val="2A97058D"/>
    <w:rsid w:val="2A976370"/>
    <w:rsid w:val="2A9A147E"/>
    <w:rsid w:val="2AB70D19"/>
    <w:rsid w:val="2AC8733D"/>
    <w:rsid w:val="2AF23A05"/>
    <w:rsid w:val="2B09362A"/>
    <w:rsid w:val="2B0A10AB"/>
    <w:rsid w:val="2B105769"/>
    <w:rsid w:val="2B133F39"/>
    <w:rsid w:val="2B2431AE"/>
    <w:rsid w:val="2B3E27FF"/>
    <w:rsid w:val="2B444AC5"/>
    <w:rsid w:val="2B503984"/>
    <w:rsid w:val="2B604039"/>
    <w:rsid w:val="2B634FBD"/>
    <w:rsid w:val="2B785E5C"/>
    <w:rsid w:val="2B797161"/>
    <w:rsid w:val="2BBA7F7A"/>
    <w:rsid w:val="2BE85216"/>
    <w:rsid w:val="2BE93407"/>
    <w:rsid w:val="2BFA63EA"/>
    <w:rsid w:val="2C144DE1"/>
    <w:rsid w:val="2C187F64"/>
    <w:rsid w:val="2C260614"/>
    <w:rsid w:val="2C2C2488"/>
    <w:rsid w:val="2C463031"/>
    <w:rsid w:val="2C734DFA"/>
    <w:rsid w:val="2CA06BC3"/>
    <w:rsid w:val="2CAB07D7"/>
    <w:rsid w:val="2CBE79B0"/>
    <w:rsid w:val="2CC9360B"/>
    <w:rsid w:val="2CCE400E"/>
    <w:rsid w:val="2CCF2B66"/>
    <w:rsid w:val="2CE0417A"/>
    <w:rsid w:val="2D36550B"/>
    <w:rsid w:val="2D3A0351"/>
    <w:rsid w:val="2D406CBA"/>
    <w:rsid w:val="2D4A15DA"/>
    <w:rsid w:val="2D534468"/>
    <w:rsid w:val="2D5D05FB"/>
    <w:rsid w:val="2D5E027B"/>
    <w:rsid w:val="2D687C78"/>
    <w:rsid w:val="2D6F5045"/>
    <w:rsid w:val="2D99286E"/>
    <w:rsid w:val="2DA40A5D"/>
    <w:rsid w:val="2DA509EF"/>
    <w:rsid w:val="2DAC5DFC"/>
    <w:rsid w:val="2DBC3E98"/>
    <w:rsid w:val="2DC72229"/>
    <w:rsid w:val="2DEF7B6A"/>
    <w:rsid w:val="2DFF5C06"/>
    <w:rsid w:val="2DFF7E04"/>
    <w:rsid w:val="2E001109"/>
    <w:rsid w:val="2E0D711A"/>
    <w:rsid w:val="2E167A29"/>
    <w:rsid w:val="2E3063D5"/>
    <w:rsid w:val="2E3305CD"/>
    <w:rsid w:val="2E3D56EB"/>
    <w:rsid w:val="2E4F036D"/>
    <w:rsid w:val="2E545310"/>
    <w:rsid w:val="2E5A7219"/>
    <w:rsid w:val="2E5E5C1F"/>
    <w:rsid w:val="2E614626"/>
    <w:rsid w:val="2E97127C"/>
    <w:rsid w:val="2EBE4A4B"/>
    <w:rsid w:val="2EC568C9"/>
    <w:rsid w:val="2ED7710B"/>
    <w:rsid w:val="2ED87007"/>
    <w:rsid w:val="2F145393"/>
    <w:rsid w:val="2F3F4E25"/>
    <w:rsid w:val="2F4538F3"/>
    <w:rsid w:val="2F5042AE"/>
    <w:rsid w:val="2F5177B1"/>
    <w:rsid w:val="2F58713C"/>
    <w:rsid w:val="2F594BBE"/>
    <w:rsid w:val="2F874408"/>
    <w:rsid w:val="2FBB2F70"/>
    <w:rsid w:val="2FD25781"/>
    <w:rsid w:val="2FEC0401"/>
    <w:rsid w:val="2FFF2FA2"/>
    <w:rsid w:val="300262D0"/>
    <w:rsid w:val="30077F63"/>
    <w:rsid w:val="300C557A"/>
    <w:rsid w:val="30146BDF"/>
    <w:rsid w:val="30336A9F"/>
    <w:rsid w:val="30484F83"/>
    <w:rsid w:val="306A5958"/>
    <w:rsid w:val="306C2C12"/>
    <w:rsid w:val="306F6904"/>
    <w:rsid w:val="30711E07"/>
    <w:rsid w:val="307F49A0"/>
    <w:rsid w:val="30812733"/>
    <w:rsid w:val="30840E28"/>
    <w:rsid w:val="308B29B1"/>
    <w:rsid w:val="30AA3266"/>
    <w:rsid w:val="30BA5A7F"/>
    <w:rsid w:val="30C020F7"/>
    <w:rsid w:val="30C419B0"/>
    <w:rsid w:val="30CF21A1"/>
    <w:rsid w:val="30D540AA"/>
    <w:rsid w:val="30E97669"/>
    <w:rsid w:val="30F00157"/>
    <w:rsid w:val="311A34B3"/>
    <w:rsid w:val="31364F41"/>
    <w:rsid w:val="314865E7"/>
    <w:rsid w:val="31563212"/>
    <w:rsid w:val="31850FE1"/>
    <w:rsid w:val="318C2A3B"/>
    <w:rsid w:val="319121DA"/>
    <w:rsid w:val="319A7C78"/>
    <w:rsid w:val="31A2421C"/>
    <w:rsid w:val="31A93189"/>
    <w:rsid w:val="31B00595"/>
    <w:rsid w:val="31C11645"/>
    <w:rsid w:val="31D030AF"/>
    <w:rsid w:val="31D41A4F"/>
    <w:rsid w:val="31DE235E"/>
    <w:rsid w:val="322910CA"/>
    <w:rsid w:val="322E33E2"/>
    <w:rsid w:val="323971F4"/>
    <w:rsid w:val="3240775C"/>
    <w:rsid w:val="325D52DC"/>
    <w:rsid w:val="327C3161"/>
    <w:rsid w:val="327E0AB0"/>
    <w:rsid w:val="32925305"/>
    <w:rsid w:val="32ED1692"/>
    <w:rsid w:val="32F00F21"/>
    <w:rsid w:val="32F37AFD"/>
    <w:rsid w:val="32F408C5"/>
    <w:rsid w:val="32FE20EF"/>
    <w:rsid w:val="33016EEC"/>
    <w:rsid w:val="33082D45"/>
    <w:rsid w:val="334A1E64"/>
    <w:rsid w:val="33576347"/>
    <w:rsid w:val="335D4118"/>
    <w:rsid w:val="335F3C12"/>
    <w:rsid w:val="336E17F0"/>
    <w:rsid w:val="337201F6"/>
    <w:rsid w:val="3390223F"/>
    <w:rsid w:val="339C6E3C"/>
    <w:rsid w:val="33A132C4"/>
    <w:rsid w:val="33AF47D8"/>
    <w:rsid w:val="33C62FE8"/>
    <w:rsid w:val="33CF2B0E"/>
    <w:rsid w:val="33D23A93"/>
    <w:rsid w:val="33D46F96"/>
    <w:rsid w:val="33F629CD"/>
    <w:rsid w:val="34041CE3"/>
    <w:rsid w:val="341A3182"/>
    <w:rsid w:val="341F5D90"/>
    <w:rsid w:val="34362916"/>
    <w:rsid w:val="34463948"/>
    <w:rsid w:val="34563CEC"/>
    <w:rsid w:val="345871EF"/>
    <w:rsid w:val="347D19AD"/>
    <w:rsid w:val="347F3B76"/>
    <w:rsid w:val="348070AE"/>
    <w:rsid w:val="349537D0"/>
    <w:rsid w:val="34B51B07"/>
    <w:rsid w:val="34CE04B2"/>
    <w:rsid w:val="34D310B7"/>
    <w:rsid w:val="34D80DC2"/>
    <w:rsid w:val="34DB19BE"/>
    <w:rsid w:val="34E003CD"/>
    <w:rsid w:val="34F81471"/>
    <w:rsid w:val="34FA47FA"/>
    <w:rsid w:val="34FC60D3"/>
    <w:rsid w:val="35051814"/>
    <w:rsid w:val="35370DDB"/>
    <w:rsid w:val="35516825"/>
    <w:rsid w:val="355339D4"/>
    <w:rsid w:val="35534E88"/>
    <w:rsid w:val="355354B2"/>
    <w:rsid w:val="355A0096"/>
    <w:rsid w:val="356660A7"/>
    <w:rsid w:val="357536E0"/>
    <w:rsid w:val="358463F8"/>
    <w:rsid w:val="359B6AF0"/>
    <w:rsid w:val="35C36441"/>
    <w:rsid w:val="35CE0055"/>
    <w:rsid w:val="35CE23D7"/>
    <w:rsid w:val="35D703D8"/>
    <w:rsid w:val="35E16C66"/>
    <w:rsid w:val="361D1AD4"/>
    <w:rsid w:val="362B41A9"/>
    <w:rsid w:val="36316A75"/>
    <w:rsid w:val="363E3B8C"/>
    <w:rsid w:val="3640380C"/>
    <w:rsid w:val="368D5EF0"/>
    <w:rsid w:val="36A7140B"/>
    <w:rsid w:val="36D71452"/>
    <w:rsid w:val="36DE5C94"/>
    <w:rsid w:val="36FB00F6"/>
    <w:rsid w:val="3729700D"/>
    <w:rsid w:val="373D1531"/>
    <w:rsid w:val="374578DC"/>
    <w:rsid w:val="3748571E"/>
    <w:rsid w:val="37500442"/>
    <w:rsid w:val="3752526E"/>
    <w:rsid w:val="375955DE"/>
    <w:rsid w:val="37627D62"/>
    <w:rsid w:val="37645B6D"/>
    <w:rsid w:val="376B54F8"/>
    <w:rsid w:val="37745458"/>
    <w:rsid w:val="378673A6"/>
    <w:rsid w:val="379231B9"/>
    <w:rsid w:val="379C4FE6"/>
    <w:rsid w:val="379E284F"/>
    <w:rsid w:val="379E4667"/>
    <w:rsid w:val="37A46956"/>
    <w:rsid w:val="37CD7B1B"/>
    <w:rsid w:val="37DD5879"/>
    <w:rsid w:val="38032517"/>
    <w:rsid w:val="380C2E83"/>
    <w:rsid w:val="38175C9E"/>
    <w:rsid w:val="38212C49"/>
    <w:rsid w:val="38300535"/>
    <w:rsid w:val="38303DA7"/>
    <w:rsid w:val="38440B86"/>
    <w:rsid w:val="384551E7"/>
    <w:rsid w:val="384719E3"/>
    <w:rsid w:val="384A4720"/>
    <w:rsid w:val="385A4B5D"/>
    <w:rsid w:val="38646D95"/>
    <w:rsid w:val="386E18A2"/>
    <w:rsid w:val="3872263A"/>
    <w:rsid w:val="389F1529"/>
    <w:rsid w:val="38A11087"/>
    <w:rsid w:val="38A327F3"/>
    <w:rsid w:val="38A7676F"/>
    <w:rsid w:val="38AB2183"/>
    <w:rsid w:val="38B35884"/>
    <w:rsid w:val="38C05E29"/>
    <w:rsid w:val="38CE513F"/>
    <w:rsid w:val="38D23B45"/>
    <w:rsid w:val="38D31755"/>
    <w:rsid w:val="38D76110"/>
    <w:rsid w:val="38D96D53"/>
    <w:rsid w:val="38DF7924"/>
    <w:rsid w:val="38E008DD"/>
    <w:rsid w:val="38E86591"/>
    <w:rsid w:val="390337A8"/>
    <w:rsid w:val="390C0398"/>
    <w:rsid w:val="392748D4"/>
    <w:rsid w:val="39282356"/>
    <w:rsid w:val="39321DBB"/>
    <w:rsid w:val="39340367"/>
    <w:rsid w:val="39386D6D"/>
    <w:rsid w:val="39390072"/>
    <w:rsid w:val="39530C1B"/>
    <w:rsid w:val="39565AB7"/>
    <w:rsid w:val="396024B0"/>
    <w:rsid w:val="3961212F"/>
    <w:rsid w:val="396607C6"/>
    <w:rsid w:val="39674039"/>
    <w:rsid w:val="397133C1"/>
    <w:rsid w:val="39902C7F"/>
    <w:rsid w:val="39957106"/>
    <w:rsid w:val="3999134E"/>
    <w:rsid w:val="39A045B9"/>
    <w:rsid w:val="39D57E7A"/>
    <w:rsid w:val="39D83FF5"/>
    <w:rsid w:val="39F21DBF"/>
    <w:rsid w:val="39F871AB"/>
    <w:rsid w:val="39FA48AC"/>
    <w:rsid w:val="3A2B5076"/>
    <w:rsid w:val="3A2D057F"/>
    <w:rsid w:val="3A3623F3"/>
    <w:rsid w:val="3A487873"/>
    <w:rsid w:val="3A6F486B"/>
    <w:rsid w:val="3A6F51D2"/>
    <w:rsid w:val="3A7909FE"/>
    <w:rsid w:val="3A7B57A7"/>
    <w:rsid w:val="3A890CEF"/>
    <w:rsid w:val="3A892B6F"/>
    <w:rsid w:val="3A9331EC"/>
    <w:rsid w:val="3A9721AC"/>
    <w:rsid w:val="3A97523B"/>
    <w:rsid w:val="3A985A30"/>
    <w:rsid w:val="3AA008BD"/>
    <w:rsid w:val="3AA55634"/>
    <w:rsid w:val="3AC10DF2"/>
    <w:rsid w:val="3AC41D77"/>
    <w:rsid w:val="3ACD0488"/>
    <w:rsid w:val="3ACE0108"/>
    <w:rsid w:val="3AD34590"/>
    <w:rsid w:val="3ADB2271"/>
    <w:rsid w:val="3ADD069B"/>
    <w:rsid w:val="3AFB444F"/>
    <w:rsid w:val="3B110C09"/>
    <w:rsid w:val="3B1A4D04"/>
    <w:rsid w:val="3B1B679F"/>
    <w:rsid w:val="3B27789D"/>
    <w:rsid w:val="3B29564C"/>
    <w:rsid w:val="3B2F423E"/>
    <w:rsid w:val="3B3D61BD"/>
    <w:rsid w:val="3B414BC4"/>
    <w:rsid w:val="3B4772CF"/>
    <w:rsid w:val="3B4D6458"/>
    <w:rsid w:val="3B4E3ED9"/>
    <w:rsid w:val="3B512C60"/>
    <w:rsid w:val="3B6D0F0B"/>
    <w:rsid w:val="3B731E84"/>
    <w:rsid w:val="3B822519"/>
    <w:rsid w:val="3B8B5823"/>
    <w:rsid w:val="3B912DD7"/>
    <w:rsid w:val="3B962FD7"/>
    <w:rsid w:val="3BA50921"/>
    <w:rsid w:val="3BB83909"/>
    <w:rsid w:val="3BB9138A"/>
    <w:rsid w:val="3BCE7CAB"/>
    <w:rsid w:val="3BF14820"/>
    <w:rsid w:val="3BFF7A0B"/>
    <w:rsid w:val="3C2D5AC6"/>
    <w:rsid w:val="3C7050E2"/>
    <w:rsid w:val="3C785F45"/>
    <w:rsid w:val="3C88075E"/>
    <w:rsid w:val="3C8B38E1"/>
    <w:rsid w:val="3CAA23A2"/>
    <w:rsid w:val="3CE05DC4"/>
    <w:rsid w:val="3CF84295"/>
    <w:rsid w:val="3D5358A8"/>
    <w:rsid w:val="3D5C3FB9"/>
    <w:rsid w:val="3D5F4F3E"/>
    <w:rsid w:val="3D623944"/>
    <w:rsid w:val="3D6C4254"/>
    <w:rsid w:val="3D6D6452"/>
    <w:rsid w:val="3DB94353"/>
    <w:rsid w:val="3DBD149D"/>
    <w:rsid w:val="3DCA3FA9"/>
    <w:rsid w:val="3DE07AF7"/>
    <w:rsid w:val="3DE35197"/>
    <w:rsid w:val="3DF876BB"/>
    <w:rsid w:val="3DFC02BF"/>
    <w:rsid w:val="3DFE15C4"/>
    <w:rsid w:val="3E0334CE"/>
    <w:rsid w:val="3E064452"/>
    <w:rsid w:val="3E091B54"/>
    <w:rsid w:val="3E18370D"/>
    <w:rsid w:val="3E1966D0"/>
    <w:rsid w:val="3E297D01"/>
    <w:rsid w:val="3E36391C"/>
    <w:rsid w:val="3E5D15DE"/>
    <w:rsid w:val="3E5D4E61"/>
    <w:rsid w:val="3E636D6A"/>
    <w:rsid w:val="3E860224"/>
    <w:rsid w:val="3EB86474"/>
    <w:rsid w:val="3EBB2C7C"/>
    <w:rsid w:val="3EC42287"/>
    <w:rsid w:val="3ED70E38"/>
    <w:rsid w:val="3ED76D29"/>
    <w:rsid w:val="3EE13DB5"/>
    <w:rsid w:val="3EEC59CA"/>
    <w:rsid w:val="3F054D10"/>
    <w:rsid w:val="3F1C6E5B"/>
    <w:rsid w:val="3F4150D3"/>
    <w:rsid w:val="3F5462F2"/>
    <w:rsid w:val="3F561F35"/>
    <w:rsid w:val="3F5B1501"/>
    <w:rsid w:val="3F605988"/>
    <w:rsid w:val="3F92745C"/>
    <w:rsid w:val="3FB13A48"/>
    <w:rsid w:val="3FB1448E"/>
    <w:rsid w:val="3FD036BE"/>
    <w:rsid w:val="3FE24C5D"/>
    <w:rsid w:val="3FE63663"/>
    <w:rsid w:val="3FEF1D74"/>
    <w:rsid w:val="401C3B3D"/>
    <w:rsid w:val="40456A90"/>
    <w:rsid w:val="40577D9B"/>
    <w:rsid w:val="406D6A2A"/>
    <w:rsid w:val="4093139F"/>
    <w:rsid w:val="409329CB"/>
    <w:rsid w:val="409D5390"/>
    <w:rsid w:val="40BA2742"/>
    <w:rsid w:val="40BB2DD0"/>
    <w:rsid w:val="40C761D4"/>
    <w:rsid w:val="40D83EF0"/>
    <w:rsid w:val="40E273FB"/>
    <w:rsid w:val="40E9418A"/>
    <w:rsid w:val="40ED2B91"/>
    <w:rsid w:val="41000B68"/>
    <w:rsid w:val="41012E6D"/>
    <w:rsid w:val="41052B1B"/>
    <w:rsid w:val="41061B71"/>
    <w:rsid w:val="41296F19"/>
    <w:rsid w:val="412A0477"/>
    <w:rsid w:val="4133683F"/>
    <w:rsid w:val="4136428A"/>
    <w:rsid w:val="414447B0"/>
    <w:rsid w:val="415F310E"/>
    <w:rsid w:val="4184568E"/>
    <w:rsid w:val="419B108E"/>
    <w:rsid w:val="41A05EB7"/>
    <w:rsid w:val="41B34C68"/>
    <w:rsid w:val="41B71360"/>
    <w:rsid w:val="41B900D4"/>
    <w:rsid w:val="41BE5467"/>
    <w:rsid w:val="41C44DF2"/>
    <w:rsid w:val="41CA3359"/>
    <w:rsid w:val="41F9564C"/>
    <w:rsid w:val="42012A59"/>
    <w:rsid w:val="42021713"/>
    <w:rsid w:val="420C25B0"/>
    <w:rsid w:val="421538F8"/>
    <w:rsid w:val="421A58D4"/>
    <w:rsid w:val="42212F8E"/>
    <w:rsid w:val="42287095"/>
    <w:rsid w:val="42321352"/>
    <w:rsid w:val="428F35C1"/>
    <w:rsid w:val="42AB7105"/>
    <w:rsid w:val="42C86795"/>
    <w:rsid w:val="42D739B6"/>
    <w:rsid w:val="42E874D3"/>
    <w:rsid w:val="42FB4E6F"/>
    <w:rsid w:val="43145CBC"/>
    <w:rsid w:val="43183596"/>
    <w:rsid w:val="432664FB"/>
    <w:rsid w:val="43285D3E"/>
    <w:rsid w:val="4333084C"/>
    <w:rsid w:val="43361CB5"/>
    <w:rsid w:val="43367252"/>
    <w:rsid w:val="43496273"/>
    <w:rsid w:val="43656974"/>
    <w:rsid w:val="43690D26"/>
    <w:rsid w:val="439C24FA"/>
    <w:rsid w:val="43B42600"/>
    <w:rsid w:val="43B50AA2"/>
    <w:rsid w:val="43B655A2"/>
    <w:rsid w:val="43E9037B"/>
    <w:rsid w:val="43F17986"/>
    <w:rsid w:val="43F42822"/>
    <w:rsid w:val="440740A8"/>
    <w:rsid w:val="441062E1"/>
    <w:rsid w:val="44110F59"/>
    <w:rsid w:val="4447178A"/>
    <w:rsid w:val="444F1E34"/>
    <w:rsid w:val="445175A7"/>
    <w:rsid w:val="44570BF2"/>
    <w:rsid w:val="445B15B3"/>
    <w:rsid w:val="44623F43"/>
    <w:rsid w:val="447514E8"/>
    <w:rsid w:val="448021A2"/>
    <w:rsid w:val="448434D9"/>
    <w:rsid w:val="44AB77A6"/>
    <w:rsid w:val="44B873D5"/>
    <w:rsid w:val="44B96AB4"/>
    <w:rsid w:val="44C61D43"/>
    <w:rsid w:val="44C81F67"/>
    <w:rsid w:val="44D437FB"/>
    <w:rsid w:val="44D46679"/>
    <w:rsid w:val="44DC74AB"/>
    <w:rsid w:val="44E1728E"/>
    <w:rsid w:val="44EA599F"/>
    <w:rsid w:val="44F25D9B"/>
    <w:rsid w:val="45200AF7"/>
    <w:rsid w:val="45230C1C"/>
    <w:rsid w:val="452B0D0C"/>
    <w:rsid w:val="453E29AE"/>
    <w:rsid w:val="454A2E71"/>
    <w:rsid w:val="454A6CBD"/>
    <w:rsid w:val="45512DC5"/>
    <w:rsid w:val="45553AA7"/>
    <w:rsid w:val="456B65BD"/>
    <w:rsid w:val="45871E15"/>
    <w:rsid w:val="459C48D4"/>
    <w:rsid w:val="45A10EB6"/>
    <w:rsid w:val="45A260E5"/>
    <w:rsid w:val="45A658D7"/>
    <w:rsid w:val="45A87057"/>
    <w:rsid w:val="45AD56DD"/>
    <w:rsid w:val="45C1250B"/>
    <w:rsid w:val="45D4339E"/>
    <w:rsid w:val="45DA6B58"/>
    <w:rsid w:val="45E43639"/>
    <w:rsid w:val="45EF19CA"/>
    <w:rsid w:val="45F33C53"/>
    <w:rsid w:val="46191B03"/>
    <w:rsid w:val="462369A1"/>
    <w:rsid w:val="46454957"/>
    <w:rsid w:val="4664740A"/>
    <w:rsid w:val="46691411"/>
    <w:rsid w:val="466C7C3C"/>
    <w:rsid w:val="46980B5E"/>
    <w:rsid w:val="46AF0327"/>
    <w:rsid w:val="46C655FF"/>
    <w:rsid w:val="46C661AA"/>
    <w:rsid w:val="46C76D34"/>
    <w:rsid w:val="46E577A2"/>
    <w:rsid w:val="46EB5526"/>
    <w:rsid w:val="46F843FA"/>
    <w:rsid w:val="47000990"/>
    <w:rsid w:val="470C435B"/>
    <w:rsid w:val="47157B32"/>
    <w:rsid w:val="473D3E13"/>
    <w:rsid w:val="475E7622"/>
    <w:rsid w:val="476240E0"/>
    <w:rsid w:val="478D5F73"/>
    <w:rsid w:val="47960D7E"/>
    <w:rsid w:val="47A12BAB"/>
    <w:rsid w:val="47AC26D7"/>
    <w:rsid w:val="47B23597"/>
    <w:rsid w:val="47D61564"/>
    <w:rsid w:val="47E44403"/>
    <w:rsid w:val="47F46C1C"/>
    <w:rsid w:val="47F54E6A"/>
    <w:rsid w:val="480004B0"/>
    <w:rsid w:val="48046EB6"/>
    <w:rsid w:val="481935D8"/>
    <w:rsid w:val="481F31DA"/>
    <w:rsid w:val="482254E2"/>
    <w:rsid w:val="483D6FB4"/>
    <w:rsid w:val="48455675"/>
    <w:rsid w:val="48606BC0"/>
    <w:rsid w:val="4875266D"/>
    <w:rsid w:val="4889710F"/>
    <w:rsid w:val="48A50CBC"/>
    <w:rsid w:val="48B25ECA"/>
    <w:rsid w:val="48B60F0A"/>
    <w:rsid w:val="48CB107D"/>
    <w:rsid w:val="48F07DB8"/>
    <w:rsid w:val="48F232BB"/>
    <w:rsid w:val="48F30275"/>
    <w:rsid w:val="49023556"/>
    <w:rsid w:val="49041E4A"/>
    <w:rsid w:val="49102650"/>
    <w:rsid w:val="49275D14"/>
    <w:rsid w:val="493904D2"/>
    <w:rsid w:val="49403AFB"/>
    <w:rsid w:val="49495EC9"/>
    <w:rsid w:val="49503A71"/>
    <w:rsid w:val="49712D0A"/>
    <w:rsid w:val="49920446"/>
    <w:rsid w:val="49A90014"/>
    <w:rsid w:val="49B80E6C"/>
    <w:rsid w:val="49C04C0E"/>
    <w:rsid w:val="49C12AD9"/>
    <w:rsid w:val="49D12082"/>
    <w:rsid w:val="49DE5C2D"/>
    <w:rsid w:val="49E55C77"/>
    <w:rsid w:val="49F772E6"/>
    <w:rsid w:val="4A1E2A29"/>
    <w:rsid w:val="4A2B5447"/>
    <w:rsid w:val="4A342D95"/>
    <w:rsid w:val="4A3E54DC"/>
    <w:rsid w:val="4A47036A"/>
    <w:rsid w:val="4A5166FB"/>
    <w:rsid w:val="4A7C4FC1"/>
    <w:rsid w:val="4A8536D2"/>
    <w:rsid w:val="4A9D584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5317A1"/>
    <w:rsid w:val="4B691746"/>
    <w:rsid w:val="4B6E6C91"/>
    <w:rsid w:val="4B7012F0"/>
    <w:rsid w:val="4B9C0C9C"/>
    <w:rsid w:val="4BAF1EBA"/>
    <w:rsid w:val="4BBC0C9E"/>
    <w:rsid w:val="4BC92A64"/>
    <w:rsid w:val="4BCB2C12"/>
    <w:rsid w:val="4BD5286C"/>
    <w:rsid w:val="4BD82710"/>
    <w:rsid w:val="4BD8527D"/>
    <w:rsid w:val="4BE56B11"/>
    <w:rsid w:val="4BF23C29"/>
    <w:rsid w:val="4BF91035"/>
    <w:rsid w:val="4C0F5757"/>
    <w:rsid w:val="4C1550E2"/>
    <w:rsid w:val="4C183B1D"/>
    <w:rsid w:val="4C207BF0"/>
    <w:rsid w:val="4C293D83"/>
    <w:rsid w:val="4C484637"/>
    <w:rsid w:val="4C501913"/>
    <w:rsid w:val="4C5061C1"/>
    <w:rsid w:val="4C5A4552"/>
    <w:rsid w:val="4C5B1004"/>
    <w:rsid w:val="4C601CDE"/>
    <w:rsid w:val="4C700C74"/>
    <w:rsid w:val="4C853452"/>
    <w:rsid w:val="4C87625C"/>
    <w:rsid w:val="4C93212D"/>
    <w:rsid w:val="4CAD655A"/>
    <w:rsid w:val="4CB53967"/>
    <w:rsid w:val="4CC4348E"/>
    <w:rsid w:val="4CC7692E"/>
    <w:rsid w:val="4CD8739E"/>
    <w:rsid w:val="4CDC47FD"/>
    <w:rsid w:val="4CDE4B2B"/>
    <w:rsid w:val="4CE77681"/>
    <w:rsid w:val="4CF55DDD"/>
    <w:rsid w:val="4D445EFB"/>
    <w:rsid w:val="4D49324E"/>
    <w:rsid w:val="4D755501"/>
    <w:rsid w:val="4D7D11B1"/>
    <w:rsid w:val="4D8A3B75"/>
    <w:rsid w:val="4D9819DB"/>
    <w:rsid w:val="4D9A4EDE"/>
    <w:rsid w:val="4D9C7AE5"/>
    <w:rsid w:val="4DA27D63"/>
    <w:rsid w:val="4DAF7402"/>
    <w:rsid w:val="4DB72290"/>
    <w:rsid w:val="4DBF769C"/>
    <w:rsid w:val="4DCE26E9"/>
    <w:rsid w:val="4DD86643"/>
    <w:rsid w:val="4DE6755C"/>
    <w:rsid w:val="4DEF5C6D"/>
    <w:rsid w:val="4DFC3C7E"/>
    <w:rsid w:val="4DFF171A"/>
    <w:rsid w:val="4E065CFD"/>
    <w:rsid w:val="4E0F0720"/>
    <w:rsid w:val="4E1600AB"/>
    <w:rsid w:val="4E1E499E"/>
    <w:rsid w:val="4E2373C0"/>
    <w:rsid w:val="4E324336"/>
    <w:rsid w:val="4E3B5550"/>
    <w:rsid w:val="4E46667C"/>
    <w:rsid w:val="4E574397"/>
    <w:rsid w:val="4E776E4B"/>
    <w:rsid w:val="4E82509B"/>
    <w:rsid w:val="4E884B66"/>
    <w:rsid w:val="4E921BF3"/>
    <w:rsid w:val="4E9F4303"/>
    <w:rsid w:val="4EA81E93"/>
    <w:rsid w:val="4EBF442B"/>
    <w:rsid w:val="4EBF723F"/>
    <w:rsid w:val="4EC40427"/>
    <w:rsid w:val="4ECC4356"/>
    <w:rsid w:val="4ECD3DEF"/>
    <w:rsid w:val="4ED626E7"/>
    <w:rsid w:val="4ED94364"/>
    <w:rsid w:val="4EE33F7B"/>
    <w:rsid w:val="4EE670FE"/>
    <w:rsid w:val="4EFA5A91"/>
    <w:rsid w:val="4F195E9F"/>
    <w:rsid w:val="4F1B7656"/>
    <w:rsid w:val="4F1D3B0A"/>
    <w:rsid w:val="4F2449E5"/>
    <w:rsid w:val="4F416513"/>
    <w:rsid w:val="4F5E52D6"/>
    <w:rsid w:val="4F61484A"/>
    <w:rsid w:val="4F6232F8"/>
    <w:rsid w:val="4F874A89"/>
    <w:rsid w:val="4FAB39C4"/>
    <w:rsid w:val="4FB12CC5"/>
    <w:rsid w:val="4FBD16E0"/>
    <w:rsid w:val="4FC15B68"/>
    <w:rsid w:val="4FC27D66"/>
    <w:rsid w:val="4FCC4C42"/>
    <w:rsid w:val="4FCE73FC"/>
    <w:rsid w:val="4FD64808"/>
    <w:rsid w:val="4FD7735B"/>
    <w:rsid w:val="4FE35224"/>
    <w:rsid w:val="4FF64D3D"/>
    <w:rsid w:val="4FFB4A48"/>
    <w:rsid w:val="500365D1"/>
    <w:rsid w:val="500A17DF"/>
    <w:rsid w:val="50193FF8"/>
    <w:rsid w:val="502226D6"/>
    <w:rsid w:val="50286811"/>
    <w:rsid w:val="50473D73"/>
    <w:rsid w:val="50834F8C"/>
    <w:rsid w:val="508A55B1"/>
    <w:rsid w:val="508C2093"/>
    <w:rsid w:val="50B8067E"/>
    <w:rsid w:val="50BA3B81"/>
    <w:rsid w:val="50C34A9C"/>
    <w:rsid w:val="50E161B2"/>
    <w:rsid w:val="50E87B49"/>
    <w:rsid w:val="511B709E"/>
    <w:rsid w:val="51261ADC"/>
    <w:rsid w:val="512D283B"/>
    <w:rsid w:val="51385D77"/>
    <w:rsid w:val="514172DE"/>
    <w:rsid w:val="51442461"/>
    <w:rsid w:val="51465964"/>
    <w:rsid w:val="515371F8"/>
    <w:rsid w:val="51571481"/>
    <w:rsid w:val="515D338B"/>
    <w:rsid w:val="51860510"/>
    <w:rsid w:val="518965D2"/>
    <w:rsid w:val="51904A15"/>
    <w:rsid w:val="51907920"/>
    <w:rsid w:val="5199796C"/>
    <w:rsid w:val="51BF4329"/>
    <w:rsid w:val="51C464A2"/>
    <w:rsid w:val="51CB39BF"/>
    <w:rsid w:val="51E31065"/>
    <w:rsid w:val="51ED2148"/>
    <w:rsid w:val="51F17CFE"/>
    <w:rsid w:val="520C7CAB"/>
    <w:rsid w:val="520E31AE"/>
    <w:rsid w:val="524349D3"/>
    <w:rsid w:val="524E6196"/>
    <w:rsid w:val="52622C38"/>
    <w:rsid w:val="52722ED3"/>
    <w:rsid w:val="527C37E2"/>
    <w:rsid w:val="528278EA"/>
    <w:rsid w:val="52884ADC"/>
    <w:rsid w:val="52B52FF1"/>
    <w:rsid w:val="52B64958"/>
    <w:rsid w:val="52BA2DC0"/>
    <w:rsid w:val="52C12C52"/>
    <w:rsid w:val="52D15024"/>
    <w:rsid w:val="52E26A0A"/>
    <w:rsid w:val="52FF2E29"/>
    <w:rsid w:val="53010C0B"/>
    <w:rsid w:val="530449C0"/>
    <w:rsid w:val="53117559"/>
    <w:rsid w:val="53404825"/>
    <w:rsid w:val="53416241"/>
    <w:rsid w:val="534F175F"/>
    <w:rsid w:val="535321C1"/>
    <w:rsid w:val="53697924"/>
    <w:rsid w:val="536D0121"/>
    <w:rsid w:val="53707572"/>
    <w:rsid w:val="53C02B75"/>
    <w:rsid w:val="53CA4C80"/>
    <w:rsid w:val="53EA66AD"/>
    <w:rsid w:val="53EE23BF"/>
    <w:rsid w:val="53F23262"/>
    <w:rsid w:val="53FD045B"/>
    <w:rsid w:val="53FD32A8"/>
    <w:rsid w:val="540A41A9"/>
    <w:rsid w:val="540D3A6F"/>
    <w:rsid w:val="54190C85"/>
    <w:rsid w:val="541F2B8E"/>
    <w:rsid w:val="54311BAF"/>
    <w:rsid w:val="545333E8"/>
    <w:rsid w:val="54560AEA"/>
    <w:rsid w:val="545D58DB"/>
    <w:rsid w:val="546148FC"/>
    <w:rsid w:val="547316D7"/>
    <w:rsid w:val="547F7301"/>
    <w:rsid w:val="548E44C7"/>
    <w:rsid w:val="54AB3A77"/>
    <w:rsid w:val="54C65E82"/>
    <w:rsid w:val="54C75926"/>
    <w:rsid w:val="54D910C3"/>
    <w:rsid w:val="54FB72AA"/>
    <w:rsid w:val="550A3F74"/>
    <w:rsid w:val="551659DC"/>
    <w:rsid w:val="551940AB"/>
    <w:rsid w:val="551C085F"/>
    <w:rsid w:val="55243C05"/>
    <w:rsid w:val="55253741"/>
    <w:rsid w:val="552B1DC7"/>
    <w:rsid w:val="55301DC2"/>
    <w:rsid w:val="55413F6A"/>
    <w:rsid w:val="55432CF1"/>
    <w:rsid w:val="554D59FE"/>
    <w:rsid w:val="55526D87"/>
    <w:rsid w:val="556C05F6"/>
    <w:rsid w:val="557B66CE"/>
    <w:rsid w:val="557D1554"/>
    <w:rsid w:val="55990DAE"/>
    <w:rsid w:val="559B0682"/>
    <w:rsid w:val="55BB5C2C"/>
    <w:rsid w:val="55BE109B"/>
    <w:rsid w:val="55C752ED"/>
    <w:rsid w:val="55D75763"/>
    <w:rsid w:val="55D86806"/>
    <w:rsid w:val="55DD7548"/>
    <w:rsid w:val="55E0078B"/>
    <w:rsid w:val="55E8012F"/>
    <w:rsid w:val="55EC1E85"/>
    <w:rsid w:val="55EF668D"/>
    <w:rsid w:val="55F67FAE"/>
    <w:rsid w:val="561F4AB6"/>
    <w:rsid w:val="5640190F"/>
    <w:rsid w:val="564415CA"/>
    <w:rsid w:val="564505F2"/>
    <w:rsid w:val="564C5721"/>
    <w:rsid w:val="566F67D3"/>
    <w:rsid w:val="56885586"/>
    <w:rsid w:val="568F4307"/>
    <w:rsid w:val="569726ED"/>
    <w:rsid w:val="569F0646"/>
    <w:rsid w:val="56AE57C6"/>
    <w:rsid w:val="570C52FA"/>
    <w:rsid w:val="572341DD"/>
    <w:rsid w:val="57245405"/>
    <w:rsid w:val="575171CD"/>
    <w:rsid w:val="575A58DF"/>
    <w:rsid w:val="576C1A3B"/>
    <w:rsid w:val="57782C90"/>
    <w:rsid w:val="57B0086C"/>
    <w:rsid w:val="57B204EC"/>
    <w:rsid w:val="57BA337A"/>
    <w:rsid w:val="57BD3902"/>
    <w:rsid w:val="57D577A7"/>
    <w:rsid w:val="57D73F48"/>
    <w:rsid w:val="57E3453E"/>
    <w:rsid w:val="57F36E25"/>
    <w:rsid w:val="57F80C60"/>
    <w:rsid w:val="58013AEE"/>
    <w:rsid w:val="581140DE"/>
    <w:rsid w:val="58117561"/>
    <w:rsid w:val="5818245E"/>
    <w:rsid w:val="581E561D"/>
    <w:rsid w:val="58406E56"/>
    <w:rsid w:val="58466FCB"/>
    <w:rsid w:val="58470002"/>
    <w:rsid w:val="585039A6"/>
    <w:rsid w:val="58692219"/>
    <w:rsid w:val="586B571C"/>
    <w:rsid w:val="58791557"/>
    <w:rsid w:val="587A7F35"/>
    <w:rsid w:val="5885480C"/>
    <w:rsid w:val="58A310F9"/>
    <w:rsid w:val="58B00C60"/>
    <w:rsid w:val="58C70034"/>
    <w:rsid w:val="58CE0838"/>
    <w:rsid w:val="58CF5440"/>
    <w:rsid w:val="58E74D32"/>
    <w:rsid w:val="58F16C7A"/>
    <w:rsid w:val="58F84874"/>
    <w:rsid w:val="58FF3A11"/>
    <w:rsid w:val="5906339C"/>
    <w:rsid w:val="59260BAB"/>
    <w:rsid w:val="592E6ADF"/>
    <w:rsid w:val="593A7614"/>
    <w:rsid w:val="593B00D4"/>
    <w:rsid w:val="59440C82"/>
    <w:rsid w:val="595C4851"/>
    <w:rsid w:val="597F010F"/>
    <w:rsid w:val="59A90346"/>
    <w:rsid w:val="59B07FB1"/>
    <w:rsid w:val="59BC7647"/>
    <w:rsid w:val="59DA3A14"/>
    <w:rsid w:val="59DD7B7C"/>
    <w:rsid w:val="59F2429E"/>
    <w:rsid w:val="59FC4B45"/>
    <w:rsid w:val="5A1B5462"/>
    <w:rsid w:val="5A465698"/>
    <w:rsid w:val="5A47527D"/>
    <w:rsid w:val="5A5020B9"/>
    <w:rsid w:val="5A555911"/>
    <w:rsid w:val="5A5C174F"/>
    <w:rsid w:val="5A65689F"/>
    <w:rsid w:val="5A906A56"/>
    <w:rsid w:val="5A916423"/>
    <w:rsid w:val="5A9C7455"/>
    <w:rsid w:val="5A9E5903"/>
    <w:rsid w:val="5AA66C55"/>
    <w:rsid w:val="5AA80549"/>
    <w:rsid w:val="5AB1123A"/>
    <w:rsid w:val="5AB6785F"/>
    <w:rsid w:val="5ABE04EF"/>
    <w:rsid w:val="5AD563E4"/>
    <w:rsid w:val="5AD65B96"/>
    <w:rsid w:val="5ADA679A"/>
    <w:rsid w:val="5AED57BB"/>
    <w:rsid w:val="5B1769FD"/>
    <w:rsid w:val="5B372B47"/>
    <w:rsid w:val="5B5154DF"/>
    <w:rsid w:val="5B554648"/>
    <w:rsid w:val="5B7704AD"/>
    <w:rsid w:val="5B7B6323"/>
    <w:rsid w:val="5B8C73EB"/>
    <w:rsid w:val="5BA25B21"/>
    <w:rsid w:val="5BAB1071"/>
    <w:rsid w:val="5BB9748C"/>
    <w:rsid w:val="5BD60FBC"/>
    <w:rsid w:val="5BE61256"/>
    <w:rsid w:val="5BF501EB"/>
    <w:rsid w:val="5BFE5E0F"/>
    <w:rsid w:val="5C0351D3"/>
    <w:rsid w:val="5C0F5926"/>
    <w:rsid w:val="5C187076"/>
    <w:rsid w:val="5C235838"/>
    <w:rsid w:val="5C3E76E6"/>
    <w:rsid w:val="5C576F8B"/>
    <w:rsid w:val="5C5B40AC"/>
    <w:rsid w:val="5C646D60"/>
    <w:rsid w:val="5C6F2ADC"/>
    <w:rsid w:val="5C741646"/>
    <w:rsid w:val="5C793BE9"/>
    <w:rsid w:val="5C9761B3"/>
    <w:rsid w:val="5C981DBF"/>
    <w:rsid w:val="5C9E261E"/>
    <w:rsid w:val="5CB318A3"/>
    <w:rsid w:val="5CB85D2B"/>
    <w:rsid w:val="5CBE7C34"/>
    <w:rsid w:val="5CF3268D"/>
    <w:rsid w:val="5D184E4B"/>
    <w:rsid w:val="5D290C69"/>
    <w:rsid w:val="5D2B3334"/>
    <w:rsid w:val="5D5635A3"/>
    <w:rsid w:val="5D69550A"/>
    <w:rsid w:val="5D6E1FD6"/>
    <w:rsid w:val="5D7A3F1A"/>
    <w:rsid w:val="5D8F4F70"/>
    <w:rsid w:val="5DC42740"/>
    <w:rsid w:val="5DD2339B"/>
    <w:rsid w:val="5DD970EE"/>
    <w:rsid w:val="5DF04B2E"/>
    <w:rsid w:val="5DF53121"/>
    <w:rsid w:val="5E0324CA"/>
    <w:rsid w:val="5E3929A4"/>
    <w:rsid w:val="5E3A63DF"/>
    <w:rsid w:val="5E3C172A"/>
    <w:rsid w:val="5E702CD8"/>
    <w:rsid w:val="5E9F014A"/>
    <w:rsid w:val="5E9F7A2D"/>
    <w:rsid w:val="5EA67E30"/>
    <w:rsid w:val="5EB55B71"/>
    <w:rsid w:val="5ED75D25"/>
    <w:rsid w:val="5F0955FB"/>
    <w:rsid w:val="5F0977F9"/>
    <w:rsid w:val="5F0D497A"/>
    <w:rsid w:val="5F164911"/>
    <w:rsid w:val="5F1C681A"/>
    <w:rsid w:val="5F2D4A41"/>
    <w:rsid w:val="5F3E69CE"/>
    <w:rsid w:val="5F482B61"/>
    <w:rsid w:val="5F4B3119"/>
    <w:rsid w:val="5F7E116D"/>
    <w:rsid w:val="5F802CBB"/>
    <w:rsid w:val="5F9D03B8"/>
    <w:rsid w:val="5FAA3AFF"/>
    <w:rsid w:val="5FB41813"/>
    <w:rsid w:val="5FBD5066"/>
    <w:rsid w:val="5FBE05A1"/>
    <w:rsid w:val="5FCC21F2"/>
    <w:rsid w:val="5FDA6A4F"/>
    <w:rsid w:val="5FEF4354"/>
    <w:rsid w:val="5FF2368F"/>
    <w:rsid w:val="60052F14"/>
    <w:rsid w:val="600A2140"/>
    <w:rsid w:val="601644B3"/>
    <w:rsid w:val="601B3C4D"/>
    <w:rsid w:val="6025124B"/>
    <w:rsid w:val="60513B15"/>
    <w:rsid w:val="605A0420"/>
    <w:rsid w:val="60624F0A"/>
    <w:rsid w:val="606D4EC2"/>
    <w:rsid w:val="60705E47"/>
    <w:rsid w:val="60760CBF"/>
    <w:rsid w:val="607B1C59"/>
    <w:rsid w:val="60846C51"/>
    <w:rsid w:val="60852569"/>
    <w:rsid w:val="60991209"/>
    <w:rsid w:val="60C51BD4"/>
    <w:rsid w:val="610F0176"/>
    <w:rsid w:val="611565D4"/>
    <w:rsid w:val="61171AD8"/>
    <w:rsid w:val="611778D9"/>
    <w:rsid w:val="61205F8C"/>
    <w:rsid w:val="61246BCA"/>
    <w:rsid w:val="61377E0E"/>
    <w:rsid w:val="613F1004"/>
    <w:rsid w:val="614D672E"/>
    <w:rsid w:val="61774636"/>
    <w:rsid w:val="61786679"/>
    <w:rsid w:val="61850EBD"/>
    <w:rsid w:val="61931421"/>
    <w:rsid w:val="61B16453"/>
    <w:rsid w:val="61B73BDF"/>
    <w:rsid w:val="61D71F16"/>
    <w:rsid w:val="61DF7322"/>
    <w:rsid w:val="61FB637A"/>
    <w:rsid w:val="62094494"/>
    <w:rsid w:val="62441245"/>
    <w:rsid w:val="62543D0E"/>
    <w:rsid w:val="62584F92"/>
    <w:rsid w:val="625933C2"/>
    <w:rsid w:val="626A7D5A"/>
    <w:rsid w:val="627A00A5"/>
    <w:rsid w:val="62CA2770"/>
    <w:rsid w:val="62CD3727"/>
    <w:rsid w:val="62D81AB9"/>
    <w:rsid w:val="63016CD4"/>
    <w:rsid w:val="630B320C"/>
    <w:rsid w:val="632154C1"/>
    <w:rsid w:val="63251BB8"/>
    <w:rsid w:val="632C3741"/>
    <w:rsid w:val="63303AED"/>
    <w:rsid w:val="633B5E47"/>
    <w:rsid w:val="63421168"/>
    <w:rsid w:val="635725D8"/>
    <w:rsid w:val="63976673"/>
    <w:rsid w:val="639C2AFB"/>
    <w:rsid w:val="63A67B74"/>
    <w:rsid w:val="63AC7EFE"/>
    <w:rsid w:val="63E279EC"/>
    <w:rsid w:val="63ED1601"/>
    <w:rsid w:val="63F25A88"/>
    <w:rsid w:val="63F31B65"/>
    <w:rsid w:val="63FD6018"/>
    <w:rsid w:val="63FF02CC"/>
    <w:rsid w:val="641E2DB0"/>
    <w:rsid w:val="64265F03"/>
    <w:rsid w:val="642B5C08"/>
    <w:rsid w:val="642B7743"/>
    <w:rsid w:val="642D103F"/>
    <w:rsid w:val="64307322"/>
    <w:rsid w:val="64351345"/>
    <w:rsid w:val="64561F2A"/>
    <w:rsid w:val="64585286"/>
    <w:rsid w:val="6462519E"/>
    <w:rsid w:val="647C5B23"/>
    <w:rsid w:val="64A66831"/>
    <w:rsid w:val="64B76868"/>
    <w:rsid w:val="64BD0615"/>
    <w:rsid w:val="64DC00B7"/>
    <w:rsid w:val="64E23953"/>
    <w:rsid w:val="64ED6639"/>
    <w:rsid w:val="64EE0B37"/>
    <w:rsid w:val="64FF6124"/>
    <w:rsid w:val="650755D0"/>
    <w:rsid w:val="650E0E71"/>
    <w:rsid w:val="65146E65"/>
    <w:rsid w:val="65177DE9"/>
    <w:rsid w:val="65453DB0"/>
    <w:rsid w:val="655353B2"/>
    <w:rsid w:val="655F20AD"/>
    <w:rsid w:val="65B975F2"/>
    <w:rsid w:val="65C533DA"/>
    <w:rsid w:val="65C60736"/>
    <w:rsid w:val="65DF7832"/>
    <w:rsid w:val="65EA7DC1"/>
    <w:rsid w:val="65EB5843"/>
    <w:rsid w:val="65F20792"/>
    <w:rsid w:val="65F23134"/>
    <w:rsid w:val="65F47E78"/>
    <w:rsid w:val="66063E6E"/>
    <w:rsid w:val="660B1322"/>
    <w:rsid w:val="66293129"/>
    <w:rsid w:val="662F72F1"/>
    <w:rsid w:val="66377FD0"/>
    <w:rsid w:val="66421AD5"/>
    <w:rsid w:val="66672A19"/>
    <w:rsid w:val="66782EA9"/>
    <w:rsid w:val="66880F45"/>
    <w:rsid w:val="66993D55"/>
    <w:rsid w:val="66A40875"/>
    <w:rsid w:val="66A42A73"/>
    <w:rsid w:val="66AA0200"/>
    <w:rsid w:val="66B87515"/>
    <w:rsid w:val="66D1263E"/>
    <w:rsid w:val="66E04E56"/>
    <w:rsid w:val="66E910CF"/>
    <w:rsid w:val="6700790A"/>
    <w:rsid w:val="67010066"/>
    <w:rsid w:val="672023BD"/>
    <w:rsid w:val="673832E7"/>
    <w:rsid w:val="67697339"/>
    <w:rsid w:val="676B34F8"/>
    <w:rsid w:val="677E3A5B"/>
    <w:rsid w:val="67910714"/>
    <w:rsid w:val="67953680"/>
    <w:rsid w:val="67AA451F"/>
    <w:rsid w:val="67C71B3D"/>
    <w:rsid w:val="67E50E81"/>
    <w:rsid w:val="67E74384"/>
    <w:rsid w:val="67E91E7A"/>
    <w:rsid w:val="67EA0B8C"/>
    <w:rsid w:val="68064677"/>
    <w:rsid w:val="680B7043"/>
    <w:rsid w:val="680C3831"/>
    <w:rsid w:val="680E4244"/>
    <w:rsid w:val="68133F4F"/>
    <w:rsid w:val="681A693D"/>
    <w:rsid w:val="684C637D"/>
    <w:rsid w:val="68523A33"/>
    <w:rsid w:val="6857237B"/>
    <w:rsid w:val="686626D4"/>
    <w:rsid w:val="689D062F"/>
    <w:rsid w:val="689F44B1"/>
    <w:rsid w:val="68B867D3"/>
    <w:rsid w:val="68BA215E"/>
    <w:rsid w:val="68BE7DE7"/>
    <w:rsid w:val="68C92778"/>
    <w:rsid w:val="68ED3A9E"/>
    <w:rsid w:val="68EE7135"/>
    <w:rsid w:val="68EF4BB6"/>
    <w:rsid w:val="68F9484C"/>
    <w:rsid w:val="68FC1011"/>
    <w:rsid w:val="6908763F"/>
    <w:rsid w:val="6910451E"/>
    <w:rsid w:val="694C74CE"/>
    <w:rsid w:val="695348DB"/>
    <w:rsid w:val="69692B1A"/>
    <w:rsid w:val="69794A5B"/>
    <w:rsid w:val="69987B6E"/>
    <w:rsid w:val="699B479D"/>
    <w:rsid w:val="699E3A55"/>
    <w:rsid w:val="69A27DD9"/>
    <w:rsid w:val="69C8489A"/>
    <w:rsid w:val="69D62B3D"/>
    <w:rsid w:val="69E676CD"/>
    <w:rsid w:val="69EA5D24"/>
    <w:rsid w:val="69F76CC0"/>
    <w:rsid w:val="69FB3DEF"/>
    <w:rsid w:val="69FC3EFA"/>
    <w:rsid w:val="6A0B4089"/>
    <w:rsid w:val="6A0C6288"/>
    <w:rsid w:val="6A1F142A"/>
    <w:rsid w:val="6A2A10BB"/>
    <w:rsid w:val="6A2D1679"/>
    <w:rsid w:val="6A2E5B11"/>
    <w:rsid w:val="6A470981"/>
    <w:rsid w:val="6A670F20"/>
    <w:rsid w:val="6A694D9B"/>
    <w:rsid w:val="6A696621"/>
    <w:rsid w:val="6A7E0B45"/>
    <w:rsid w:val="6A806C6B"/>
    <w:rsid w:val="6A885221"/>
    <w:rsid w:val="6A9605C9"/>
    <w:rsid w:val="6AA40D85"/>
    <w:rsid w:val="6AC14AB2"/>
    <w:rsid w:val="6AC91EBE"/>
    <w:rsid w:val="6AC95741"/>
    <w:rsid w:val="6ACE11AA"/>
    <w:rsid w:val="6ACE6346"/>
    <w:rsid w:val="6AD92158"/>
    <w:rsid w:val="6AEF2B22"/>
    <w:rsid w:val="6B034323"/>
    <w:rsid w:val="6B152817"/>
    <w:rsid w:val="6B180D44"/>
    <w:rsid w:val="6B27494B"/>
    <w:rsid w:val="6B27568C"/>
    <w:rsid w:val="6B4E079F"/>
    <w:rsid w:val="6B5A722E"/>
    <w:rsid w:val="6B610944"/>
    <w:rsid w:val="6B680BAF"/>
    <w:rsid w:val="6B8A4FC9"/>
    <w:rsid w:val="6B8A6D77"/>
    <w:rsid w:val="6B932C0C"/>
    <w:rsid w:val="6B937345"/>
    <w:rsid w:val="6BAC7F32"/>
    <w:rsid w:val="6BBD4C2A"/>
    <w:rsid w:val="6BBF1228"/>
    <w:rsid w:val="6BCA1579"/>
    <w:rsid w:val="6BD126F0"/>
    <w:rsid w:val="6BEC737B"/>
    <w:rsid w:val="6BFA5AB3"/>
    <w:rsid w:val="6C0C1250"/>
    <w:rsid w:val="6C152AE5"/>
    <w:rsid w:val="6C3A7DF6"/>
    <w:rsid w:val="6C460131"/>
    <w:rsid w:val="6C5B6DD1"/>
    <w:rsid w:val="6C61675C"/>
    <w:rsid w:val="6C693B68"/>
    <w:rsid w:val="6C6A4E6D"/>
    <w:rsid w:val="6C7F5731"/>
    <w:rsid w:val="6CB13EDC"/>
    <w:rsid w:val="6CB90E3A"/>
    <w:rsid w:val="6CD27D15"/>
    <w:rsid w:val="6CD66256"/>
    <w:rsid w:val="6CE54BAD"/>
    <w:rsid w:val="6CEF3D02"/>
    <w:rsid w:val="6CF02B48"/>
    <w:rsid w:val="6CF17718"/>
    <w:rsid w:val="6CF215BD"/>
    <w:rsid w:val="6CF57814"/>
    <w:rsid w:val="6D167504"/>
    <w:rsid w:val="6D342B2B"/>
    <w:rsid w:val="6D4F0C03"/>
    <w:rsid w:val="6D523A87"/>
    <w:rsid w:val="6D7A2AAC"/>
    <w:rsid w:val="6D7D1C6D"/>
    <w:rsid w:val="6D812437"/>
    <w:rsid w:val="6D8D0DA1"/>
    <w:rsid w:val="6D8F1190"/>
    <w:rsid w:val="6D9C0A62"/>
    <w:rsid w:val="6DB22C06"/>
    <w:rsid w:val="6DC71E97"/>
    <w:rsid w:val="6DDF0252"/>
    <w:rsid w:val="6DFD3F7F"/>
    <w:rsid w:val="6DFE1A00"/>
    <w:rsid w:val="6E1D2124"/>
    <w:rsid w:val="6E447FE6"/>
    <w:rsid w:val="6E8354DD"/>
    <w:rsid w:val="6E8A4C37"/>
    <w:rsid w:val="6E981BFF"/>
    <w:rsid w:val="6E9F0000"/>
    <w:rsid w:val="6EB10C80"/>
    <w:rsid w:val="6EB87E27"/>
    <w:rsid w:val="6EE2146D"/>
    <w:rsid w:val="6EEC0CAE"/>
    <w:rsid w:val="6EEE4B8C"/>
    <w:rsid w:val="6F050034"/>
    <w:rsid w:val="6F0D763F"/>
    <w:rsid w:val="6F1005C4"/>
    <w:rsid w:val="6F162E82"/>
    <w:rsid w:val="6F2914EE"/>
    <w:rsid w:val="6F376285"/>
    <w:rsid w:val="6F3F6524"/>
    <w:rsid w:val="6F407D0F"/>
    <w:rsid w:val="6F663551"/>
    <w:rsid w:val="6F674856"/>
    <w:rsid w:val="6F786CEE"/>
    <w:rsid w:val="6F8040FB"/>
    <w:rsid w:val="6F854425"/>
    <w:rsid w:val="6F893432"/>
    <w:rsid w:val="6F8F4715"/>
    <w:rsid w:val="6F9B278B"/>
    <w:rsid w:val="6FDA1311"/>
    <w:rsid w:val="6FE14660"/>
    <w:rsid w:val="6FF44D17"/>
    <w:rsid w:val="6FFFD95E"/>
    <w:rsid w:val="700F04E7"/>
    <w:rsid w:val="702E2F9A"/>
    <w:rsid w:val="70352925"/>
    <w:rsid w:val="703B647C"/>
    <w:rsid w:val="705A0172"/>
    <w:rsid w:val="706C4FFD"/>
    <w:rsid w:val="706D6302"/>
    <w:rsid w:val="707A385E"/>
    <w:rsid w:val="708364BB"/>
    <w:rsid w:val="708E6837"/>
    <w:rsid w:val="70974F48"/>
    <w:rsid w:val="70B51F79"/>
    <w:rsid w:val="70BC5C25"/>
    <w:rsid w:val="70C857AB"/>
    <w:rsid w:val="70D0347E"/>
    <w:rsid w:val="70D10D69"/>
    <w:rsid w:val="70ED2282"/>
    <w:rsid w:val="70EF3E1D"/>
    <w:rsid w:val="71306040"/>
    <w:rsid w:val="715560C8"/>
    <w:rsid w:val="716F71A9"/>
    <w:rsid w:val="717410B3"/>
    <w:rsid w:val="717E19C2"/>
    <w:rsid w:val="719921EC"/>
    <w:rsid w:val="719F7978"/>
    <w:rsid w:val="71A212BE"/>
    <w:rsid w:val="71A55FFE"/>
    <w:rsid w:val="71C468B3"/>
    <w:rsid w:val="71CC33DE"/>
    <w:rsid w:val="71E338E5"/>
    <w:rsid w:val="71FD448F"/>
    <w:rsid w:val="720555E9"/>
    <w:rsid w:val="722111CB"/>
    <w:rsid w:val="723D20B9"/>
    <w:rsid w:val="724A08F1"/>
    <w:rsid w:val="72563C24"/>
    <w:rsid w:val="726915C0"/>
    <w:rsid w:val="727D2CEA"/>
    <w:rsid w:val="728C6DF8"/>
    <w:rsid w:val="728E308E"/>
    <w:rsid w:val="729D2129"/>
    <w:rsid w:val="72DF0A71"/>
    <w:rsid w:val="72E262D5"/>
    <w:rsid w:val="72E70F53"/>
    <w:rsid w:val="72F21DD2"/>
    <w:rsid w:val="73000839"/>
    <w:rsid w:val="7304045B"/>
    <w:rsid w:val="730A1149"/>
    <w:rsid w:val="730E1803"/>
    <w:rsid w:val="73106B62"/>
    <w:rsid w:val="73171C8B"/>
    <w:rsid w:val="731C6E4F"/>
    <w:rsid w:val="731D2368"/>
    <w:rsid w:val="73686A48"/>
    <w:rsid w:val="737230F7"/>
    <w:rsid w:val="73761E19"/>
    <w:rsid w:val="738C3CA1"/>
    <w:rsid w:val="739E0A22"/>
    <w:rsid w:val="73B10648"/>
    <w:rsid w:val="73C46FA3"/>
    <w:rsid w:val="73C70602"/>
    <w:rsid w:val="73CA1587"/>
    <w:rsid w:val="73D9092C"/>
    <w:rsid w:val="73DB035D"/>
    <w:rsid w:val="73FD72CB"/>
    <w:rsid w:val="73FF32F7"/>
    <w:rsid w:val="74034BE4"/>
    <w:rsid w:val="74213FF1"/>
    <w:rsid w:val="74416C47"/>
    <w:rsid w:val="7463285B"/>
    <w:rsid w:val="74666E87"/>
    <w:rsid w:val="74793BE8"/>
    <w:rsid w:val="74AC5FB0"/>
    <w:rsid w:val="74BD7896"/>
    <w:rsid w:val="74D54F3C"/>
    <w:rsid w:val="74DC48C7"/>
    <w:rsid w:val="74F80974"/>
    <w:rsid w:val="750B0F29"/>
    <w:rsid w:val="752949C6"/>
    <w:rsid w:val="75336768"/>
    <w:rsid w:val="753C2362"/>
    <w:rsid w:val="754504E2"/>
    <w:rsid w:val="754E6B00"/>
    <w:rsid w:val="755425CC"/>
    <w:rsid w:val="75627117"/>
    <w:rsid w:val="75673072"/>
    <w:rsid w:val="75702BBC"/>
    <w:rsid w:val="758B0767"/>
    <w:rsid w:val="75926D85"/>
    <w:rsid w:val="759926FC"/>
    <w:rsid w:val="75C46DC3"/>
    <w:rsid w:val="75FD0222"/>
    <w:rsid w:val="760969FB"/>
    <w:rsid w:val="76396C1E"/>
    <w:rsid w:val="763B364D"/>
    <w:rsid w:val="76400FDD"/>
    <w:rsid w:val="7649701C"/>
    <w:rsid w:val="764A0321"/>
    <w:rsid w:val="76504891"/>
    <w:rsid w:val="76564134"/>
    <w:rsid w:val="765A05BC"/>
    <w:rsid w:val="7684397E"/>
    <w:rsid w:val="768534B3"/>
    <w:rsid w:val="769C48A8"/>
    <w:rsid w:val="76A16BE2"/>
    <w:rsid w:val="76AB383E"/>
    <w:rsid w:val="76AD6D41"/>
    <w:rsid w:val="76B55C2D"/>
    <w:rsid w:val="76BB3AD8"/>
    <w:rsid w:val="76C96671"/>
    <w:rsid w:val="76EF302D"/>
    <w:rsid w:val="76FA2174"/>
    <w:rsid w:val="77185B7F"/>
    <w:rsid w:val="77230004"/>
    <w:rsid w:val="77281E9E"/>
    <w:rsid w:val="77345D20"/>
    <w:rsid w:val="77556255"/>
    <w:rsid w:val="775D6EE5"/>
    <w:rsid w:val="77792F92"/>
    <w:rsid w:val="777D2475"/>
    <w:rsid w:val="77A15B74"/>
    <w:rsid w:val="77AA0898"/>
    <w:rsid w:val="77B519B5"/>
    <w:rsid w:val="77BD4980"/>
    <w:rsid w:val="77C51D8C"/>
    <w:rsid w:val="77CA6C13"/>
    <w:rsid w:val="77EF0E28"/>
    <w:rsid w:val="77FC65B3"/>
    <w:rsid w:val="780627F5"/>
    <w:rsid w:val="78104AA8"/>
    <w:rsid w:val="783720CB"/>
    <w:rsid w:val="78405B2D"/>
    <w:rsid w:val="78426C1C"/>
    <w:rsid w:val="78461060"/>
    <w:rsid w:val="78476634"/>
    <w:rsid w:val="785B3584"/>
    <w:rsid w:val="788E239D"/>
    <w:rsid w:val="7890275A"/>
    <w:rsid w:val="78904407"/>
    <w:rsid w:val="78A413FA"/>
    <w:rsid w:val="78A75C02"/>
    <w:rsid w:val="78BA6E21"/>
    <w:rsid w:val="78C63250"/>
    <w:rsid w:val="78EE0CC9"/>
    <w:rsid w:val="78FD40FE"/>
    <w:rsid w:val="79091BCB"/>
    <w:rsid w:val="790A315A"/>
    <w:rsid w:val="790B5926"/>
    <w:rsid w:val="790D55A6"/>
    <w:rsid w:val="791E10C4"/>
    <w:rsid w:val="791E4907"/>
    <w:rsid w:val="7921205A"/>
    <w:rsid w:val="792F5B3E"/>
    <w:rsid w:val="794318A0"/>
    <w:rsid w:val="79435A80"/>
    <w:rsid w:val="79447980"/>
    <w:rsid w:val="7955121E"/>
    <w:rsid w:val="7955532A"/>
    <w:rsid w:val="795617CC"/>
    <w:rsid w:val="797C23F5"/>
    <w:rsid w:val="797D77E5"/>
    <w:rsid w:val="798F487B"/>
    <w:rsid w:val="79BF0649"/>
    <w:rsid w:val="79D31AEC"/>
    <w:rsid w:val="79D95FA0"/>
    <w:rsid w:val="79DA62F1"/>
    <w:rsid w:val="79E740F1"/>
    <w:rsid w:val="79F76A42"/>
    <w:rsid w:val="7A003D09"/>
    <w:rsid w:val="7A0D4354"/>
    <w:rsid w:val="7A280B2F"/>
    <w:rsid w:val="7A2A5D7E"/>
    <w:rsid w:val="7A326F58"/>
    <w:rsid w:val="7A373D8F"/>
    <w:rsid w:val="7A6B1472"/>
    <w:rsid w:val="7A812F09"/>
    <w:rsid w:val="7AA67387"/>
    <w:rsid w:val="7AA870B3"/>
    <w:rsid w:val="7ABC786B"/>
    <w:rsid w:val="7AC06271"/>
    <w:rsid w:val="7AC35E02"/>
    <w:rsid w:val="7ACC4282"/>
    <w:rsid w:val="7AF41F7F"/>
    <w:rsid w:val="7AF83CFD"/>
    <w:rsid w:val="7B0D6371"/>
    <w:rsid w:val="7B0E3521"/>
    <w:rsid w:val="7B253A17"/>
    <w:rsid w:val="7B294867"/>
    <w:rsid w:val="7B2B7B1F"/>
    <w:rsid w:val="7B365EB0"/>
    <w:rsid w:val="7B412AB0"/>
    <w:rsid w:val="7B5D103C"/>
    <w:rsid w:val="7B741218"/>
    <w:rsid w:val="7B835FAF"/>
    <w:rsid w:val="7B866F34"/>
    <w:rsid w:val="7B9207C8"/>
    <w:rsid w:val="7B9B74D6"/>
    <w:rsid w:val="7BB622D4"/>
    <w:rsid w:val="7BBE1183"/>
    <w:rsid w:val="7BC4009E"/>
    <w:rsid w:val="7BD75A22"/>
    <w:rsid w:val="7BE72BDA"/>
    <w:rsid w:val="7BEB7F5D"/>
    <w:rsid w:val="7BFD5C79"/>
    <w:rsid w:val="7C1742A4"/>
    <w:rsid w:val="7C4D0EFB"/>
    <w:rsid w:val="7C5A278F"/>
    <w:rsid w:val="7C6158D2"/>
    <w:rsid w:val="7C640B20"/>
    <w:rsid w:val="7C730889"/>
    <w:rsid w:val="7C7429D4"/>
    <w:rsid w:val="7C99137B"/>
    <w:rsid w:val="7CAB4B18"/>
    <w:rsid w:val="7CB55428"/>
    <w:rsid w:val="7CC279FA"/>
    <w:rsid w:val="7CCF0469"/>
    <w:rsid w:val="7CED61AC"/>
    <w:rsid w:val="7CF46211"/>
    <w:rsid w:val="7D1312C2"/>
    <w:rsid w:val="7D1A4DCC"/>
    <w:rsid w:val="7D2221D8"/>
    <w:rsid w:val="7D3746FC"/>
    <w:rsid w:val="7D3C4514"/>
    <w:rsid w:val="7D626845"/>
    <w:rsid w:val="7D6A3C51"/>
    <w:rsid w:val="7D741FE3"/>
    <w:rsid w:val="7D7A0669"/>
    <w:rsid w:val="7D967F99"/>
    <w:rsid w:val="7DB704CD"/>
    <w:rsid w:val="7DC61607"/>
    <w:rsid w:val="7DD76804"/>
    <w:rsid w:val="7DE21857"/>
    <w:rsid w:val="7DEE3433"/>
    <w:rsid w:val="7DF34AAF"/>
    <w:rsid w:val="7DF63CDF"/>
    <w:rsid w:val="7DFF912C"/>
    <w:rsid w:val="7E0C345B"/>
    <w:rsid w:val="7E1536A4"/>
    <w:rsid w:val="7E1A44FE"/>
    <w:rsid w:val="7E576346"/>
    <w:rsid w:val="7E765088"/>
    <w:rsid w:val="7E7D2D38"/>
    <w:rsid w:val="7E882DA4"/>
    <w:rsid w:val="7E8D2AAF"/>
    <w:rsid w:val="7EA313D0"/>
    <w:rsid w:val="7EA52354"/>
    <w:rsid w:val="7EA65BD8"/>
    <w:rsid w:val="7EAF2C64"/>
    <w:rsid w:val="7ED06A1C"/>
    <w:rsid w:val="7F1E0D19"/>
    <w:rsid w:val="7F330CBF"/>
    <w:rsid w:val="7F3F33E6"/>
    <w:rsid w:val="7F460E2D"/>
    <w:rsid w:val="7F59567B"/>
    <w:rsid w:val="7F652792"/>
    <w:rsid w:val="7F6E5620"/>
    <w:rsid w:val="7F862CC7"/>
    <w:rsid w:val="7F945543"/>
    <w:rsid w:val="7F957A5E"/>
    <w:rsid w:val="7F9C01B4"/>
    <w:rsid w:val="7F9F53FB"/>
    <w:rsid w:val="7FA91A6A"/>
    <w:rsid w:val="7FAB1063"/>
    <w:rsid w:val="7FC7261C"/>
    <w:rsid w:val="7FC76F2D"/>
    <w:rsid w:val="7FE725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3">
    <w:name w:val="heading 1"/>
    <w:basedOn w:val="1"/>
    <w:next w:val="1"/>
    <w:link w:val="33"/>
    <w:qFormat/>
    <w:uiPriority w:val="9"/>
    <w:pPr>
      <w:spacing w:before="340" w:after="330" w:line="360" w:lineRule="auto"/>
      <w:jc w:val="center"/>
      <w:outlineLvl w:val="0"/>
    </w:pPr>
    <w:rPr>
      <w:rFonts w:eastAsia="黑体"/>
      <w:kern w:val="44"/>
      <w:szCs w:val="44"/>
    </w:rPr>
  </w:style>
  <w:style w:type="paragraph" w:styleId="4">
    <w:name w:val="heading 2"/>
    <w:basedOn w:val="1"/>
    <w:next w:val="1"/>
    <w:link w:val="32"/>
    <w:qFormat/>
    <w:uiPriority w:val="0"/>
    <w:pPr>
      <w:adjustRightInd w:val="0"/>
      <w:jc w:val="center"/>
      <w:textAlignment w:val="baseline"/>
      <w:outlineLvl w:val="1"/>
    </w:pPr>
    <w:rPr>
      <w:szCs w:val="20"/>
    </w:rPr>
  </w:style>
  <w:style w:type="paragraph" w:styleId="5">
    <w:name w:val="heading 3"/>
    <w:basedOn w:val="6"/>
    <w:next w:val="1"/>
    <w:link w:val="47"/>
    <w:qFormat/>
    <w:uiPriority w:val="9"/>
    <w:pPr>
      <w:spacing w:before="260" w:after="260"/>
      <w:outlineLvl w:val="2"/>
    </w:pPr>
    <w:rPr>
      <w:rFonts w:ascii="宋体" w:hAnsi="宋体" w:eastAsia="宋体"/>
      <w:szCs w:val="32"/>
    </w:rPr>
  </w:style>
  <w:style w:type="paragraph" w:styleId="6">
    <w:name w:val="heading 4"/>
    <w:basedOn w:val="1"/>
    <w:next w:val="1"/>
    <w:link w:val="35"/>
    <w:qFormat/>
    <w:uiPriority w:val="9"/>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spacing w:val="10"/>
    </w:rPr>
  </w:style>
  <w:style w:type="paragraph" w:styleId="7">
    <w:name w:val="Normal Indent"/>
    <w:basedOn w:val="1"/>
    <w:next w:val="8"/>
    <w:qFormat/>
    <w:uiPriority w:val="0"/>
    <w:pPr>
      <w:ind w:firstLine="420" w:firstLineChars="200"/>
    </w:pPr>
  </w:style>
  <w:style w:type="paragraph" w:styleId="8">
    <w:name w:val="Body Text"/>
    <w:basedOn w:val="1"/>
    <w:next w:val="1"/>
    <w:unhideWhenUsed/>
    <w:qFormat/>
    <w:uiPriority w:val="99"/>
    <w:rPr>
      <w:rFonts w:asciiTheme="minorHAnsi" w:hAnsiTheme="minorHAnsi" w:cstheme="minorBidi"/>
      <w:szCs w:val="22"/>
    </w:rPr>
  </w:style>
  <w:style w:type="paragraph" w:styleId="9">
    <w:name w:val="caption"/>
    <w:basedOn w:val="1"/>
    <w:next w:val="1"/>
    <w:qFormat/>
    <w:uiPriority w:val="0"/>
    <w:pPr>
      <w:spacing w:line="360" w:lineRule="auto"/>
      <w:ind w:firstLine="1940" w:firstLineChars="920"/>
    </w:pPr>
    <w:rPr>
      <w:rFonts w:ascii="宋体" w:hAnsi="宋体"/>
      <w:b/>
      <w:bCs/>
      <w:sz w:val="20"/>
      <w:szCs w:val="20"/>
    </w:rPr>
  </w:style>
  <w:style w:type="paragraph" w:styleId="10">
    <w:name w:val="annotation text"/>
    <w:basedOn w:val="1"/>
    <w:link w:val="40"/>
    <w:qFormat/>
    <w:uiPriority w:val="0"/>
  </w:style>
  <w:style w:type="paragraph" w:styleId="11">
    <w:name w:val="index 6"/>
    <w:basedOn w:val="1"/>
    <w:next w:val="1"/>
    <w:qFormat/>
    <w:uiPriority w:val="0"/>
    <w:pPr>
      <w:ind w:left="2100"/>
    </w:pPr>
  </w:style>
  <w:style w:type="paragraph" w:styleId="12">
    <w:name w:val="Body Text 3"/>
    <w:basedOn w:val="1"/>
    <w:qFormat/>
    <w:uiPriority w:val="0"/>
    <w:pPr>
      <w:spacing w:after="120"/>
    </w:pPr>
    <w:rPr>
      <w:sz w:val="16"/>
      <w:szCs w:val="16"/>
    </w:rPr>
  </w:style>
  <w:style w:type="paragraph" w:styleId="13">
    <w:name w:val="Body Text Indent"/>
    <w:basedOn w:val="1"/>
    <w:qFormat/>
    <w:uiPriority w:val="0"/>
    <w:pPr>
      <w:spacing w:line="360" w:lineRule="auto"/>
      <w:ind w:firstLine="420" w:firstLineChars="200"/>
    </w:pPr>
  </w:style>
  <w:style w:type="paragraph" w:styleId="14">
    <w:name w:val="Block Text"/>
    <w:basedOn w:val="1"/>
    <w:qFormat/>
    <w:uiPriority w:val="99"/>
    <w:pPr>
      <w:spacing w:line="360" w:lineRule="auto"/>
      <w:ind w:left="-85" w:right="-244" w:firstLine="435"/>
    </w:pPr>
  </w:style>
  <w:style w:type="paragraph" w:styleId="15">
    <w:name w:val="Plain Text"/>
    <w:basedOn w:val="1"/>
    <w:link w:val="42"/>
    <w:unhideWhenUsed/>
    <w:qFormat/>
    <w:uiPriority w:val="0"/>
    <w:pPr>
      <w:widowControl w:val="0"/>
      <w:jc w:val="both"/>
    </w:pPr>
    <w:rPr>
      <w:rFonts w:ascii="宋体" w:hAnsi="Courier New" w:eastAsia="宋体"/>
      <w:kern w:val="2"/>
      <w:sz w:val="21"/>
      <w:szCs w:val="20"/>
    </w:rPr>
  </w:style>
  <w:style w:type="paragraph" w:styleId="16">
    <w:name w:val="Balloon Text"/>
    <w:basedOn w:val="1"/>
    <w:link w:val="37"/>
    <w:qFormat/>
    <w:uiPriority w:val="0"/>
    <w:rPr>
      <w:sz w:val="18"/>
      <w:szCs w:val="18"/>
    </w:rPr>
  </w:style>
  <w:style w:type="paragraph" w:styleId="17">
    <w:name w:val="footer"/>
    <w:basedOn w:val="1"/>
    <w:link w:val="39"/>
    <w:qFormat/>
    <w:uiPriority w:val="0"/>
    <w:pPr>
      <w:tabs>
        <w:tab w:val="center" w:pos="4153"/>
        <w:tab w:val="right" w:pos="8306"/>
      </w:tabs>
      <w:snapToGrid w:val="0"/>
    </w:pPr>
    <w:rPr>
      <w:sz w:val="18"/>
      <w:szCs w:val="18"/>
    </w:rPr>
  </w:style>
  <w:style w:type="paragraph" w:styleId="18">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9">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qFormat/>
    <w:uiPriority w:val="0"/>
    <w:pPr>
      <w:tabs>
        <w:tab w:val="left" w:pos="426"/>
      </w:tabs>
      <w:spacing w:before="240" w:after="60" w:line="312" w:lineRule="auto"/>
      <w:jc w:val="center"/>
      <w:outlineLvl w:val="1"/>
    </w:pPr>
    <w:rPr>
      <w:rFonts w:ascii="Cambria" w:hAnsi="Cambria" w:cs="Times New Roman"/>
      <w:b/>
      <w:bCs/>
      <w:kern w:val="28"/>
      <w:sz w:val="28"/>
      <w:szCs w:val="32"/>
    </w:rPr>
  </w:style>
  <w:style w:type="paragraph" w:styleId="21">
    <w:name w:val="Body Text 2"/>
    <w:basedOn w:val="1"/>
    <w:qFormat/>
    <w:uiPriority w:val="0"/>
    <w:pPr>
      <w:spacing w:line="360" w:lineRule="auto"/>
    </w:pPr>
    <w:rPr>
      <w:sz w:val="24"/>
    </w:rPr>
  </w:style>
  <w:style w:type="paragraph" w:styleId="22">
    <w:name w:val="Normal (Web)"/>
    <w:basedOn w:val="1"/>
    <w:link w:val="34"/>
    <w:qFormat/>
    <w:uiPriority w:val="99"/>
  </w:style>
  <w:style w:type="paragraph" w:styleId="2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4">
    <w:name w:val="annotation subject"/>
    <w:basedOn w:val="10"/>
    <w:next w:val="10"/>
    <w:link w:val="41"/>
    <w:qFormat/>
    <w:uiPriority w:val="0"/>
    <w:rPr>
      <w:b/>
      <w:bCs/>
    </w:rPr>
  </w:style>
  <w:style w:type="paragraph" w:styleId="25">
    <w:name w:val="Body Text First Indent 2"/>
    <w:basedOn w:val="13"/>
    <w:semiHidden/>
    <w:unhideWhenUsed/>
    <w:qFormat/>
    <w:uiPriority w:val="99"/>
    <w:pPr>
      <w:spacing w:afterLines="25"/>
    </w:pPr>
  </w:style>
  <w:style w:type="table" w:styleId="27">
    <w:name w:val="Table Grid"/>
    <w:basedOn w:val="26"/>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semiHidden/>
    <w:unhideWhenUsed/>
    <w:qFormat/>
    <w:uiPriority w:val="0"/>
    <w:rPr>
      <w:rFonts w:hint="eastAsia" w:ascii="微软雅黑" w:hAnsi="微软雅黑" w:eastAsia="微软雅黑" w:cs="微软雅黑"/>
      <w:color w:val="02396F"/>
      <w:u w:val="single"/>
    </w:rPr>
  </w:style>
  <w:style w:type="character" w:styleId="30">
    <w:name w:val="Hyperlink"/>
    <w:basedOn w:val="28"/>
    <w:semiHidden/>
    <w:unhideWhenUsed/>
    <w:qFormat/>
    <w:uiPriority w:val="0"/>
    <w:rPr>
      <w:rFonts w:hint="eastAsia" w:ascii="微软雅黑" w:hAnsi="微软雅黑" w:eastAsia="微软雅黑" w:cs="微软雅黑"/>
      <w:color w:val="02396F"/>
      <w:u w:val="single"/>
    </w:rPr>
  </w:style>
  <w:style w:type="character" w:styleId="31">
    <w:name w:val="annotation reference"/>
    <w:basedOn w:val="28"/>
    <w:qFormat/>
    <w:uiPriority w:val="0"/>
    <w:rPr>
      <w:sz w:val="21"/>
      <w:szCs w:val="21"/>
    </w:rPr>
  </w:style>
  <w:style w:type="character" w:customStyle="1" w:styleId="32">
    <w:name w:val="标题 2 Char"/>
    <w:link w:val="4"/>
    <w:qFormat/>
    <w:uiPriority w:val="0"/>
    <w:rPr>
      <w:rFonts w:ascii="宋体" w:hAnsi="宋体" w:eastAsia="宋体"/>
      <w:b/>
      <w:bCs/>
      <w:sz w:val="24"/>
      <w:lang w:val="en-US" w:eastAsia="zh-CN" w:bidi="ar-SA"/>
    </w:rPr>
  </w:style>
  <w:style w:type="character" w:customStyle="1" w:styleId="33">
    <w:name w:val="标题 1 Char"/>
    <w:link w:val="3"/>
    <w:qFormat/>
    <w:uiPriority w:val="9"/>
    <w:rPr>
      <w:rFonts w:ascii="宋体" w:hAnsi="宋体" w:eastAsia="黑体"/>
      <w:b/>
      <w:bCs/>
      <w:kern w:val="44"/>
      <w:sz w:val="28"/>
      <w:szCs w:val="44"/>
      <w:lang w:val="en-US" w:eastAsia="zh-CN" w:bidi="ar-SA"/>
    </w:rPr>
  </w:style>
  <w:style w:type="character" w:customStyle="1" w:styleId="34">
    <w:name w:val="普通(网站) Char"/>
    <w:link w:val="22"/>
    <w:qFormat/>
    <w:uiPriority w:val="0"/>
    <w:rPr>
      <w:kern w:val="2"/>
      <w:sz w:val="24"/>
      <w:szCs w:val="24"/>
    </w:rPr>
  </w:style>
  <w:style w:type="character" w:customStyle="1" w:styleId="35">
    <w:name w:val="标题 4 Char"/>
    <w:link w:val="6"/>
    <w:qFormat/>
    <w:uiPriority w:val="9"/>
    <w:rPr>
      <w:rFonts w:ascii="Arial" w:hAnsi="Arial" w:eastAsia="黑体"/>
      <w:b/>
      <w:bCs/>
      <w:kern w:val="2"/>
      <w:sz w:val="28"/>
      <w:szCs w:val="28"/>
      <w:lang w:val="en-US" w:eastAsia="zh-CN" w:bidi="ar-SA"/>
    </w:rPr>
  </w:style>
  <w:style w:type="character" w:customStyle="1" w:styleId="36">
    <w:name w:val="标题 3 Char1"/>
    <w:qFormat/>
    <w:uiPriority w:val="9"/>
    <w:rPr>
      <w:rFonts w:ascii="宋体" w:hAnsi="宋体" w:eastAsia="宋体"/>
      <w:b/>
      <w:bCs/>
      <w:kern w:val="2"/>
      <w:sz w:val="28"/>
      <w:szCs w:val="32"/>
      <w:lang w:val="en-US" w:eastAsia="zh-CN" w:bidi="ar-SA"/>
    </w:rPr>
  </w:style>
  <w:style w:type="character" w:customStyle="1" w:styleId="37">
    <w:name w:val="批注框文本 Char"/>
    <w:basedOn w:val="28"/>
    <w:link w:val="16"/>
    <w:qFormat/>
    <w:uiPriority w:val="0"/>
    <w:rPr>
      <w:sz w:val="18"/>
      <w:szCs w:val="18"/>
    </w:rPr>
  </w:style>
  <w:style w:type="character" w:customStyle="1" w:styleId="38">
    <w:name w:val="页眉 Char"/>
    <w:basedOn w:val="28"/>
    <w:link w:val="19"/>
    <w:qFormat/>
    <w:uiPriority w:val="0"/>
    <w:rPr>
      <w:sz w:val="18"/>
      <w:szCs w:val="18"/>
    </w:rPr>
  </w:style>
  <w:style w:type="character" w:customStyle="1" w:styleId="39">
    <w:name w:val="页脚 Char"/>
    <w:basedOn w:val="28"/>
    <w:link w:val="17"/>
    <w:qFormat/>
    <w:uiPriority w:val="0"/>
    <w:rPr>
      <w:sz w:val="18"/>
      <w:szCs w:val="18"/>
    </w:rPr>
  </w:style>
  <w:style w:type="character" w:customStyle="1" w:styleId="40">
    <w:name w:val="批注文字 Char"/>
    <w:basedOn w:val="28"/>
    <w:link w:val="10"/>
    <w:qFormat/>
    <w:uiPriority w:val="0"/>
    <w:rPr>
      <w:sz w:val="24"/>
      <w:szCs w:val="24"/>
    </w:rPr>
  </w:style>
  <w:style w:type="character" w:customStyle="1" w:styleId="41">
    <w:name w:val="批注主题 Char"/>
    <w:basedOn w:val="40"/>
    <w:link w:val="24"/>
    <w:qFormat/>
    <w:uiPriority w:val="0"/>
    <w:rPr>
      <w:b/>
      <w:bCs/>
      <w:sz w:val="24"/>
      <w:szCs w:val="24"/>
    </w:rPr>
  </w:style>
  <w:style w:type="character" w:customStyle="1" w:styleId="42">
    <w:name w:val="纯文本 Char"/>
    <w:basedOn w:val="28"/>
    <w:link w:val="15"/>
    <w:semiHidden/>
    <w:qFormat/>
    <w:uiPriority w:val="99"/>
    <w:rPr>
      <w:rFonts w:ascii="宋体" w:hAnsi="Courier New" w:eastAsia="宋体"/>
      <w:kern w:val="2"/>
      <w:sz w:val="21"/>
    </w:rPr>
  </w:style>
  <w:style w:type="paragraph" w:styleId="43">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4">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5">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6">
    <w:name w:val="NormalCharacter"/>
    <w:semiHidden/>
    <w:qFormat/>
    <w:uiPriority w:val="0"/>
    <w:rPr>
      <w:kern w:val="2"/>
      <w:sz w:val="21"/>
      <w:szCs w:val="24"/>
      <w:lang w:val="en-US" w:eastAsia="zh-CN" w:bidi="ar-SA"/>
    </w:rPr>
  </w:style>
  <w:style w:type="character" w:customStyle="1" w:styleId="47">
    <w:name w:val="标题 3 Char"/>
    <w:link w:val="5"/>
    <w:qFormat/>
    <w:uiPriority w:val="0"/>
    <w:rPr>
      <w:rFonts w:ascii="宋体" w:hAnsi="宋体" w:eastAsia="宋体"/>
      <w:b/>
      <w:kern w:val="2"/>
      <w:sz w:val="28"/>
    </w:rPr>
  </w:style>
  <w:style w:type="paragraph" w:customStyle="1" w:styleId="48">
    <w:name w:val="Default"/>
    <w:next w:val="11"/>
    <w:qFormat/>
    <w:uiPriority w:val="0"/>
    <w:pPr>
      <w:widowControl w:val="0"/>
    </w:pPr>
    <w:rPr>
      <w:rFonts w:ascii="Arial Narrow" w:hAnsi="Arial Narrow" w:eastAsia="宋体" w:cs="Arial Narrow"/>
      <w:color w:val="000000"/>
      <w:kern w:val="2"/>
      <w:sz w:val="24"/>
      <w:lang w:val="en-US" w:eastAsia="zh-CN" w:bidi="ar-SA"/>
    </w:rPr>
  </w:style>
  <w:style w:type="paragraph" w:customStyle="1" w:styleId="49">
    <w:name w:val="题注4"/>
    <w:basedOn w:val="1"/>
    <w:next w:val="9"/>
    <w:qFormat/>
    <w:uiPriority w:val="0"/>
    <w:pPr>
      <w:ind w:left="-132" w:leftChars="-64" w:right="-105" w:rightChars="-50" w:hanging="2"/>
      <w:jc w:val="center"/>
    </w:pPr>
    <w:rPr>
      <w:b/>
      <w:color w:val="FF0000"/>
      <w:szCs w:val="21"/>
      <w:lang w:val="en-GB"/>
    </w:rPr>
  </w:style>
  <w:style w:type="paragraph" w:customStyle="1" w:styleId="50">
    <w:name w:val="*正文"/>
    <w:basedOn w:val="1"/>
    <w:qFormat/>
    <w:uiPriority w:val="0"/>
    <w:pPr>
      <w:spacing w:line="360" w:lineRule="auto"/>
      <w:ind w:firstLine="200" w:firstLineChars="200"/>
    </w:pPr>
    <w:rPr>
      <w:rFonts w:ascii="仿宋_GB2312" w:hAnsi="Calibri"/>
      <w:szCs w:val="28"/>
      <w:lang w:val="zh-CN"/>
    </w:rPr>
  </w:style>
  <w:style w:type="paragraph" w:customStyle="1" w:styleId="51">
    <w:name w:val="二号标题"/>
    <w:basedOn w:val="1"/>
    <w:qFormat/>
    <w:uiPriority w:val="0"/>
    <w:pPr>
      <w:tabs>
        <w:tab w:val="left" w:pos="663"/>
      </w:tabs>
      <w:spacing w:before="200"/>
      <w:outlineLvl w:val="1"/>
    </w:pPr>
    <w:rPr>
      <w:rFonts w:eastAsia="黑体"/>
      <w:b/>
      <w:bCs/>
      <w:sz w:val="28"/>
      <w:szCs w:val="28"/>
    </w:rPr>
  </w:style>
  <w:style w:type="paragraph" w:customStyle="1" w:styleId="52">
    <w:name w:val="王越的表格"/>
    <w:basedOn w:val="1"/>
    <w:qFormat/>
    <w:uiPriority w:val="0"/>
    <w:pPr>
      <w:widowControl w:val="0"/>
    </w:pPr>
    <w:rPr>
      <w:kern w:val="2"/>
    </w:rPr>
  </w:style>
  <w:style w:type="character" w:customStyle="1" w:styleId="53">
    <w:name w:val="qxdate"/>
    <w:basedOn w:val="28"/>
    <w:qFormat/>
    <w:uiPriority w:val="0"/>
    <w:rPr>
      <w:color w:val="333333"/>
      <w:sz w:val="18"/>
      <w:szCs w:val="18"/>
    </w:rPr>
  </w:style>
  <w:style w:type="character" w:customStyle="1" w:styleId="54">
    <w:name w:val="cfdate"/>
    <w:basedOn w:val="28"/>
    <w:qFormat/>
    <w:uiPriority w:val="0"/>
    <w:rPr>
      <w:color w:val="333333"/>
      <w:sz w:val="18"/>
      <w:szCs w:val="18"/>
    </w:rPr>
  </w:style>
  <w:style w:type="character" w:customStyle="1" w:styleId="55">
    <w:name w:val="redfilefwwh"/>
    <w:basedOn w:val="28"/>
    <w:qFormat/>
    <w:uiPriority w:val="0"/>
    <w:rPr>
      <w:color w:val="BA2636"/>
      <w:sz w:val="18"/>
      <w:szCs w:val="18"/>
    </w:rPr>
  </w:style>
  <w:style w:type="character" w:customStyle="1" w:styleId="56">
    <w:name w:val="redfilenumber"/>
    <w:basedOn w:val="28"/>
    <w:qFormat/>
    <w:uiPriority w:val="0"/>
    <w:rPr>
      <w:color w:val="BA2636"/>
      <w:sz w:val="18"/>
      <w:szCs w:val="18"/>
    </w:rPr>
  </w:style>
  <w:style w:type="character" w:customStyle="1" w:styleId="57">
    <w:name w:val="gjfg"/>
    <w:basedOn w:val="28"/>
    <w:qFormat/>
    <w:uiPriority w:val="0"/>
  </w:style>
  <w:style w:type="character" w:customStyle="1" w:styleId="58">
    <w:name w:val="prev"/>
    <w:basedOn w:val="28"/>
    <w:qFormat/>
    <w:uiPriority w:val="0"/>
    <w:rPr>
      <w:rFonts w:ascii="微软雅黑" w:hAnsi="微软雅黑" w:eastAsia="微软雅黑" w:cs="微软雅黑"/>
      <w:sz w:val="21"/>
      <w:szCs w:val="21"/>
    </w:rPr>
  </w:style>
  <w:style w:type="character" w:customStyle="1" w:styleId="59">
    <w:name w:val="next"/>
    <w:basedOn w:val="28"/>
    <w:qFormat/>
    <w:uiPriority w:val="0"/>
    <w:rPr>
      <w:rFonts w:hint="eastAsia" w:ascii="微软雅黑" w:hAnsi="微软雅黑" w:eastAsia="微软雅黑" w:cs="微软雅黑"/>
      <w:sz w:val="21"/>
      <w:szCs w:val="21"/>
    </w:rPr>
  </w:style>
  <w:style w:type="character" w:customStyle="1" w:styleId="60">
    <w:name w:val="next1"/>
    <w:basedOn w:val="28"/>
    <w:qFormat/>
    <w:uiPriority w:val="0"/>
    <w:rPr>
      <w:color w:val="888888"/>
    </w:rPr>
  </w:style>
  <w:style w:type="character" w:customStyle="1" w:styleId="61">
    <w:name w:val="displayarti"/>
    <w:basedOn w:val="28"/>
    <w:qFormat/>
    <w:uiPriority w:val="0"/>
    <w:rPr>
      <w:color w:val="FFFFFF"/>
      <w:shd w:val="clear" w:color="auto" w:fill="A00000"/>
    </w:rPr>
  </w:style>
  <w:style w:type="character" w:customStyle="1" w:styleId="62">
    <w:name w:val="纯文本 字符"/>
    <w:qFormat/>
    <w:uiPriority w:val="0"/>
    <w:rPr>
      <w:rFonts w:ascii="宋体" w:hAnsi="Courier New" w:eastAsia="宋体"/>
      <w:kern w:val="2"/>
      <w:sz w:val="21"/>
      <w:lang w:val="en-US" w:eastAsia="zh-CN" w:bidi="ar-SA"/>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正文"/>
    <w:basedOn w:val="1"/>
    <w:qFormat/>
    <w:uiPriority w:val="0"/>
    <w:pPr>
      <w:tabs>
        <w:tab w:val="left" w:pos="426"/>
      </w:tabs>
      <w:ind w:firstLine="200" w:firstLineChars="200"/>
    </w:pPr>
    <w:rPr>
      <w:rFonts w:ascii="Calibri" w:hAnsi="Calibri" w:cs="Times New Roman"/>
      <w:kern w:val="2"/>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907</Words>
  <Characters>938</Characters>
  <Lines>127</Lines>
  <Paragraphs>35</Paragraphs>
  <TotalTime>1</TotalTime>
  <ScaleCrop>false</ScaleCrop>
  <LinksUpToDate>false</LinksUpToDate>
  <CharactersWithSpaces>988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2023-03-30T00:50:00Z</dcterms:created>
  <dc:creator>Administrator</dc:creator>
  <cp:lastModifiedBy>LENOVO</cp:lastModifiedBy>
  <cp:lastPrinted>2024-07-04T03:35:00Z</cp:lastPrinted>
  <dcterms:modified xsi:type="dcterms:W3CDTF">2025-06-27T07:18:06Z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0343B30AFEF84B35BA53F7CC934718EB</vt:lpwstr>
  </property>
  <property fmtid="{D5CDD505-2E9C-101B-9397-08002B2CF9AE}" pid="4" name="KSOTemplateDocerSaveRecord">
    <vt:lpwstr>eyJoZGlkIjoiZWNlMGI2NzFjZDAyMzZkOTE4OTkyMDZmODFlZjcwMWQiLCJ1c2VySWQiOiIyNTA5OTM3OTcifQ==</vt:lpwstr>
  </property>
</Properties>
</file>