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460" w:type="dxa"/>
        <w:tblInd w:w="108" w:type="dxa"/>
        <w:tblLayout w:type="fixed"/>
        <w:tblCellMar>
          <w:top w:w="0" w:type="dxa"/>
          <w:left w:w="108" w:type="dxa"/>
          <w:bottom w:w="0" w:type="dxa"/>
          <w:right w:w="108" w:type="dxa"/>
        </w:tblCellMar>
      </w:tblPr>
      <w:tblGrid>
        <w:gridCol w:w="760"/>
        <w:gridCol w:w="5300"/>
        <w:gridCol w:w="1580"/>
        <w:gridCol w:w="1820"/>
      </w:tblGrid>
      <w:tr w14:paraId="41D5E6F6">
        <w:tblPrEx>
          <w:tblCellMar>
            <w:top w:w="0" w:type="dxa"/>
            <w:left w:w="108" w:type="dxa"/>
            <w:bottom w:w="0" w:type="dxa"/>
            <w:right w:w="108" w:type="dxa"/>
          </w:tblCellMar>
        </w:tblPrEx>
        <w:trPr>
          <w:trHeight w:val="645" w:hRule="atLeast"/>
        </w:trPr>
        <w:tc>
          <w:tcPr>
            <w:tcW w:w="9460" w:type="dxa"/>
            <w:gridSpan w:val="4"/>
            <w:tcBorders>
              <w:top w:val="nil"/>
              <w:left w:val="nil"/>
              <w:bottom w:val="nil"/>
              <w:right w:val="nil"/>
            </w:tcBorders>
            <w:shd w:val="clear" w:color="auto" w:fill="auto"/>
            <w:vAlign w:val="center"/>
          </w:tcPr>
          <w:p w14:paraId="54533FAD">
            <w:pPr>
              <w:widowControl/>
              <w:snapToGrid w:val="0"/>
              <w:spacing w:before="100" w:beforeAutospacing="1" w:after="100" w:afterAutospacing="1"/>
              <w:jc w:val="center"/>
              <w:rPr>
                <w:rFonts w:ascii="宋体" w:hAnsi="宋体" w:cs="宋体"/>
                <w:b/>
                <w:bCs/>
                <w:kern w:val="0"/>
                <w:sz w:val="28"/>
                <w:szCs w:val="28"/>
              </w:rPr>
            </w:pPr>
            <w:r>
              <w:rPr>
                <w:rFonts w:hint="eastAsia" w:ascii="仿宋_GB2312" w:eastAsia="仿宋_GB2312"/>
                <w:b/>
                <w:bCs/>
                <w:sz w:val="40"/>
              </w:rPr>
              <w:t>售后服务响应表</w:t>
            </w:r>
          </w:p>
        </w:tc>
      </w:tr>
      <w:tr w14:paraId="116ED0D8">
        <w:tblPrEx>
          <w:tblCellMar>
            <w:top w:w="0" w:type="dxa"/>
            <w:left w:w="108" w:type="dxa"/>
            <w:bottom w:w="0" w:type="dxa"/>
            <w:right w:w="108" w:type="dxa"/>
          </w:tblCellMar>
        </w:tblPrEx>
        <w:trPr>
          <w:trHeight w:val="675" w:hRule="atLeast"/>
        </w:trPr>
        <w:tc>
          <w:tcPr>
            <w:tcW w:w="9460" w:type="dxa"/>
            <w:gridSpan w:val="4"/>
            <w:tcBorders>
              <w:top w:val="nil"/>
              <w:left w:val="nil"/>
              <w:bottom w:val="single" w:color="auto" w:sz="8" w:space="0"/>
              <w:right w:val="nil"/>
            </w:tcBorders>
            <w:shd w:val="clear" w:color="auto" w:fill="auto"/>
            <w:vAlign w:val="center"/>
          </w:tcPr>
          <w:p w14:paraId="21F12C5C">
            <w:pPr>
              <w:widowControl/>
              <w:jc w:val="left"/>
              <w:rPr>
                <w:rFonts w:ascii="宋体" w:hAnsi="宋体" w:cs="宋体"/>
                <w:kern w:val="0"/>
                <w:sz w:val="24"/>
              </w:rPr>
            </w:pPr>
            <w:r>
              <w:rPr>
                <w:rFonts w:hint="eastAsia" w:ascii="宋体" w:hAnsi="宋体" w:cs="宋体"/>
                <w:kern w:val="0"/>
                <w:sz w:val="24"/>
              </w:rPr>
              <w:t>注意：响应情况分为</w:t>
            </w:r>
            <w:r>
              <w:rPr>
                <w:rFonts w:hint="eastAsia" w:ascii="宋体" w:hAnsi="宋体" w:cs="宋体"/>
                <w:kern w:val="0"/>
                <w:sz w:val="24"/>
                <w:lang w:val="en-US" w:eastAsia="zh-CN"/>
              </w:rPr>
              <w:t>四</w:t>
            </w:r>
            <w:r>
              <w:rPr>
                <w:rFonts w:hint="eastAsia" w:ascii="宋体" w:hAnsi="宋体" w:cs="宋体"/>
                <w:kern w:val="0"/>
                <w:sz w:val="24"/>
              </w:rPr>
              <w:t>种，</w:t>
            </w:r>
            <w:r>
              <w:rPr>
                <w:rFonts w:hint="eastAsia" w:ascii="宋体" w:hAnsi="宋体" w:cs="宋体"/>
                <w:kern w:val="0"/>
                <w:sz w:val="24"/>
                <w:lang w:eastAsia="zh-CN"/>
              </w:rPr>
              <w:t>“</w:t>
            </w:r>
            <w:r>
              <w:rPr>
                <w:rFonts w:hint="eastAsia" w:ascii="宋体" w:hAnsi="宋体" w:cs="宋体"/>
                <w:kern w:val="0"/>
                <w:sz w:val="24"/>
                <w:lang w:val="en-US" w:eastAsia="zh-CN"/>
              </w:rPr>
              <w:t>不适用</w:t>
            </w:r>
            <w:r>
              <w:rPr>
                <w:rFonts w:hint="eastAsia" w:ascii="宋体" w:hAnsi="宋体" w:cs="宋体"/>
                <w:kern w:val="0"/>
                <w:sz w:val="24"/>
                <w:lang w:eastAsia="zh-CN"/>
              </w:rPr>
              <w:t>”、</w:t>
            </w:r>
            <w:r>
              <w:rPr>
                <w:rFonts w:hint="eastAsia" w:ascii="宋体" w:hAnsi="宋体" w:cs="宋体"/>
                <w:kern w:val="0"/>
                <w:sz w:val="24"/>
              </w:rPr>
              <w:t>“不响应”、“响应”和“优于”，请投标企业根据实际情况填写。若填写的是</w:t>
            </w:r>
            <w:r>
              <w:rPr>
                <w:rFonts w:hint="eastAsia" w:ascii="宋体" w:hAnsi="宋体" w:cs="宋体"/>
                <w:kern w:val="0"/>
                <w:sz w:val="24"/>
                <w:lang w:eastAsia="zh-CN"/>
              </w:rPr>
              <w:t>“</w:t>
            </w:r>
            <w:r>
              <w:rPr>
                <w:rFonts w:hint="eastAsia" w:ascii="宋体" w:hAnsi="宋体" w:cs="宋体"/>
                <w:kern w:val="0"/>
                <w:sz w:val="24"/>
                <w:lang w:val="en-US" w:eastAsia="zh-CN"/>
              </w:rPr>
              <w:t>不适用</w:t>
            </w:r>
            <w:r>
              <w:rPr>
                <w:rFonts w:hint="eastAsia" w:ascii="宋体" w:hAnsi="宋体" w:cs="宋体"/>
                <w:kern w:val="0"/>
                <w:sz w:val="24"/>
                <w:lang w:eastAsia="zh-CN"/>
              </w:rPr>
              <w:t>”、</w:t>
            </w:r>
            <w:r>
              <w:rPr>
                <w:rFonts w:hint="eastAsia" w:ascii="宋体" w:hAnsi="宋体" w:cs="宋体"/>
                <w:kern w:val="0"/>
                <w:sz w:val="24"/>
              </w:rPr>
              <w:t>“不响应”和“优于”，必须详细填写“说明”。</w:t>
            </w:r>
          </w:p>
        </w:tc>
      </w:tr>
      <w:tr w14:paraId="7604A198">
        <w:tblPrEx>
          <w:tblCellMar>
            <w:top w:w="0" w:type="dxa"/>
            <w:left w:w="108" w:type="dxa"/>
            <w:bottom w:w="0" w:type="dxa"/>
            <w:right w:w="108" w:type="dxa"/>
          </w:tblCellMar>
        </w:tblPrEx>
        <w:trPr>
          <w:trHeight w:val="516"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C4C880B">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5300" w:type="dxa"/>
            <w:tcBorders>
              <w:top w:val="nil"/>
              <w:left w:val="nil"/>
              <w:bottom w:val="single" w:color="auto" w:sz="8" w:space="0"/>
              <w:right w:val="single" w:color="auto" w:sz="8" w:space="0"/>
            </w:tcBorders>
            <w:shd w:val="clear" w:color="auto" w:fill="auto"/>
            <w:vAlign w:val="center"/>
          </w:tcPr>
          <w:p w14:paraId="5073CFCE">
            <w:pPr>
              <w:widowControl/>
              <w:jc w:val="center"/>
              <w:rPr>
                <w:rFonts w:ascii="宋体" w:hAnsi="宋体" w:cs="宋体"/>
                <w:b/>
                <w:bCs/>
                <w:kern w:val="0"/>
                <w:sz w:val="20"/>
                <w:szCs w:val="20"/>
              </w:rPr>
            </w:pPr>
            <w:r>
              <w:rPr>
                <w:rFonts w:hint="eastAsia" w:ascii="宋体" w:hAnsi="宋体" w:cs="宋体"/>
                <w:b/>
                <w:bCs/>
                <w:kern w:val="0"/>
                <w:sz w:val="20"/>
                <w:szCs w:val="20"/>
              </w:rPr>
              <w:t>服务条款</w:t>
            </w:r>
          </w:p>
        </w:tc>
        <w:tc>
          <w:tcPr>
            <w:tcW w:w="1580" w:type="dxa"/>
            <w:tcBorders>
              <w:top w:val="nil"/>
              <w:left w:val="nil"/>
              <w:bottom w:val="single" w:color="auto" w:sz="8" w:space="0"/>
              <w:right w:val="single" w:color="auto" w:sz="8" w:space="0"/>
            </w:tcBorders>
            <w:shd w:val="clear" w:color="auto" w:fill="auto"/>
            <w:vAlign w:val="center"/>
          </w:tcPr>
          <w:p w14:paraId="2265675F">
            <w:pPr>
              <w:widowControl/>
              <w:jc w:val="center"/>
              <w:rPr>
                <w:rFonts w:ascii="宋体" w:hAnsi="宋体" w:cs="宋体"/>
                <w:b/>
                <w:bCs/>
                <w:kern w:val="0"/>
                <w:sz w:val="20"/>
                <w:szCs w:val="20"/>
              </w:rPr>
            </w:pPr>
            <w:r>
              <w:rPr>
                <w:rFonts w:hint="eastAsia" w:ascii="宋体" w:hAnsi="宋体" w:cs="宋体"/>
                <w:b/>
                <w:bCs/>
                <w:kern w:val="0"/>
                <w:sz w:val="20"/>
                <w:szCs w:val="20"/>
              </w:rPr>
              <w:t>响应情况（不响应/响应/优于）</w:t>
            </w:r>
          </w:p>
        </w:tc>
        <w:tc>
          <w:tcPr>
            <w:tcW w:w="1820" w:type="dxa"/>
            <w:tcBorders>
              <w:top w:val="nil"/>
              <w:left w:val="nil"/>
              <w:bottom w:val="single" w:color="auto" w:sz="8" w:space="0"/>
              <w:right w:val="single" w:color="auto" w:sz="8" w:space="0"/>
            </w:tcBorders>
            <w:shd w:val="clear" w:color="auto" w:fill="auto"/>
            <w:vAlign w:val="center"/>
          </w:tcPr>
          <w:p w14:paraId="3CBD4D00">
            <w:pPr>
              <w:widowControl/>
              <w:jc w:val="center"/>
              <w:rPr>
                <w:rFonts w:ascii="宋体" w:hAnsi="宋体" w:cs="宋体"/>
                <w:b/>
                <w:bCs/>
                <w:kern w:val="0"/>
                <w:sz w:val="20"/>
                <w:szCs w:val="20"/>
              </w:rPr>
            </w:pPr>
            <w:r>
              <w:rPr>
                <w:rFonts w:hint="eastAsia" w:ascii="宋体" w:hAnsi="宋体" w:cs="宋体"/>
                <w:b/>
                <w:bCs/>
                <w:kern w:val="0"/>
                <w:sz w:val="20"/>
                <w:szCs w:val="20"/>
              </w:rPr>
              <w:t>说明</w:t>
            </w:r>
          </w:p>
        </w:tc>
      </w:tr>
      <w:tr w14:paraId="3BEBB1D6">
        <w:tblPrEx>
          <w:tblCellMar>
            <w:top w:w="0" w:type="dxa"/>
            <w:left w:w="108" w:type="dxa"/>
            <w:bottom w:w="0" w:type="dxa"/>
            <w:right w:w="108" w:type="dxa"/>
          </w:tblCellMar>
        </w:tblPrEx>
        <w:trPr>
          <w:trHeight w:val="412"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50F485E0">
            <w:pPr>
              <w:widowControl/>
              <w:jc w:val="center"/>
              <w:rPr>
                <w:rFonts w:ascii="宋体" w:hAnsi="宋体" w:cs="宋体"/>
                <w:b/>
                <w:bCs/>
                <w:kern w:val="0"/>
                <w:sz w:val="20"/>
                <w:szCs w:val="20"/>
              </w:rPr>
            </w:pPr>
            <w:r>
              <w:rPr>
                <w:rFonts w:hint="eastAsia" w:ascii="宋体" w:hAnsi="宋体" w:cs="宋体"/>
                <w:b/>
                <w:bCs/>
                <w:kern w:val="0"/>
                <w:sz w:val="20"/>
                <w:szCs w:val="20"/>
              </w:rPr>
              <w:t>1</w:t>
            </w:r>
          </w:p>
        </w:tc>
        <w:tc>
          <w:tcPr>
            <w:tcW w:w="8700" w:type="dxa"/>
            <w:gridSpan w:val="3"/>
            <w:tcBorders>
              <w:top w:val="nil"/>
              <w:left w:val="nil"/>
              <w:bottom w:val="single" w:color="auto" w:sz="8" w:space="0"/>
              <w:right w:val="single" w:color="auto" w:sz="8" w:space="0"/>
            </w:tcBorders>
            <w:shd w:val="clear" w:color="auto" w:fill="auto"/>
            <w:vAlign w:val="center"/>
          </w:tcPr>
          <w:p w14:paraId="70DF4D88">
            <w:pPr>
              <w:widowControl/>
              <w:jc w:val="left"/>
              <w:rPr>
                <w:rFonts w:ascii="宋体" w:hAnsi="宋体" w:cs="宋体"/>
                <w:b/>
                <w:bCs/>
                <w:kern w:val="0"/>
                <w:sz w:val="20"/>
                <w:szCs w:val="20"/>
              </w:rPr>
            </w:pPr>
            <w:r>
              <w:rPr>
                <w:rFonts w:hint="eastAsia" w:ascii="宋体" w:hAnsi="宋体" w:cs="宋体"/>
                <w:b/>
                <w:bCs/>
                <w:kern w:val="0"/>
                <w:sz w:val="20"/>
                <w:szCs w:val="20"/>
              </w:rPr>
              <w:t>送货及库存：</w:t>
            </w:r>
          </w:p>
        </w:tc>
      </w:tr>
      <w:tr w14:paraId="6EAD3B17">
        <w:tblPrEx>
          <w:tblCellMar>
            <w:top w:w="0" w:type="dxa"/>
            <w:left w:w="108" w:type="dxa"/>
            <w:bottom w:w="0" w:type="dxa"/>
            <w:right w:w="108" w:type="dxa"/>
          </w:tblCellMar>
        </w:tblPrEx>
        <w:trPr>
          <w:trHeight w:val="55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29063B9">
            <w:pPr>
              <w:widowControl/>
              <w:jc w:val="center"/>
              <w:rPr>
                <w:rFonts w:ascii="宋体" w:hAnsi="宋体" w:cs="宋体"/>
                <w:kern w:val="0"/>
                <w:sz w:val="20"/>
                <w:szCs w:val="20"/>
              </w:rPr>
            </w:pPr>
            <w:r>
              <w:rPr>
                <w:rFonts w:hint="eastAsia" w:ascii="宋体" w:hAnsi="宋体" w:cs="宋体"/>
                <w:kern w:val="0"/>
                <w:sz w:val="20"/>
                <w:szCs w:val="20"/>
              </w:rPr>
              <w:t>1.1</w:t>
            </w:r>
          </w:p>
        </w:tc>
        <w:tc>
          <w:tcPr>
            <w:tcW w:w="5300" w:type="dxa"/>
            <w:tcBorders>
              <w:top w:val="nil"/>
              <w:left w:val="nil"/>
              <w:bottom w:val="single" w:color="auto" w:sz="8" w:space="0"/>
              <w:right w:val="single" w:color="auto" w:sz="8" w:space="0"/>
            </w:tcBorders>
            <w:shd w:val="clear" w:color="auto" w:fill="auto"/>
            <w:vAlign w:val="center"/>
          </w:tcPr>
          <w:p w14:paraId="43FE336B">
            <w:pPr>
              <w:widowControl/>
              <w:jc w:val="left"/>
              <w:rPr>
                <w:rFonts w:ascii="宋体" w:hAnsi="宋体" w:cs="宋体"/>
                <w:kern w:val="0"/>
                <w:sz w:val="20"/>
                <w:szCs w:val="20"/>
              </w:rPr>
            </w:pPr>
            <w:r>
              <w:rPr>
                <w:rFonts w:hint="eastAsia" w:ascii="宋体" w:hAnsi="宋体" w:cs="宋体"/>
                <w:kern w:val="0"/>
                <w:sz w:val="20"/>
                <w:szCs w:val="20"/>
              </w:rPr>
              <w:t>在本地（深圳市）设有产品库，在合同有效期内，保证货源充足，无偿提供配套器械。</w:t>
            </w:r>
          </w:p>
        </w:tc>
        <w:tc>
          <w:tcPr>
            <w:tcW w:w="1580" w:type="dxa"/>
            <w:tcBorders>
              <w:top w:val="nil"/>
              <w:left w:val="nil"/>
              <w:bottom w:val="single" w:color="auto" w:sz="8" w:space="0"/>
              <w:right w:val="single" w:color="auto" w:sz="8" w:space="0"/>
            </w:tcBorders>
            <w:shd w:val="clear" w:color="auto" w:fill="auto"/>
            <w:vAlign w:val="center"/>
          </w:tcPr>
          <w:p w14:paraId="53EE2C4F">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2D33F2E0">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7F41C3E6">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BCDD2CD">
            <w:pPr>
              <w:widowControl/>
              <w:jc w:val="center"/>
              <w:rPr>
                <w:rFonts w:ascii="宋体" w:hAnsi="宋体" w:cs="宋体"/>
                <w:kern w:val="0"/>
                <w:sz w:val="20"/>
                <w:szCs w:val="20"/>
              </w:rPr>
            </w:pPr>
            <w:r>
              <w:rPr>
                <w:rFonts w:hint="eastAsia" w:ascii="宋体" w:hAnsi="宋体" w:cs="宋体"/>
                <w:kern w:val="0"/>
                <w:sz w:val="20"/>
                <w:szCs w:val="20"/>
              </w:rPr>
              <w:t>1.2</w:t>
            </w:r>
          </w:p>
        </w:tc>
        <w:tc>
          <w:tcPr>
            <w:tcW w:w="5300" w:type="dxa"/>
            <w:tcBorders>
              <w:top w:val="nil"/>
              <w:left w:val="nil"/>
              <w:bottom w:val="single" w:color="auto" w:sz="8" w:space="0"/>
              <w:right w:val="single" w:color="auto" w:sz="8" w:space="0"/>
            </w:tcBorders>
            <w:shd w:val="clear" w:color="auto" w:fill="auto"/>
            <w:vAlign w:val="center"/>
          </w:tcPr>
          <w:p w14:paraId="54E9CB8A">
            <w:pPr>
              <w:widowControl/>
              <w:jc w:val="left"/>
              <w:rPr>
                <w:rFonts w:ascii="宋体" w:hAnsi="宋体" w:cs="宋体"/>
                <w:kern w:val="0"/>
                <w:sz w:val="20"/>
                <w:szCs w:val="20"/>
              </w:rPr>
            </w:pPr>
            <w:r>
              <w:rPr>
                <w:rFonts w:hint="eastAsia" w:ascii="宋体" w:hAnsi="宋体" w:cs="宋体"/>
                <w:kern w:val="0"/>
                <w:sz w:val="20"/>
                <w:szCs w:val="20"/>
              </w:rPr>
              <w:t>保证按照医院指定地点和时间准时送货上门（不分节假日），公司承担全部运费且到达前的损失由公司承担。</w:t>
            </w:r>
          </w:p>
        </w:tc>
        <w:tc>
          <w:tcPr>
            <w:tcW w:w="1580" w:type="dxa"/>
            <w:tcBorders>
              <w:top w:val="nil"/>
              <w:left w:val="nil"/>
              <w:bottom w:val="single" w:color="auto" w:sz="8" w:space="0"/>
              <w:right w:val="single" w:color="auto" w:sz="8" w:space="0"/>
            </w:tcBorders>
            <w:shd w:val="clear" w:color="auto" w:fill="auto"/>
            <w:vAlign w:val="center"/>
          </w:tcPr>
          <w:p w14:paraId="0DD297F5">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69D1E800">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56F2BB8D">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108C33E">
            <w:pPr>
              <w:widowControl/>
              <w:jc w:val="center"/>
              <w:rPr>
                <w:rFonts w:ascii="宋体" w:hAnsi="宋体" w:cs="宋体"/>
                <w:kern w:val="0"/>
                <w:sz w:val="20"/>
                <w:szCs w:val="20"/>
              </w:rPr>
            </w:pPr>
            <w:r>
              <w:rPr>
                <w:rFonts w:hint="eastAsia" w:ascii="宋体" w:hAnsi="宋体" w:cs="宋体"/>
                <w:kern w:val="0"/>
                <w:sz w:val="20"/>
                <w:szCs w:val="20"/>
              </w:rPr>
              <w:t>1.3</w:t>
            </w:r>
          </w:p>
        </w:tc>
        <w:tc>
          <w:tcPr>
            <w:tcW w:w="5300" w:type="dxa"/>
            <w:tcBorders>
              <w:top w:val="nil"/>
              <w:left w:val="nil"/>
              <w:bottom w:val="single" w:color="auto" w:sz="8" w:space="0"/>
              <w:right w:val="single" w:color="auto" w:sz="8" w:space="0"/>
            </w:tcBorders>
            <w:shd w:val="clear" w:color="auto" w:fill="auto"/>
            <w:vAlign w:val="center"/>
          </w:tcPr>
          <w:p w14:paraId="4392D7A7">
            <w:pPr>
              <w:widowControl/>
              <w:jc w:val="left"/>
              <w:rPr>
                <w:rFonts w:ascii="宋体" w:hAnsi="宋体" w:cs="宋体"/>
                <w:kern w:val="0"/>
                <w:sz w:val="20"/>
                <w:szCs w:val="20"/>
              </w:rPr>
            </w:pPr>
            <w:r>
              <w:rPr>
                <w:rFonts w:hint="eastAsia" w:ascii="宋体" w:hAnsi="宋体" w:cs="宋体"/>
                <w:kern w:val="0"/>
                <w:sz w:val="20"/>
                <w:szCs w:val="20"/>
              </w:rPr>
              <w:t>紧急配送（如急诊手术等）保证1小时内送达，同时保证配套仪器随产品一起送达。</w:t>
            </w:r>
          </w:p>
        </w:tc>
        <w:tc>
          <w:tcPr>
            <w:tcW w:w="1580" w:type="dxa"/>
            <w:tcBorders>
              <w:top w:val="nil"/>
              <w:left w:val="nil"/>
              <w:bottom w:val="single" w:color="auto" w:sz="8" w:space="0"/>
              <w:right w:val="single" w:color="auto" w:sz="8" w:space="0"/>
            </w:tcBorders>
            <w:shd w:val="clear" w:color="auto" w:fill="auto"/>
            <w:vAlign w:val="center"/>
          </w:tcPr>
          <w:p w14:paraId="4BDCA67D">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0F75FBD2">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1E74682">
        <w:tblPrEx>
          <w:tblCellMar>
            <w:top w:w="0" w:type="dxa"/>
            <w:left w:w="108" w:type="dxa"/>
            <w:bottom w:w="0" w:type="dxa"/>
            <w:right w:w="108" w:type="dxa"/>
          </w:tblCellMar>
        </w:tblPrEx>
        <w:trPr>
          <w:trHeight w:val="82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3AC3C85">
            <w:pPr>
              <w:widowControl/>
              <w:jc w:val="center"/>
              <w:rPr>
                <w:rFonts w:ascii="宋体" w:hAnsi="宋体" w:cs="宋体"/>
                <w:kern w:val="0"/>
                <w:sz w:val="20"/>
                <w:szCs w:val="20"/>
              </w:rPr>
            </w:pPr>
            <w:r>
              <w:rPr>
                <w:rFonts w:hint="eastAsia" w:ascii="宋体" w:hAnsi="宋体" w:cs="宋体"/>
                <w:kern w:val="0"/>
                <w:sz w:val="20"/>
                <w:szCs w:val="20"/>
              </w:rPr>
              <w:t>1.4</w:t>
            </w:r>
          </w:p>
        </w:tc>
        <w:tc>
          <w:tcPr>
            <w:tcW w:w="5300" w:type="dxa"/>
            <w:tcBorders>
              <w:top w:val="nil"/>
              <w:left w:val="nil"/>
              <w:bottom w:val="single" w:color="auto" w:sz="8" w:space="0"/>
              <w:right w:val="single" w:color="auto" w:sz="8" w:space="0"/>
            </w:tcBorders>
            <w:shd w:val="clear" w:color="auto" w:fill="auto"/>
            <w:vAlign w:val="center"/>
          </w:tcPr>
          <w:p w14:paraId="6E137ECE">
            <w:pPr>
              <w:widowControl/>
              <w:jc w:val="left"/>
              <w:rPr>
                <w:rFonts w:ascii="宋体" w:hAnsi="宋体" w:cs="宋体"/>
                <w:kern w:val="0"/>
                <w:sz w:val="20"/>
                <w:szCs w:val="20"/>
              </w:rPr>
            </w:pPr>
            <w:r>
              <w:rPr>
                <w:rFonts w:hint="eastAsia" w:ascii="宋体" w:hAnsi="宋体" w:cs="宋体"/>
                <w:kern w:val="0"/>
                <w:sz w:val="20"/>
                <w:szCs w:val="20"/>
              </w:rPr>
              <w:t>按照医院要求，高值类手术耗材的产品须在医院建立库存。手术数量明显增加的情况下，必须在医院放置备用的手术所需的耗材。</w:t>
            </w:r>
          </w:p>
        </w:tc>
        <w:tc>
          <w:tcPr>
            <w:tcW w:w="1580" w:type="dxa"/>
            <w:tcBorders>
              <w:top w:val="nil"/>
              <w:left w:val="nil"/>
              <w:bottom w:val="single" w:color="auto" w:sz="8" w:space="0"/>
              <w:right w:val="single" w:color="auto" w:sz="8" w:space="0"/>
            </w:tcBorders>
            <w:shd w:val="clear" w:color="auto" w:fill="auto"/>
            <w:vAlign w:val="center"/>
          </w:tcPr>
          <w:p w14:paraId="5F8CBF94">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3E56C006">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6AC56339">
        <w:tblPrEx>
          <w:tblCellMar>
            <w:top w:w="0" w:type="dxa"/>
            <w:left w:w="108" w:type="dxa"/>
            <w:bottom w:w="0" w:type="dxa"/>
            <w:right w:w="108" w:type="dxa"/>
          </w:tblCellMar>
        </w:tblPrEx>
        <w:trPr>
          <w:trHeight w:val="346"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5B5E4CF6">
            <w:pPr>
              <w:widowControl/>
              <w:jc w:val="center"/>
              <w:rPr>
                <w:rFonts w:ascii="宋体" w:hAnsi="宋体" w:cs="宋体"/>
                <w:kern w:val="0"/>
                <w:sz w:val="20"/>
                <w:szCs w:val="20"/>
              </w:rPr>
            </w:pPr>
            <w:r>
              <w:rPr>
                <w:rFonts w:hint="eastAsia" w:ascii="宋体" w:hAnsi="宋体" w:cs="宋体"/>
                <w:kern w:val="0"/>
                <w:sz w:val="20"/>
                <w:szCs w:val="20"/>
              </w:rPr>
              <w:t>1.5</w:t>
            </w:r>
          </w:p>
        </w:tc>
        <w:tc>
          <w:tcPr>
            <w:tcW w:w="5300" w:type="dxa"/>
            <w:tcBorders>
              <w:top w:val="nil"/>
              <w:left w:val="nil"/>
              <w:bottom w:val="single" w:color="auto" w:sz="8" w:space="0"/>
              <w:right w:val="single" w:color="auto" w:sz="8" w:space="0"/>
            </w:tcBorders>
            <w:shd w:val="clear" w:color="auto" w:fill="auto"/>
            <w:vAlign w:val="center"/>
          </w:tcPr>
          <w:p w14:paraId="046BFE2B">
            <w:pPr>
              <w:widowControl/>
              <w:jc w:val="left"/>
              <w:rPr>
                <w:rFonts w:ascii="宋体" w:hAnsi="宋体" w:cs="宋体"/>
                <w:kern w:val="0"/>
                <w:sz w:val="20"/>
                <w:szCs w:val="20"/>
              </w:rPr>
            </w:pPr>
            <w:r>
              <w:rPr>
                <w:rFonts w:hint="eastAsia" w:ascii="宋体" w:hAnsi="宋体" w:cs="宋体"/>
                <w:kern w:val="0"/>
                <w:sz w:val="20"/>
                <w:szCs w:val="20"/>
              </w:rPr>
              <w:t>所有植入物必须提供原厂完整齐备的资料。</w:t>
            </w:r>
          </w:p>
        </w:tc>
        <w:tc>
          <w:tcPr>
            <w:tcW w:w="1580" w:type="dxa"/>
            <w:tcBorders>
              <w:top w:val="nil"/>
              <w:left w:val="nil"/>
              <w:bottom w:val="single" w:color="auto" w:sz="8" w:space="0"/>
              <w:right w:val="single" w:color="auto" w:sz="8" w:space="0"/>
            </w:tcBorders>
            <w:shd w:val="clear" w:color="auto" w:fill="auto"/>
            <w:vAlign w:val="center"/>
          </w:tcPr>
          <w:p w14:paraId="18A52E60">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1B98B60A">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86747E2">
        <w:tblPrEx>
          <w:tblCellMar>
            <w:top w:w="0" w:type="dxa"/>
            <w:left w:w="108" w:type="dxa"/>
            <w:bottom w:w="0" w:type="dxa"/>
            <w:right w:w="108" w:type="dxa"/>
          </w:tblCellMar>
        </w:tblPrEx>
        <w:trPr>
          <w:trHeight w:val="41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73AC7A88">
            <w:pPr>
              <w:widowControl/>
              <w:jc w:val="center"/>
              <w:rPr>
                <w:rFonts w:ascii="宋体" w:hAnsi="宋体" w:cs="宋体"/>
                <w:kern w:val="0"/>
                <w:sz w:val="20"/>
                <w:szCs w:val="20"/>
              </w:rPr>
            </w:pPr>
            <w:r>
              <w:rPr>
                <w:rFonts w:hint="eastAsia" w:ascii="宋体" w:hAnsi="宋体" w:cs="宋体"/>
                <w:kern w:val="0"/>
                <w:sz w:val="20"/>
                <w:szCs w:val="20"/>
              </w:rPr>
              <w:t>1.6</w:t>
            </w:r>
          </w:p>
        </w:tc>
        <w:tc>
          <w:tcPr>
            <w:tcW w:w="5300" w:type="dxa"/>
            <w:tcBorders>
              <w:top w:val="nil"/>
              <w:left w:val="nil"/>
              <w:bottom w:val="single" w:color="auto" w:sz="8" w:space="0"/>
              <w:right w:val="single" w:color="auto" w:sz="8" w:space="0"/>
            </w:tcBorders>
            <w:shd w:val="clear" w:color="auto" w:fill="auto"/>
            <w:vAlign w:val="center"/>
          </w:tcPr>
          <w:p w14:paraId="138B8613">
            <w:pPr>
              <w:widowControl/>
              <w:jc w:val="left"/>
              <w:rPr>
                <w:rFonts w:ascii="宋体" w:hAnsi="宋体" w:cs="宋体"/>
                <w:kern w:val="0"/>
                <w:sz w:val="20"/>
                <w:szCs w:val="20"/>
              </w:rPr>
            </w:pPr>
            <w:r>
              <w:rPr>
                <w:rFonts w:hint="eastAsia" w:ascii="宋体" w:hAnsi="宋体" w:cs="宋体"/>
                <w:kern w:val="0"/>
                <w:sz w:val="20"/>
                <w:szCs w:val="20"/>
              </w:rPr>
              <w:t>特殊的产品可紧急进行市外调货，以满足医院临床要求。</w:t>
            </w:r>
          </w:p>
        </w:tc>
        <w:tc>
          <w:tcPr>
            <w:tcW w:w="1580" w:type="dxa"/>
            <w:tcBorders>
              <w:top w:val="nil"/>
              <w:left w:val="nil"/>
              <w:bottom w:val="single" w:color="auto" w:sz="8" w:space="0"/>
              <w:right w:val="single" w:color="auto" w:sz="8" w:space="0"/>
            </w:tcBorders>
            <w:shd w:val="clear" w:color="auto" w:fill="auto"/>
            <w:vAlign w:val="center"/>
          </w:tcPr>
          <w:p w14:paraId="373FD768">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39492592">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2177D0BC">
        <w:tblPrEx>
          <w:tblCellMar>
            <w:top w:w="0" w:type="dxa"/>
            <w:left w:w="108" w:type="dxa"/>
            <w:bottom w:w="0" w:type="dxa"/>
            <w:right w:w="108" w:type="dxa"/>
          </w:tblCellMar>
        </w:tblPrEx>
        <w:trPr>
          <w:trHeight w:val="30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BE513BC">
            <w:pPr>
              <w:widowControl/>
              <w:jc w:val="center"/>
              <w:rPr>
                <w:rFonts w:ascii="宋体" w:hAnsi="宋体" w:cs="宋体"/>
                <w:b/>
                <w:bCs/>
                <w:kern w:val="0"/>
                <w:sz w:val="20"/>
                <w:szCs w:val="20"/>
              </w:rPr>
            </w:pPr>
            <w:r>
              <w:rPr>
                <w:rFonts w:hint="eastAsia" w:ascii="宋体" w:hAnsi="宋体" w:cs="宋体"/>
                <w:b/>
                <w:bCs/>
                <w:kern w:val="0"/>
                <w:sz w:val="20"/>
                <w:szCs w:val="20"/>
              </w:rPr>
              <w:t>2</w:t>
            </w:r>
          </w:p>
        </w:tc>
        <w:tc>
          <w:tcPr>
            <w:tcW w:w="8700" w:type="dxa"/>
            <w:gridSpan w:val="3"/>
            <w:tcBorders>
              <w:top w:val="nil"/>
              <w:left w:val="nil"/>
              <w:bottom w:val="single" w:color="auto" w:sz="8" w:space="0"/>
              <w:right w:val="single" w:color="auto" w:sz="8" w:space="0"/>
            </w:tcBorders>
            <w:shd w:val="clear" w:color="auto" w:fill="auto"/>
            <w:vAlign w:val="center"/>
          </w:tcPr>
          <w:p w14:paraId="247533EB">
            <w:pPr>
              <w:widowControl/>
              <w:jc w:val="left"/>
              <w:rPr>
                <w:rFonts w:ascii="宋体" w:hAnsi="宋体" w:cs="宋体"/>
                <w:b/>
                <w:bCs/>
                <w:kern w:val="0"/>
                <w:sz w:val="20"/>
                <w:szCs w:val="20"/>
              </w:rPr>
            </w:pPr>
            <w:r>
              <w:rPr>
                <w:rFonts w:hint="eastAsia" w:ascii="宋体" w:hAnsi="宋体" w:cs="宋体"/>
                <w:b/>
                <w:bCs/>
                <w:kern w:val="0"/>
                <w:sz w:val="20"/>
                <w:szCs w:val="20"/>
              </w:rPr>
              <w:t>退换货：</w:t>
            </w:r>
          </w:p>
        </w:tc>
      </w:tr>
      <w:tr w14:paraId="656E2CA0">
        <w:tblPrEx>
          <w:tblCellMar>
            <w:top w:w="0" w:type="dxa"/>
            <w:left w:w="108" w:type="dxa"/>
            <w:bottom w:w="0" w:type="dxa"/>
            <w:right w:w="108" w:type="dxa"/>
          </w:tblCellMar>
        </w:tblPrEx>
        <w:trPr>
          <w:trHeight w:val="58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07BFE81">
            <w:pPr>
              <w:widowControl/>
              <w:jc w:val="center"/>
              <w:rPr>
                <w:rFonts w:ascii="宋体" w:hAnsi="宋体" w:cs="宋体"/>
                <w:kern w:val="0"/>
                <w:sz w:val="20"/>
                <w:szCs w:val="20"/>
              </w:rPr>
            </w:pPr>
            <w:r>
              <w:rPr>
                <w:rFonts w:hint="eastAsia" w:ascii="宋体" w:hAnsi="宋体" w:cs="宋体"/>
                <w:kern w:val="0"/>
                <w:sz w:val="20"/>
                <w:szCs w:val="20"/>
              </w:rPr>
              <w:t>2.1</w:t>
            </w:r>
          </w:p>
        </w:tc>
        <w:tc>
          <w:tcPr>
            <w:tcW w:w="5300" w:type="dxa"/>
            <w:tcBorders>
              <w:top w:val="nil"/>
              <w:left w:val="nil"/>
              <w:bottom w:val="single" w:color="auto" w:sz="8" w:space="0"/>
              <w:right w:val="single" w:color="auto" w:sz="8" w:space="0"/>
            </w:tcBorders>
            <w:shd w:val="clear" w:color="auto" w:fill="auto"/>
            <w:vAlign w:val="center"/>
          </w:tcPr>
          <w:p w14:paraId="2AB7B11C">
            <w:pPr>
              <w:widowControl/>
              <w:jc w:val="left"/>
              <w:rPr>
                <w:rFonts w:ascii="宋体" w:hAnsi="宋体" w:cs="宋体"/>
                <w:kern w:val="0"/>
                <w:sz w:val="20"/>
                <w:szCs w:val="20"/>
              </w:rPr>
            </w:pPr>
            <w:r>
              <w:rPr>
                <w:rFonts w:hint="eastAsia" w:ascii="宋体" w:hAnsi="宋体" w:cs="宋体"/>
                <w:kern w:val="0"/>
                <w:sz w:val="20"/>
                <w:szCs w:val="20"/>
              </w:rPr>
              <w:t>医院接受货物后若有疑义或使用前发现不宜使用的现象，公司随时提供免费退换货服务。</w:t>
            </w:r>
          </w:p>
        </w:tc>
        <w:tc>
          <w:tcPr>
            <w:tcW w:w="1580" w:type="dxa"/>
            <w:tcBorders>
              <w:top w:val="nil"/>
              <w:left w:val="nil"/>
              <w:bottom w:val="single" w:color="auto" w:sz="8" w:space="0"/>
              <w:right w:val="single" w:color="auto" w:sz="8" w:space="0"/>
            </w:tcBorders>
            <w:shd w:val="clear" w:color="auto" w:fill="auto"/>
            <w:vAlign w:val="center"/>
          </w:tcPr>
          <w:p w14:paraId="215161A4">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0D9C29C8">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2EA2847">
        <w:tblPrEx>
          <w:tblCellMar>
            <w:top w:w="0" w:type="dxa"/>
            <w:left w:w="108" w:type="dxa"/>
            <w:bottom w:w="0" w:type="dxa"/>
            <w:right w:w="108" w:type="dxa"/>
          </w:tblCellMar>
        </w:tblPrEx>
        <w:trPr>
          <w:trHeight w:val="138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552E5DD5">
            <w:pPr>
              <w:widowControl/>
              <w:jc w:val="center"/>
              <w:rPr>
                <w:rFonts w:ascii="宋体" w:hAnsi="宋体" w:cs="宋体"/>
                <w:kern w:val="0"/>
                <w:sz w:val="20"/>
                <w:szCs w:val="20"/>
              </w:rPr>
            </w:pPr>
            <w:r>
              <w:rPr>
                <w:rFonts w:hint="eastAsia" w:ascii="宋体" w:hAnsi="宋体" w:cs="宋体"/>
                <w:kern w:val="0"/>
                <w:sz w:val="20"/>
                <w:szCs w:val="20"/>
              </w:rPr>
              <w:t>2.2</w:t>
            </w:r>
          </w:p>
        </w:tc>
        <w:tc>
          <w:tcPr>
            <w:tcW w:w="5300" w:type="dxa"/>
            <w:tcBorders>
              <w:top w:val="nil"/>
              <w:left w:val="nil"/>
              <w:bottom w:val="single" w:color="auto" w:sz="8" w:space="0"/>
              <w:right w:val="single" w:color="auto" w:sz="8" w:space="0"/>
            </w:tcBorders>
            <w:shd w:val="clear" w:color="auto" w:fill="auto"/>
            <w:vAlign w:val="center"/>
          </w:tcPr>
          <w:p w14:paraId="12615782">
            <w:pPr>
              <w:widowControl/>
              <w:jc w:val="left"/>
              <w:rPr>
                <w:rFonts w:ascii="宋体" w:hAnsi="宋体" w:cs="宋体"/>
                <w:kern w:val="0"/>
                <w:sz w:val="20"/>
                <w:szCs w:val="20"/>
              </w:rPr>
            </w:pPr>
            <w:r>
              <w:rPr>
                <w:rFonts w:hint="eastAsia" w:ascii="宋体" w:hAnsi="宋体" w:cs="宋体"/>
                <w:kern w:val="0"/>
                <w:sz w:val="20"/>
                <w:szCs w:val="20"/>
              </w:rPr>
              <w:t>近效期退换：对于接近有效期的产品（近效期3个月或以上的），中标人保证无条件更换新批号且效期在半年以上的产品。保证供货产品的实际品牌、规格型号、生产厂家、质量与投标文件内所投产品描述一致；供货产品确保最新生产批号，绝不提供过期或即将过期的产品。</w:t>
            </w:r>
          </w:p>
        </w:tc>
        <w:tc>
          <w:tcPr>
            <w:tcW w:w="1580" w:type="dxa"/>
            <w:tcBorders>
              <w:top w:val="nil"/>
              <w:left w:val="nil"/>
              <w:bottom w:val="single" w:color="auto" w:sz="8" w:space="0"/>
              <w:right w:val="single" w:color="auto" w:sz="8" w:space="0"/>
            </w:tcBorders>
            <w:shd w:val="clear" w:color="auto" w:fill="auto"/>
            <w:vAlign w:val="center"/>
          </w:tcPr>
          <w:p w14:paraId="12AC4748">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7E153E3A">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B0E342B">
        <w:tblPrEx>
          <w:tblCellMar>
            <w:top w:w="0" w:type="dxa"/>
            <w:left w:w="108" w:type="dxa"/>
            <w:bottom w:w="0" w:type="dxa"/>
            <w:right w:w="108" w:type="dxa"/>
          </w:tblCellMar>
        </w:tblPrEx>
        <w:trPr>
          <w:trHeight w:val="281"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8B122A2">
            <w:pPr>
              <w:widowControl/>
              <w:jc w:val="center"/>
              <w:rPr>
                <w:rFonts w:ascii="宋体" w:hAnsi="宋体" w:cs="宋体"/>
                <w:b/>
                <w:bCs/>
                <w:kern w:val="0"/>
                <w:sz w:val="20"/>
                <w:szCs w:val="20"/>
              </w:rPr>
            </w:pPr>
            <w:r>
              <w:rPr>
                <w:rFonts w:hint="eastAsia" w:ascii="宋体" w:hAnsi="宋体" w:cs="宋体"/>
                <w:b/>
                <w:bCs/>
                <w:kern w:val="0"/>
                <w:sz w:val="20"/>
                <w:szCs w:val="20"/>
              </w:rPr>
              <w:t>3</w:t>
            </w:r>
          </w:p>
        </w:tc>
        <w:tc>
          <w:tcPr>
            <w:tcW w:w="8700" w:type="dxa"/>
            <w:gridSpan w:val="3"/>
            <w:tcBorders>
              <w:top w:val="nil"/>
              <w:left w:val="nil"/>
              <w:bottom w:val="single" w:color="auto" w:sz="8" w:space="0"/>
              <w:right w:val="single" w:color="auto" w:sz="8" w:space="0"/>
            </w:tcBorders>
            <w:shd w:val="clear" w:color="auto" w:fill="auto"/>
            <w:vAlign w:val="center"/>
          </w:tcPr>
          <w:p w14:paraId="58162A4C">
            <w:pPr>
              <w:widowControl/>
              <w:jc w:val="left"/>
              <w:rPr>
                <w:rFonts w:ascii="宋体" w:hAnsi="宋体" w:cs="宋体"/>
                <w:b/>
                <w:bCs/>
                <w:kern w:val="0"/>
                <w:sz w:val="20"/>
                <w:szCs w:val="20"/>
              </w:rPr>
            </w:pPr>
            <w:r>
              <w:rPr>
                <w:rFonts w:hint="eastAsia" w:ascii="宋体" w:hAnsi="宋体" w:cs="宋体"/>
                <w:b/>
                <w:bCs/>
                <w:kern w:val="0"/>
                <w:sz w:val="20"/>
                <w:szCs w:val="20"/>
              </w:rPr>
              <w:t>技术支持：</w:t>
            </w:r>
          </w:p>
        </w:tc>
      </w:tr>
      <w:tr w14:paraId="5D5CB02D">
        <w:tblPrEx>
          <w:tblCellMar>
            <w:top w:w="0" w:type="dxa"/>
            <w:left w:w="108" w:type="dxa"/>
            <w:bottom w:w="0" w:type="dxa"/>
            <w:right w:w="108" w:type="dxa"/>
          </w:tblCellMar>
        </w:tblPrEx>
        <w:trPr>
          <w:trHeight w:val="234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6203A816">
            <w:pPr>
              <w:widowControl/>
              <w:jc w:val="center"/>
              <w:rPr>
                <w:rFonts w:ascii="宋体" w:hAnsi="宋体" w:cs="宋体"/>
                <w:kern w:val="0"/>
                <w:sz w:val="20"/>
                <w:szCs w:val="20"/>
              </w:rPr>
            </w:pPr>
            <w:r>
              <w:rPr>
                <w:rFonts w:hint="eastAsia" w:ascii="宋体" w:hAnsi="宋体" w:cs="宋体"/>
                <w:kern w:val="0"/>
                <w:sz w:val="20"/>
                <w:szCs w:val="20"/>
              </w:rPr>
              <w:t>3.1</w:t>
            </w:r>
          </w:p>
        </w:tc>
        <w:tc>
          <w:tcPr>
            <w:tcW w:w="5300" w:type="dxa"/>
            <w:tcBorders>
              <w:top w:val="nil"/>
              <w:left w:val="nil"/>
              <w:bottom w:val="single" w:color="auto" w:sz="8" w:space="0"/>
              <w:right w:val="single" w:color="auto" w:sz="8" w:space="0"/>
            </w:tcBorders>
            <w:shd w:val="clear" w:color="auto" w:fill="auto"/>
            <w:vAlign w:val="center"/>
          </w:tcPr>
          <w:p w14:paraId="22FB33FB">
            <w:pPr>
              <w:widowControl/>
              <w:jc w:val="left"/>
              <w:rPr>
                <w:rFonts w:ascii="宋体" w:hAnsi="宋体" w:cs="宋体"/>
                <w:kern w:val="0"/>
                <w:sz w:val="20"/>
                <w:szCs w:val="20"/>
              </w:rPr>
            </w:pPr>
            <w:r>
              <w:rPr>
                <w:rFonts w:hint="eastAsia" w:ascii="宋体" w:hAnsi="宋体" w:cs="宋体"/>
                <w:kern w:val="0"/>
                <w:sz w:val="20"/>
                <w:szCs w:val="20"/>
              </w:rPr>
              <w:t>免费跟台服务：①跟台人员严格遵守医院植入类耗材的相关管理制度，并保证按医院流程和规范进行操作。跟台人员必须为专业人员，完全熟悉耗材产品的种类、型号及其用途。②术前认真了解病人的病情，以保证术中产品的正确使用。必须派专人跟台，跟台人员必须提前30分钟到达手术室，协助手术室护士查手术所需的耗材，手术过程中有专业跟台人员配合手术并进行台旁指导，并确保护士知道产品配套仪器的使用。③24小时服务支持,包括一个专门的人员和电话号码。服务支持应该包括节假日。</w:t>
            </w:r>
          </w:p>
        </w:tc>
        <w:tc>
          <w:tcPr>
            <w:tcW w:w="1580" w:type="dxa"/>
            <w:tcBorders>
              <w:top w:val="nil"/>
              <w:left w:val="nil"/>
              <w:bottom w:val="single" w:color="auto" w:sz="8" w:space="0"/>
              <w:right w:val="single" w:color="auto" w:sz="8" w:space="0"/>
            </w:tcBorders>
            <w:shd w:val="clear" w:color="auto" w:fill="auto"/>
            <w:vAlign w:val="center"/>
          </w:tcPr>
          <w:p w14:paraId="63C80C2F">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707512F0">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F3793DB">
        <w:tblPrEx>
          <w:tblCellMar>
            <w:top w:w="0" w:type="dxa"/>
            <w:left w:w="108" w:type="dxa"/>
            <w:bottom w:w="0" w:type="dxa"/>
            <w:right w:w="108" w:type="dxa"/>
          </w:tblCellMar>
        </w:tblPrEx>
        <w:trPr>
          <w:trHeight w:val="689"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2D0EBD2">
            <w:pPr>
              <w:widowControl/>
              <w:jc w:val="center"/>
              <w:rPr>
                <w:rFonts w:ascii="宋体" w:hAnsi="宋体" w:cs="宋体"/>
                <w:kern w:val="0"/>
                <w:sz w:val="20"/>
                <w:szCs w:val="20"/>
              </w:rPr>
            </w:pPr>
            <w:r>
              <w:rPr>
                <w:rFonts w:hint="eastAsia" w:ascii="宋体" w:hAnsi="宋体" w:cs="宋体"/>
                <w:kern w:val="0"/>
                <w:sz w:val="20"/>
                <w:szCs w:val="20"/>
              </w:rPr>
              <w:t>3.2</w:t>
            </w:r>
          </w:p>
        </w:tc>
        <w:tc>
          <w:tcPr>
            <w:tcW w:w="5300" w:type="dxa"/>
            <w:tcBorders>
              <w:top w:val="nil"/>
              <w:left w:val="nil"/>
              <w:bottom w:val="single" w:color="auto" w:sz="8" w:space="0"/>
              <w:right w:val="single" w:color="auto" w:sz="8" w:space="0"/>
            </w:tcBorders>
            <w:shd w:val="clear" w:color="auto" w:fill="auto"/>
            <w:vAlign w:val="center"/>
          </w:tcPr>
          <w:p w14:paraId="327FC27C">
            <w:pPr>
              <w:widowControl/>
              <w:jc w:val="left"/>
              <w:rPr>
                <w:rFonts w:ascii="宋体" w:hAnsi="宋体" w:cs="宋体"/>
                <w:kern w:val="0"/>
                <w:sz w:val="20"/>
                <w:szCs w:val="20"/>
              </w:rPr>
            </w:pPr>
            <w:r>
              <w:rPr>
                <w:rFonts w:hint="eastAsia" w:ascii="宋体" w:hAnsi="宋体" w:cs="宋体"/>
                <w:kern w:val="0"/>
                <w:sz w:val="20"/>
                <w:szCs w:val="20"/>
              </w:rPr>
              <w:t>免费提供产品的售后技术培训与医用支持，定期配合医院免费为临床医护人员提供新技术培训，确保我院医护人员能够有效和</w:t>
            </w:r>
            <w:r>
              <w:rPr>
                <w:rFonts w:hint="eastAsia" w:ascii="宋体" w:hAnsi="宋体" w:cs="宋体"/>
                <w:kern w:val="0"/>
                <w:sz w:val="20"/>
                <w:szCs w:val="20"/>
                <w:lang w:eastAsia="zh-CN"/>
              </w:rPr>
              <w:t>安全地使用</w:t>
            </w:r>
            <w:r>
              <w:rPr>
                <w:rFonts w:hint="eastAsia" w:ascii="宋体" w:hAnsi="宋体" w:cs="宋体"/>
                <w:kern w:val="0"/>
                <w:sz w:val="20"/>
                <w:szCs w:val="20"/>
              </w:rPr>
              <w:t>产品和配套的仪器。提供成套产品手册清单供手术室护士参考。同时应该为手术室护士提供详细使用说明手册供术前参考，并提供简明手册供护士快速查找。</w:t>
            </w:r>
          </w:p>
        </w:tc>
        <w:tc>
          <w:tcPr>
            <w:tcW w:w="1580" w:type="dxa"/>
            <w:tcBorders>
              <w:top w:val="nil"/>
              <w:left w:val="nil"/>
              <w:bottom w:val="single" w:color="auto" w:sz="8" w:space="0"/>
              <w:right w:val="single" w:color="auto" w:sz="8" w:space="0"/>
            </w:tcBorders>
            <w:shd w:val="clear" w:color="auto" w:fill="auto"/>
            <w:vAlign w:val="center"/>
          </w:tcPr>
          <w:p w14:paraId="5095BD76">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545D551B">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B5E8DB1">
        <w:tblPrEx>
          <w:tblCellMar>
            <w:top w:w="0" w:type="dxa"/>
            <w:left w:w="108" w:type="dxa"/>
            <w:bottom w:w="0" w:type="dxa"/>
            <w:right w:w="108" w:type="dxa"/>
          </w:tblCellMar>
        </w:tblPrEx>
        <w:trPr>
          <w:trHeight w:val="60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53445E6C">
            <w:pPr>
              <w:widowControl/>
              <w:jc w:val="center"/>
              <w:rPr>
                <w:rFonts w:ascii="宋体" w:hAnsi="宋体" w:cs="宋体"/>
                <w:kern w:val="0"/>
                <w:sz w:val="20"/>
                <w:szCs w:val="20"/>
              </w:rPr>
            </w:pPr>
            <w:r>
              <w:rPr>
                <w:rFonts w:hint="eastAsia" w:ascii="宋体" w:hAnsi="宋体" w:cs="宋体"/>
                <w:kern w:val="0"/>
                <w:sz w:val="20"/>
                <w:szCs w:val="20"/>
              </w:rPr>
              <w:t>3.3</w:t>
            </w:r>
          </w:p>
        </w:tc>
        <w:tc>
          <w:tcPr>
            <w:tcW w:w="5300" w:type="dxa"/>
            <w:tcBorders>
              <w:top w:val="nil"/>
              <w:left w:val="nil"/>
              <w:bottom w:val="single" w:color="auto" w:sz="8" w:space="0"/>
              <w:right w:val="single" w:color="auto" w:sz="8" w:space="0"/>
            </w:tcBorders>
            <w:shd w:val="clear" w:color="auto" w:fill="auto"/>
            <w:vAlign w:val="center"/>
          </w:tcPr>
          <w:p w14:paraId="6C17A38D">
            <w:pPr>
              <w:widowControl/>
              <w:jc w:val="left"/>
              <w:rPr>
                <w:rFonts w:ascii="宋体" w:hAnsi="宋体" w:cs="宋体"/>
                <w:kern w:val="0"/>
                <w:sz w:val="20"/>
                <w:szCs w:val="20"/>
              </w:rPr>
            </w:pPr>
            <w:r>
              <w:rPr>
                <w:rFonts w:hint="eastAsia" w:ascii="宋体" w:hAnsi="宋体" w:cs="宋体"/>
                <w:kern w:val="0"/>
                <w:sz w:val="20"/>
                <w:szCs w:val="20"/>
              </w:rPr>
              <w:t>公司有建立学术群，可对特殊病例、疑难手术等提供支持，如联合会诊、病案讨论、专题研究等。</w:t>
            </w:r>
          </w:p>
        </w:tc>
        <w:tc>
          <w:tcPr>
            <w:tcW w:w="1580" w:type="dxa"/>
            <w:tcBorders>
              <w:top w:val="nil"/>
              <w:left w:val="nil"/>
              <w:bottom w:val="single" w:color="auto" w:sz="8" w:space="0"/>
              <w:right w:val="single" w:color="auto" w:sz="8" w:space="0"/>
            </w:tcBorders>
            <w:shd w:val="clear" w:color="auto" w:fill="auto"/>
            <w:vAlign w:val="center"/>
          </w:tcPr>
          <w:p w14:paraId="76BE9A77">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5F9E816D">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B92DF4E">
        <w:tblPrEx>
          <w:tblCellMar>
            <w:top w:w="0" w:type="dxa"/>
            <w:left w:w="108" w:type="dxa"/>
            <w:bottom w:w="0" w:type="dxa"/>
            <w:right w:w="108" w:type="dxa"/>
          </w:tblCellMar>
        </w:tblPrEx>
        <w:trPr>
          <w:trHeight w:val="60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41074E2">
            <w:pPr>
              <w:widowControl/>
              <w:jc w:val="center"/>
              <w:rPr>
                <w:rFonts w:ascii="宋体" w:hAnsi="宋体" w:cs="宋体"/>
                <w:kern w:val="0"/>
                <w:sz w:val="20"/>
                <w:szCs w:val="20"/>
              </w:rPr>
            </w:pPr>
            <w:r>
              <w:rPr>
                <w:rFonts w:hint="eastAsia" w:ascii="宋体" w:hAnsi="宋体" w:cs="宋体"/>
                <w:kern w:val="0"/>
                <w:sz w:val="20"/>
                <w:szCs w:val="20"/>
              </w:rPr>
              <w:t>3.4</w:t>
            </w:r>
          </w:p>
        </w:tc>
        <w:tc>
          <w:tcPr>
            <w:tcW w:w="5300" w:type="dxa"/>
            <w:tcBorders>
              <w:top w:val="nil"/>
              <w:left w:val="nil"/>
              <w:bottom w:val="single" w:color="auto" w:sz="8" w:space="0"/>
              <w:right w:val="single" w:color="auto" w:sz="8" w:space="0"/>
            </w:tcBorders>
            <w:shd w:val="clear" w:color="auto" w:fill="auto"/>
            <w:vAlign w:val="center"/>
          </w:tcPr>
          <w:p w14:paraId="6BCB94A8">
            <w:pPr>
              <w:widowControl/>
              <w:jc w:val="left"/>
              <w:rPr>
                <w:rFonts w:ascii="宋体" w:hAnsi="宋体" w:cs="宋体"/>
                <w:kern w:val="0"/>
                <w:sz w:val="20"/>
                <w:szCs w:val="20"/>
              </w:rPr>
            </w:pPr>
            <w:r>
              <w:rPr>
                <w:rFonts w:hint="eastAsia" w:ascii="宋体" w:hAnsi="宋体" w:cs="宋体"/>
                <w:kern w:val="0"/>
                <w:sz w:val="20"/>
                <w:szCs w:val="20"/>
              </w:rPr>
              <w:t>学术交流活动并定期邀请专家到我院讲课交流。学术会议及外出学习根据医院相关管理制度严格执行。</w:t>
            </w:r>
          </w:p>
        </w:tc>
        <w:tc>
          <w:tcPr>
            <w:tcW w:w="1580" w:type="dxa"/>
            <w:tcBorders>
              <w:top w:val="nil"/>
              <w:left w:val="nil"/>
              <w:bottom w:val="single" w:color="auto" w:sz="8" w:space="0"/>
              <w:right w:val="single" w:color="auto" w:sz="8" w:space="0"/>
            </w:tcBorders>
            <w:shd w:val="clear" w:color="auto" w:fill="auto"/>
            <w:vAlign w:val="center"/>
          </w:tcPr>
          <w:p w14:paraId="29AFE421">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5AD0A99E">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4F31987">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6BDC97E6">
            <w:pPr>
              <w:widowControl/>
              <w:jc w:val="center"/>
              <w:rPr>
                <w:rFonts w:ascii="宋体" w:hAnsi="宋体" w:cs="宋体"/>
                <w:kern w:val="0"/>
                <w:sz w:val="20"/>
                <w:szCs w:val="20"/>
              </w:rPr>
            </w:pPr>
            <w:r>
              <w:rPr>
                <w:rFonts w:hint="eastAsia" w:ascii="宋体" w:hAnsi="宋体" w:cs="宋体"/>
                <w:kern w:val="0"/>
                <w:sz w:val="20"/>
                <w:szCs w:val="20"/>
              </w:rPr>
              <w:t>3.6</w:t>
            </w:r>
          </w:p>
        </w:tc>
        <w:tc>
          <w:tcPr>
            <w:tcW w:w="5300" w:type="dxa"/>
            <w:tcBorders>
              <w:top w:val="nil"/>
              <w:left w:val="nil"/>
              <w:bottom w:val="single" w:color="auto" w:sz="8" w:space="0"/>
              <w:right w:val="single" w:color="auto" w:sz="8" w:space="0"/>
            </w:tcBorders>
            <w:shd w:val="clear" w:color="auto" w:fill="auto"/>
            <w:vAlign w:val="center"/>
          </w:tcPr>
          <w:p w14:paraId="435C3533">
            <w:pPr>
              <w:widowControl/>
              <w:jc w:val="left"/>
              <w:rPr>
                <w:rFonts w:ascii="宋体" w:hAnsi="宋体" w:cs="宋体"/>
                <w:kern w:val="0"/>
                <w:sz w:val="20"/>
                <w:szCs w:val="20"/>
              </w:rPr>
            </w:pPr>
            <w:r>
              <w:rPr>
                <w:rFonts w:hint="eastAsia" w:ascii="宋体" w:hAnsi="宋体" w:cs="宋体"/>
                <w:kern w:val="0"/>
                <w:sz w:val="20"/>
                <w:szCs w:val="20"/>
              </w:rPr>
              <w:t>其他增值服务，双方定期（4-6个月）回顾服务质量和需求，来确保病人的安全和治病的效率。</w:t>
            </w:r>
          </w:p>
        </w:tc>
        <w:tc>
          <w:tcPr>
            <w:tcW w:w="1580" w:type="dxa"/>
            <w:tcBorders>
              <w:top w:val="nil"/>
              <w:left w:val="nil"/>
              <w:bottom w:val="single" w:color="auto" w:sz="8" w:space="0"/>
              <w:right w:val="single" w:color="auto" w:sz="8" w:space="0"/>
            </w:tcBorders>
            <w:shd w:val="clear" w:color="auto" w:fill="auto"/>
            <w:vAlign w:val="center"/>
          </w:tcPr>
          <w:p w14:paraId="437EE52A">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37D6158E">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115ADD5">
        <w:tblPrEx>
          <w:tblCellMar>
            <w:top w:w="0" w:type="dxa"/>
            <w:left w:w="108" w:type="dxa"/>
            <w:bottom w:w="0" w:type="dxa"/>
            <w:right w:w="108" w:type="dxa"/>
          </w:tblCellMar>
        </w:tblPrEx>
        <w:trPr>
          <w:trHeight w:val="304"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6BC4D46">
            <w:pPr>
              <w:widowControl/>
              <w:jc w:val="center"/>
              <w:rPr>
                <w:rFonts w:ascii="宋体" w:hAnsi="宋体" w:cs="宋体"/>
                <w:b/>
                <w:bCs/>
                <w:kern w:val="0"/>
                <w:sz w:val="20"/>
                <w:szCs w:val="20"/>
              </w:rPr>
            </w:pPr>
            <w:r>
              <w:rPr>
                <w:rFonts w:hint="eastAsia" w:ascii="宋体" w:hAnsi="宋体" w:cs="宋体"/>
                <w:b/>
                <w:bCs/>
                <w:kern w:val="0"/>
                <w:sz w:val="20"/>
                <w:szCs w:val="20"/>
              </w:rPr>
              <w:t>4</w:t>
            </w:r>
          </w:p>
        </w:tc>
        <w:tc>
          <w:tcPr>
            <w:tcW w:w="8700" w:type="dxa"/>
            <w:gridSpan w:val="3"/>
            <w:tcBorders>
              <w:top w:val="nil"/>
              <w:left w:val="nil"/>
              <w:bottom w:val="single" w:color="auto" w:sz="8" w:space="0"/>
              <w:right w:val="single" w:color="auto" w:sz="8" w:space="0"/>
            </w:tcBorders>
            <w:shd w:val="clear" w:color="auto" w:fill="auto"/>
            <w:vAlign w:val="center"/>
          </w:tcPr>
          <w:p w14:paraId="2F7B9AD2">
            <w:pPr>
              <w:widowControl/>
              <w:jc w:val="left"/>
              <w:rPr>
                <w:rFonts w:ascii="宋体" w:hAnsi="宋体" w:cs="宋体"/>
                <w:b/>
                <w:bCs/>
                <w:kern w:val="0"/>
                <w:sz w:val="20"/>
                <w:szCs w:val="20"/>
              </w:rPr>
            </w:pPr>
            <w:r>
              <w:rPr>
                <w:rFonts w:hint="eastAsia" w:ascii="宋体" w:hAnsi="宋体" w:cs="宋体"/>
                <w:b/>
                <w:bCs/>
                <w:kern w:val="0"/>
                <w:sz w:val="20"/>
                <w:szCs w:val="20"/>
              </w:rPr>
              <w:t>术后跟踪：</w:t>
            </w:r>
          </w:p>
        </w:tc>
      </w:tr>
      <w:tr w14:paraId="5100BD1F">
        <w:tblPrEx>
          <w:tblCellMar>
            <w:top w:w="0" w:type="dxa"/>
            <w:left w:w="108" w:type="dxa"/>
            <w:bottom w:w="0" w:type="dxa"/>
            <w:right w:w="108" w:type="dxa"/>
          </w:tblCellMar>
        </w:tblPrEx>
        <w:trPr>
          <w:trHeight w:val="536"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404443D">
            <w:pPr>
              <w:widowControl/>
              <w:jc w:val="center"/>
              <w:rPr>
                <w:rFonts w:ascii="宋体" w:hAnsi="宋体" w:cs="宋体"/>
                <w:kern w:val="0"/>
                <w:sz w:val="20"/>
                <w:szCs w:val="20"/>
              </w:rPr>
            </w:pPr>
            <w:r>
              <w:rPr>
                <w:rFonts w:hint="eastAsia" w:ascii="宋体" w:hAnsi="宋体" w:cs="宋体"/>
                <w:kern w:val="0"/>
                <w:sz w:val="20"/>
                <w:szCs w:val="20"/>
              </w:rPr>
              <w:t>4.1</w:t>
            </w:r>
          </w:p>
        </w:tc>
        <w:tc>
          <w:tcPr>
            <w:tcW w:w="5300" w:type="dxa"/>
            <w:tcBorders>
              <w:top w:val="nil"/>
              <w:left w:val="nil"/>
              <w:bottom w:val="single" w:color="auto" w:sz="8" w:space="0"/>
              <w:right w:val="single" w:color="auto" w:sz="8" w:space="0"/>
            </w:tcBorders>
            <w:shd w:val="clear" w:color="auto" w:fill="auto"/>
            <w:vAlign w:val="center"/>
          </w:tcPr>
          <w:p w14:paraId="3EE875FE">
            <w:pPr>
              <w:widowControl/>
              <w:jc w:val="left"/>
              <w:rPr>
                <w:rFonts w:ascii="宋体" w:hAnsi="宋体" w:cs="宋体"/>
                <w:kern w:val="0"/>
                <w:sz w:val="20"/>
                <w:szCs w:val="20"/>
              </w:rPr>
            </w:pPr>
            <w:r>
              <w:rPr>
                <w:rFonts w:hint="eastAsia" w:ascii="宋体" w:hAnsi="宋体" w:cs="宋体"/>
                <w:kern w:val="0"/>
                <w:sz w:val="20"/>
                <w:szCs w:val="20"/>
              </w:rPr>
              <w:t>公司有技术专员对病人进行术后的随访，保证问题及时反馈。</w:t>
            </w:r>
          </w:p>
        </w:tc>
        <w:tc>
          <w:tcPr>
            <w:tcW w:w="1580" w:type="dxa"/>
            <w:tcBorders>
              <w:top w:val="nil"/>
              <w:left w:val="nil"/>
              <w:bottom w:val="single" w:color="auto" w:sz="8" w:space="0"/>
              <w:right w:val="single" w:color="auto" w:sz="8" w:space="0"/>
            </w:tcBorders>
            <w:shd w:val="clear" w:color="auto" w:fill="auto"/>
            <w:vAlign w:val="center"/>
          </w:tcPr>
          <w:p w14:paraId="01AF7C88">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6C9FA1A3">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C79C90B">
        <w:tblPrEx>
          <w:tblCellMar>
            <w:top w:w="0" w:type="dxa"/>
            <w:left w:w="108" w:type="dxa"/>
            <w:bottom w:w="0" w:type="dxa"/>
            <w:right w:w="108" w:type="dxa"/>
          </w:tblCellMar>
        </w:tblPrEx>
        <w:trPr>
          <w:trHeight w:val="82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83924A1">
            <w:pPr>
              <w:widowControl/>
              <w:jc w:val="center"/>
              <w:rPr>
                <w:rFonts w:ascii="宋体" w:hAnsi="宋体" w:cs="宋体"/>
                <w:kern w:val="0"/>
                <w:sz w:val="20"/>
                <w:szCs w:val="20"/>
              </w:rPr>
            </w:pPr>
            <w:r>
              <w:rPr>
                <w:rFonts w:hint="eastAsia" w:ascii="宋体" w:hAnsi="宋体" w:cs="宋体"/>
                <w:kern w:val="0"/>
                <w:sz w:val="20"/>
                <w:szCs w:val="20"/>
              </w:rPr>
              <w:t>4.2</w:t>
            </w:r>
          </w:p>
        </w:tc>
        <w:tc>
          <w:tcPr>
            <w:tcW w:w="5300" w:type="dxa"/>
            <w:tcBorders>
              <w:top w:val="nil"/>
              <w:left w:val="nil"/>
              <w:bottom w:val="single" w:color="auto" w:sz="8" w:space="0"/>
              <w:right w:val="single" w:color="auto" w:sz="8" w:space="0"/>
            </w:tcBorders>
            <w:shd w:val="clear" w:color="auto" w:fill="auto"/>
            <w:vAlign w:val="center"/>
          </w:tcPr>
          <w:p w14:paraId="0355A849">
            <w:pPr>
              <w:widowControl/>
              <w:jc w:val="left"/>
              <w:rPr>
                <w:rFonts w:ascii="宋体" w:hAnsi="宋体" w:cs="宋体"/>
                <w:kern w:val="0"/>
                <w:sz w:val="20"/>
                <w:szCs w:val="20"/>
              </w:rPr>
            </w:pPr>
            <w:r>
              <w:rPr>
                <w:rFonts w:hint="eastAsia" w:ascii="宋体" w:hAnsi="宋体" w:cs="宋体"/>
                <w:kern w:val="0"/>
                <w:sz w:val="20"/>
                <w:szCs w:val="20"/>
              </w:rPr>
              <w:t>定期随访：要求投标公司3个月一次随访，交流存在的问题和产品的变化。如果有紧急问题可随时提出，厂家在下次使用前解决。</w:t>
            </w:r>
          </w:p>
        </w:tc>
        <w:tc>
          <w:tcPr>
            <w:tcW w:w="1580" w:type="dxa"/>
            <w:tcBorders>
              <w:top w:val="nil"/>
              <w:left w:val="nil"/>
              <w:bottom w:val="single" w:color="auto" w:sz="8" w:space="0"/>
              <w:right w:val="single" w:color="auto" w:sz="8" w:space="0"/>
            </w:tcBorders>
            <w:shd w:val="clear" w:color="auto" w:fill="auto"/>
            <w:vAlign w:val="center"/>
          </w:tcPr>
          <w:p w14:paraId="4F431BD8">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24DA3DFB">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7E7961E">
        <w:tblPrEx>
          <w:tblCellMar>
            <w:top w:w="0" w:type="dxa"/>
            <w:left w:w="108" w:type="dxa"/>
            <w:bottom w:w="0" w:type="dxa"/>
            <w:right w:w="108" w:type="dxa"/>
          </w:tblCellMar>
        </w:tblPrEx>
        <w:trPr>
          <w:trHeight w:val="394"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0C8E8F6">
            <w:pPr>
              <w:widowControl/>
              <w:jc w:val="center"/>
              <w:rPr>
                <w:rFonts w:ascii="宋体" w:hAnsi="宋体" w:cs="宋体"/>
                <w:b/>
                <w:bCs/>
                <w:kern w:val="0"/>
                <w:sz w:val="20"/>
                <w:szCs w:val="20"/>
              </w:rPr>
            </w:pPr>
            <w:r>
              <w:rPr>
                <w:rFonts w:hint="eastAsia" w:ascii="宋体" w:hAnsi="宋体" w:cs="宋体"/>
                <w:b/>
                <w:bCs/>
                <w:kern w:val="0"/>
                <w:sz w:val="20"/>
                <w:szCs w:val="20"/>
              </w:rPr>
              <w:t>5</w:t>
            </w:r>
          </w:p>
        </w:tc>
        <w:tc>
          <w:tcPr>
            <w:tcW w:w="8700" w:type="dxa"/>
            <w:gridSpan w:val="3"/>
            <w:tcBorders>
              <w:top w:val="nil"/>
              <w:left w:val="nil"/>
              <w:bottom w:val="single" w:color="auto" w:sz="8" w:space="0"/>
              <w:right w:val="single" w:color="auto" w:sz="8" w:space="0"/>
            </w:tcBorders>
            <w:shd w:val="clear" w:color="auto" w:fill="auto"/>
            <w:vAlign w:val="center"/>
          </w:tcPr>
          <w:p w14:paraId="3F796BF1">
            <w:pPr>
              <w:widowControl/>
              <w:jc w:val="left"/>
              <w:rPr>
                <w:rFonts w:ascii="宋体" w:hAnsi="宋体" w:cs="宋体"/>
                <w:b/>
                <w:bCs/>
                <w:kern w:val="0"/>
                <w:sz w:val="20"/>
                <w:szCs w:val="20"/>
              </w:rPr>
            </w:pPr>
            <w:r>
              <w:rPr>
                <w:rFonts w:hint="eastAsia" w:ascii="宋体" w:hAnsi="宋体" w:cs="宋体"/>
                <w:b/>
                <w:bCs/>
                <w:kern w:val="0"/>
                <w:sz w:val="20"/>
                <w:szCs w:val="20"/>
              </w:rPr>
              <w:t>流通控制（可追溯性）：</w:t>
            </w:r>
          </w:p>
        </w:tc>
      </w:tr>
      <w:tr w14:paraId="2668FFD9">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5CD66499">
            <w:pPr>
              <w:widowControl/>
              <w:jc w:val="center"/>
              <w:rPr>
                <w:rFonts w:ascii="宋体" w:hAnsi="宋体" w:cs="宋体"/>
                <w:kern w:val="0"/>
                <w:sz w:val="20"/>
                <w:szCs w:val="20"/>
              </w:rPr>
            </w:pPr>
            <w:r>
              <w:rPr>
                <w:rFonts w:hint="eastAsia" w:ascii="宋体" w:hAnsi="宋体" w:cs="宋体"/>
                <w:kern w:val="0"/>
                <w:sz w:val="20"/>
                <w:szCs w:val="20"/>
              </w:rPr>
              <w:t>5.1</w:t>
            </w:r>
          </w:p>
        </w:tc>
        <w:tc>
          <w:tcPr>
            <w:tcW w:w="5300" w:type="dxa"/>
            <w:tcBorders>
              <w:top w:val="nil"/>
              <w:left w:val="nil"/>
              <w:bottom w:val="single" w:color="auto" w:sz="8" w:space="0"/>
              <w:right w:val="single" w:color="auto" w:sz="8" w:space="0"/>
            </w:tcBorders>
            <w:shd w:val="clear" w:color="auto" w:fill="auto"/>
            <w:vAlign w:val="center"/>
          </w:tcPr>
          <w:p w14:paraId="7959C143">
            <w:pPr>
              <w:widowControl/>
              <w:jc w:val="left"/>
              <w:rPr>
                <w:rFonts w:ascii="宋体" w:hAnsi="宋体" w:cs="宋体"/>
                <w:kern w:val="0"/>
                <w:sz w:val="20"/>
                <w:szCs w:val="20"/>
              </w:rPr>
            </w:pPr>
            <w:r>
              <w:rPr>
                <w:rFonts w:hint="eastAsia" w:ascii="宋体" w:hAnsi="宋体" w:cs="宋体"/>
                <w:kern w:val="0"/>
                <w:sz w:val="20"/>
                <w:szCs w:val="20"/>
              </w:rPr>
              <w:t>公司有严格的产品市场流通记录控制程序，保证产品的可追溯性。</w:t>
            </w:r>
          </w:p>
        </w:tc>
        <w:tc>
          <w:tcPr>
            <w:tcW w:w="1580" w:type="dxa"/>
            <w:tcBorders>
              <w:top w:val="nil"/>
              <w:left w:val="nil"/>
              <w:bottom w:val="single" w:color="auto" w:sz="8" w:space="0"/>
              <w:right w:val="single" w:color="auto" w:sz="8" w:space="0"/>
            </w:tcBorders>
            <w:shd w:val="clear" w:color="auto" w:fill="auto"/>
            <w:vAlign w:val="center"/>
          </w:tcPr>
          <w:p w14:paraId="0D853E6E">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31D77E8B">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DCFEFD3">
        <w:tblPrEx>
          <w:tblCellMar>
            <w:top w:w="0" w:type="dxa"/>
            <w:left w:w="108" w:type="dxa"/>
            <w:bottom w:w="0" w:type="dxa"/>
            <w:right w:w="108" w:type="dxa"/>
          </w:tblCellMar>
        </w:tblPrEx>
        <w:trPr>
          <w:trHeight w:val="78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853A521">
            <w:pPr>
              <w:widowControl/>
              <w:jc w:val="center"/>
              <w:rPr>
                <w:rFonts w:ascii="宋体" w:hAnsi="宋体" w:cs="宋体"/>
                <w:kern w:val="0"/>
                <w:sz w:val="20"/>
                <w:szCs w:val="20"/>
              </w:rPr>
            </w:pPr>
            <w:r>
              <w:rPr>
                <w:rFonts w:hint="eastAsia" w:ascii="宋体" w:hAnsi="宋体" w:cs="宋体"/>
                <w:kern w:val="0"/>
                <w:sz w:val="20"/>
                <w:szCs w:val="20"/>
              </w:rPr>
              <w:t>5.2</w:t>
            </w:r>
          </w:p>
        </w:tc>
        <w:tc>
          <w:tcPr>
            <w:tcW w:w="5300" w:type="dxa"/>
            <w:tcBorders>
              <w:top w:val="nil"/>
              <w:left w:val="nil"/>
              <w:bottom w:val="single" w:color="auto" w:sz="8" w:space="0"/>
              <w:right w:val="single" w:color="auto" w:sz="8" w:space="0"/>
            </w:tcBorders>
            <w:shd w:val="clear" w:color="auto" w:fill="auto"/>
            <w:vAlign w:val="center"/>
          </w:tcPr>
          <w:p w14:paraId="11C3748C">
            <w:pPr>
              <w:widowControl/>
              <w:jc w:val="left"/>
              <w:rPr>
                <w:rFonts w:ascii="宋体" w:hAnsi="宋体" w:cs="宋体"/>
                <w:kern w:val="0"/>
                <w:sz w:val="20"/>
                <w:szCs w:val="20"/>
              </w:rPr>
            </w:pPr>
            <w:r>
              <w:rPr>
                <w:rFonts w:hint="eastAsia" w:ascii="宋体" w:hAnsi="宋体" w:cs="宋体"/>
                <w:kern w:val="0"/>
                <w:sz w:val="20"/>
                <w:szCs w:val="20"/>
              </w:rPr>
              <w:t>保证序列号（条形码）标识的唯一性，有严格的序列号（条形码）跟踪制度，产品出厂检验资料至少保存10年</w:t>
            </w:r>
            <w:r>
              <w:rPr>
                <w:rFonts w:hint="eastAsia" w:ascii="宋体" w:hAnsi="宋体" w:cs="宋体"/>
                <w:kern w:val="0"/>
                <w:sz w:val="20"/>
                <w:szCs w:val="20"/>
              </w:rPr>
              <w:t>，随时备查。</w:t>
            </w:r>
          </w:p>
        </w:tc>
        <w:tc>
          <w:tcPr>
            <w:tcW w:w="1580" w:type="dxa"/>
            <w:tcBorders>
              <w:top w:val="nil"/>
              <w:left w:val="nil"/>
              <w:bottom w:val="single" w:color="auto" w:sz="8" w:space="0"/>
              <w:right w:val="single" w:color="auto" w:sz="8" w:space="0"/>
            </w:tcBorders>
            <w:shd w:val="clear" w:color="auto" w:fill="auto"/>
            <w:vAlign w:val="center"/>
          </w:tcPr>
          <w:p w14:paraId="0114B190">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57B2F550">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3E8B9CB9">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5A57B8C3">
            <w:pPr>
              <w:widowControl/>
              <w:jc w:val="center"/>
              <w:rPr>
                <w:rFonts w:ascii="宋体" w:hAnsi="宋体" w:cs="宋体"/>
                <w:kern w:val="0"/>
                <w:sz w:val="20"/>
                <w:szCs w:val="20"/>
              </w:rPr>
            </w:pPr>
            <w:r>
              <w:rPr>
                <w:rFonts w:hint="eastAsia" w:ascii="宋体" w:hAnsi="宋体" w:cs="宋体"/>
                <w:kern w:val="0"/>
                <w:sz w:val="20"/>
                <w:szCs w:val="20"/>
              </w:rPr>
              <w:t>5.3</w:t>
            </w:r>
          </w:p>
        </w:tc>
        <w:tc>
          <w:tcPr>
            <w:tcW w:w="5300" w:type="dxa"/>
            <w:tcBorders>
              <w:top w:val="nil"/>
              <w:left w:val="nil"/>
              <w:bottom w:val="single" w:color="auto" w:sz="8" w:space="0"/>
              <w:right w:val="single" w:color="auto" w:sz="8" w:space="0"/>
            </w:tcBorders>
            <w:shd w:val="clear" w:color="auto" w:fill="auto"/>
            <w:vAlign w:val="center"/>
          </w:tcPr>
          <w:p w14:paraId="6F15BB92">
            <w:pPr>
              <w:widowControl/>
              <w:jc w:val="left"/>
              <w:rPr>
                <w:rFonts w:ascii="宋体" w:hAnsi="宋体" w:cs="宋体"/>
                <w:kern w:val="0"/>
                <w:sz w:val="20"/>
                <w:szCs w:val="20"/>
              </w:rPr>
            </w:pPr>
            <w:r>
              <w:rPr>
                <w:rFonts w:hint="eastAsia" w:ascii="宋体" w:hAnsi="宋体" w:cs="宋体"/>
                <w:kern w:val="0"/>
                <w:sz w:val="20"/>
                <w:szCs w:val="20"/>
              </w:rPr>
              <w:t>每份产品的使用都建立术后质量跟踪档案，详细填写手术记录，随时被查。</w:t>
            </w:r>
          </w:p>
        </w:tc>
        <w:tc>
          <w:tcPr>
            <w:tcW w:w="1580" w:type="dxa"/>
            <w:tcBorders>
              <w:top w:val="nil"/>
              <w:left w:val="nil"/>
              <w:bottom w:val="single" w:color="auto" w:sz="8" w:space="0"/>
              <w:right w:val="single" w:color="auto" w:sz="8" w:space="0"/>
            </w:tcBorders>
            <w:shd w:val="clear" w:color="auto" w:fill="auto"/>
            <w:vAlign w:val="center"/>
          </w:tcPr>
          <w:p w14:paraId="78E6F17D">
            <w:pPr>
              <w:widowControl/>
              <w:jc w:val="center"/>
              <w:rPr>
                <w:rFonts w:ascii="宋体" w:hAnsi="宋体" w:cs="宋体"/>
                <w:b/>
                <w:bCs/>
                <w:kern w:val="0"/>
                <w:sz w:val="20"/>
                <w:szCs w:val="20"/>
              </w:rPr>
            </w:pPr>
            <w:bookmarkStart w:id="0" w:name="_GoBack"/>
            <w:bookmarkEnd w:id="0"/>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6201E876">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2CEAEC5F">
        <w:tblPrEx>
          <w:tblCellMar>
            <w:top w:w="0" w:type="dxa"/>
            <w:left w:w="108" w:type="dxa"/>
            <w:bottom w:w="0" w:type="dxa"/>
            <w:right w:w="108" w:type="dxa"/>
          </w:tblCellMar>
        </w:tblPrEx>
        <w:trPr>
          <w:trHeight w:val="362"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73C7961F">
            <w:pPr>
              <w:widowControl/>
              <w:jc w:val="center"/>
              <w:rPr>
                <w:rFonts w:ascii="宋体" w:hAnsi="宋体" w:cs="宋体"/>
                <w:b/>
                <w:bCs/>
                <w:kern w:val="0"/>
                <w:sz w:val="20"/>
                <w:szCs w:val="20"/>
              </w:rPr>
            </w:pPr>
            <w:r>
              <w:rPr>
                <w:rFonts w:hint="eastAsia" w:ascii="宋体" w:hAnsi="宋体" w:cs="宋体"/>
                <w:b/>
                <w:bCs/>
                <w:kern w:val="0"/>
                <w:sz w:val="20"/>
                <w:szCs w:val="20"/>
              </w:rPr>
              <w:t>6</w:t>
            </w:r>
          </w:p>
        </w:tc>
        <w:tc>
          <w:tcPr>
            <w:tcW w:w="8700" w:type="dxa"/>
            <w:gridSpan w:val="3"/>
            <w:tcBorders>
              <w:top w:val="nil"/>
              <w:left w:val="nil"/>
              <w:bottom w:val="single" w:color="auto" w:sz="8" w:space="0"/>
              <w:right w:val="single" w:color="auto" w:sz="8" w:space="0"/>
            </w:tcBorders>
            <w:shd w:val="clear" w:color="auto" w:fill="auto"/>
            <w:vAlign w:val="center"/>
          </w:tcPr>
          <w:p w14:paraId="1CE78E33">
            <w:pPr>
              <w:widowControl/>
              <w:jc w:val="left"/>
              <w:rPr>
                <w:rFonts w:ascii="宋体" w:hAnsi="宋体" w:cs="宋体"/>
                <w:b/>
                <w:bCs/>
                <w:kern w:val="0"/>
                <w:sz w:val="20"/>
                <w:szCs w:val="20"/>
              </w:rPr>
            </w:pPr>
            <w:r>
              <w:rPr>
                <w:rFonts w:hint="eastAsia" w:ascii="宋体" w:hAnsi="宋体" w:cs="宋体"/>
                <w:b/>
                <w:bCs/>
                <w:kern w:val="0"/>
                <w:sz w:val="20"/>
                <w:szCs w:val="20"/>
              </w:rPr>
              <w:t>不良反应：</w:t>
            </w:r>
          </w:p>
        </w:tc>
      </w:tr>
      <w:tr w14:paraId="0737A56F">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6E86942">
            <w:pPr>
              <w:widowControl/>
              <w:jc w:val="center"/>
              <w:rPr>
                <w:rFonts w:ascii="宋体" w:hAnsi="宋体" w:cs="宋体"/>
                <w:kern w:val="0"/>
                <w:sz w:val="20"/>
                <w:szCs w:val="20"/>
              </w:rPr>
            </w:pPr>
            <w:r>
              <w:rPr>
                <w:rFonts w:hint="eastAsia" w:ascii="宋体" w:hAnsi="宋体" w:cs="宋体"/>
                <w:kern w:val="0"/>
                <w:sz w:val="20"/>
                <w:szCs w:val="20"/>
              </w:rPr>
              <w:t>6.1</w:t>
            </w:r>
          </w:p>
        </w:tc>
        <w:tc>
          <w:tcPr>
            <w:tcW w:w="5300" w:type="dxa"/>
            <w:tcBorders>
              <w:top w:val="nil"/>
              <w:left w:val="nil"/>
              <w:bottom w:val="single" w:color="auto" w:sz="8" w:space="0"/>
              <w:right w:val="single" w:color="auto" w:sz="8" w:space="0"/>
            </w:tcBorders>
            <w:shd w:val="clear" w:color="auto" w:fill="auto"/>
            <w:vAlign w:val="center"/>
          </w:tcPr>
          <w:p w14:paraId="1E48676F">
            <w:pPr>
              <w:widowControl/>
              <w:jc w:val="left"/>
              <w:rPr>
                <w:rFonts w:ascii="宋体" w:hAnsi="宋体" w:cs="宋体"/>
                <w:kern w:val="0"/>
                <w:sz w:val="20"/>
                <w:szCs w:val="20"/>
              </w:rPr>
            </w:pPr>
            <w:r>
              <w:rPr>
                <w:rFonts w:hint="eastAsia" w:ascii="宋体" w:hAnsi="宋体" w:cs="宋体"/>
                <w:kern w:val="0"/>
                <w:sz w:val="20"/>
                <w:szCs w:val="20"/>
              </w:rPr>
              <w:t>一旦发生质量问题，公司保证接到通知后半小时内响应，两小时内赶到现场。</w:t>
            </w:r>
          </w:p>
        </w:tc>
        <w:tc>
          <w:tcPr>
            <w:tcW w:w="1580" w:type="dxa"/>
            <w:tcBorders>
              <w:top w:val="nil"/>
              <w:left w:val="nil"/>
              <w:bottom w:val="single" w:color="auto" w:sz="8" w:space="0"/>
              <w:right w:val="single" w:color="auto" w:sz="8" w:space="0"/>
            </w:tcBorders>
            <w:shd w:val="clear" w:color="auto" w:fill="auto"/>
            <w:vAlign w:val="center"/>
          </w:tcPr>
          <w:p w14:paraId="7F209F4A">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29412BC5">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581AE53">
        <w:tblPrEx>
          <w:tblCellMar>
            <w:top w:w="0" w:type="dxa"/>
            <w:left w:w="108" w:type="dxa"/>
            <w:bottom w:w="0" w:type="dxa"/>
            <w:right w:w="108" w:type="dxa"/>
          </w:tblCellMar>
        </w:tblPrEx>
        <w:trPr>
          <w:trHeight w:val="84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B7BC7F4">
            <w:pPr>
              <w:widowControl/>
              <w:jc w:val="center"/>
              <w:rPr>
                <w:rFonts w:ascii="宋体" w:hAnsi="宋体" w:cs="宋体"/>
                <w:kern w:val="0"/>
                <w:sz w:val="20"/>
                <w:szCs w:val="20"/>
              </w:rPr>
            </w:pPr>
            <w:r>
              <w:rPr>
                <w:rFonts w:hint="eastAsia" w:ascii="宋体" w:hAnsi="宋体" w:cs="宋体"/>
                <w:kern w:val="0"/>
                <w:sz w:val="20"/>
                <w:szCs w:val="20"/>
              </w:rPr>
              <w:t>6.2</w:t>
            </w:r>
          </w:p>
        </w:tc>
        <w:tc>
          <w:tcPr>
            <w:tcW w:w="5300" w:type="dxa"/>
            <w:tcBorders>
              <w:top w:val="nil"/>
              <w:left w:val="nil"/>
              <w:bottom w:val="single" w:color="auto" w:sz="8" w:space="0"/>
              <w:right w:val="single" w:color="auto" w:sz="8" w:space="0"/>
            </w:tcBorders>
            <w:shd w:val="clear" w:color="auto" w:fill="auto"/>
            <w:vAlign w:val="center"/>
          </w:tcPr>
          <w:p w14:paraId="5F1DC78C">
            <w:pPr>
              <w:widowControl/>
              <w:jc w:val="left"/>
              <w:rPr>
                <w:rFonts w:ascii="宋体" w:hAnsi="宋体" w:cs="宋体"/>
                <w:kern w:val="0"/>
                <w:sz w:val="20"/>
                <w:szCs w:val="20"/>
              </w:rPr>
            </w:pPr>
            <w:r>
              <w:rPr>
                <w:rFonts w:hint="eastAsia" w:ascii="宋体" w:hAnsi="宋体" w:cs="宋体"/>
                <w:kern w:val="0"/>
                <w:sz w:val="20"/>
                <w:szCs w:val="20"/>
              </w:rPr>
              <w:t>在临床使用中若出现不良医疗反应现象，经国家相关质量监察部门鉴定后，确实属于产品质量问题的，公司承担全部责任。</w:t>
            </w:r>
          </w:p>
        </w:tc>
        <w:tc>
          <w:tcPr>
            <w:tcW w:w="1580" w:type="dxa"/>
            <w:tcBorders>
              <w:top w:val="nil"/>
              <w:left w:val="nil"/>
              <w:bottom w:val="single" w:color="auto" w:sz="8" w:space="0"/>
              <w:right w:val="single" w:color="auto" w:sz="8" w:space="0"/>
            </w:tcBorders>
            <w:shd w:val="clear" w:color="auto" w:fill="auto"/>
            <w:vAlign w:val="center"/>
          </w:tcPr>
          <w:p w14:paraId="723DDB07">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2CB4BB9E">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5BBE8E5B">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AB706D9">
            <w:pPr>
              <w:widowControl/>
              <w:jc w:val="center"/>
              <w:rPr>
                <w:rFonts w:ascii="宋体" w:hAnsi="宋体" w:cs="宋体"/>
                <w:kern w:val="0"/>
                <w:sz w:val="20"/>
                <w:szCs w:val="20"/>
              </w:rPr>
            </w:pPr>
            <w:r>
              <w:rPr>
                <w:rFonts w:hint="eastAsia" w:ascii="宋体" w:hAnsi="宋体" w:cs="宋体"/>
                <w:kern w:val="0"/>
                <w:sz w:val="20"/>
                <w:szCs w:val="20"/>
              </w:rPr>
              <w:t>6.3</w:t>
            </w:r>
          </w:p>
        </w:tc>
        <w:tc>
          <w:tcPr>
            <w:tcW w:w="5300" w:type="dxa"/>
            <w:tcBorders>
              <w:top w:val="nil"/>
              <w:left w:val="nil"/>
              <w:bottom w:val="single" w:color="auto" w:sz="8" w:space="0"/>
              <w:right w:val="single" w:color="auto" w:sz="8" w:space="0"/>
            </w:tcBorders>
            <w:shd w:val="clear" w:color="auto" w:fill="auto"/>
            <w:vAlign w:val="center"/>
          </w:tcPr>
          <w:p w14:paraId="74FC0F90">
            <w:pPr>
              <w:widowControl/>
              <w:jc w:val="left"/>
              <w:rPr>
                <w:rFonts w:ascii="宋体" w:hAnsi="宋体" w:cs="宋体"/>
                <w:kern w:val="0"/>
                <w:sz w:val="20"/>
                <w:szCs w:val="20"/>
              </w:rPr>
            </w:pPr>
            <w:r>
              <w:rPr>
                <w:rFonts w:hint="eastAsia" w:ascii="宋体" w:hAnsi="宋体" w:cs="宋体"/>
                <w:kern w:val="0"/>
                <w:sz w:val="20"/>
                <w:szCs w:val="20"/>
              </w:rPr>
              <w:t>若医院发生与产品相关的事故，不论是否与产品质量有关，公司必须积极参与医院事故的处理。</w:t>
            </w:r>
          </w:p>
        </w:tc>
        <w:tc>
          <w:tcPr>
            <w:tcW w:w="1580" w:type="dxa"/>
            <w:tcBorders>
              <w:top w:val="nil"/>
              <w:left w:val="nil"/>
              <w:bottom w:val="single" w:color="auto" w:sz="8" w:space="0"/>
              <w:right w:val="single" w:color="auto" w:sz="8" w:space="0"/>
            </w:tcBorders>
            <w:shd w:val="clear" w:color="auto" w:fill="auto"/>
            <w:vAlign w:val="center"/>
          </w:tcPr>
          <w:p w14:paraId="0A0DFC13">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4BED5F13">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5C83B5D1">
        <w:tblPrEx>
          <w:tblCellMar>
            <w:top w:w="0" w:type="dxa"/>
            <w:left w:w="108" w:type="dxa"/>
            <w:bottom w:w="0" w:type="dxa"/>
            <w:right w:w="108" w:type="dxa"/>
          </w:tblCellMar>
        </w:tblPrEx>
        <w:trPr>
          <w:trHeight w:val="3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F036852">
            <w:pPr>
              <w:widowControl/>
              <w:jc w:val="center"/>
              <w:rPr>
                <w:rFonts w:ascii="宋体" w:hAnsi="宋体" w:cs="宋体"/>
                <w:b/>
                <w:bCs/>
                <w:kern w:val="0"/>
                <w:sz w:val="20"/>
                <w:szCs w:val="20"/>
              </w:rPr>
            </w:pPr>
            <w:r>
              <w:rPr>
                <w:rFonts w:hint="eastAsia" w:ascii="宋体" w:hAnsi="宋体" w:cs="宋体"/>
                <w:b/>
                <w:bCs/>
                <w:kern w:val="0"/>
                <w:sz w:val="20"/>
                <w:szCs w:val="20"/>
              </w:rPr>
              <w:t>7</w:t>
            </w:r>
          </w:p>
        </w:tc>
        <w:tc>
          <w:tcPr>
            <w:tcW w:w="8700" w:type="dxa"/>
            <w:gridSpan w:val="3"/>
            <w:tcBorders>
              <w:top w:val="nil"/>
              <w:left w:val="nil"/>
              <w:bottom w:val="single" w:color="auto" w:sz="8" w:space="0"/>
              <w:right w:val="single" w:color="auto" w:sz="8" w:space="0"/>
            </w:tcBorders>
            <w:shd w:val="clear" w:color="auto" w:fill="auto"/>
            <w:vAlign w:val="center"/>
          </w:tcPr>
          <w:p w14:paraId="1F1AD3EC">
            <w:pPr>
              <w:widowControl/>
              <w:jc w:val="left"/>
              <w:rPr>
                <w:rFonts w:ascii="宋体" w:hAnsi="宋体" w:cs="宋体"/>
                <w:b/>
                <w:bCs/>
                <w:kern w:val="0"/>
                <w:sz w:val="20"/>
                <w:szCs w:val="20"/>
              </w:rPr>
            </w:pPr>
            <w:r>
              <w:rPr>
                <w:rFonts w:hint="eastAsia" w:ascii="宋体" w:hAnsi="宋体" w:cs="宋体"/>
                <w:b/>
                <w:bCs/>
                <w:kern w:val="0"/>
                <w:sz w:val="20"/>
                <w:szCs w:val="20"/>
              </w:rPr>
              <w:t>质量保证：</w:t>
            </w:r>
          </w:p>
        </w:tc>
      </w:tr>
      <w:tr w14:paraId="6166D82A">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AAF6D90">
            <w:pPr>
              <w:widowControl/>
              <w:jc w:val="center"/>
              <w:rPr>
                <w:rFonts w:ascii="宋体" w:hAnsi="宋体" w:cs="宋体"/>
                <w:kern w:val="0"/>
                <w:sz w:val="20"/>
                <w:szCs w:val="20"/>
              </w:rPr>
            </w:pPr>
            <w:r>
              <w:rPr>
                <w:rFonts w:hint="eastAsia" w:ascii="宋体" w:hAnsi="宋体" w:cs="宋体"/>
                <w:kern w:val="0"/>
                <w:sz w:val="20"/>
                <w:szCs w:val="20"/>
              </w:rPr>
              <w:t>7.1</w:t>
            </w:r>
          </w:p>
        </w:tc>
        <w:tc>
          <w:tcPr>
            <w:tcW w:w="5300" w:type="dxa"/>
            <w:tcBorders>
              <w:top w:val="nil"/>
              <w:left w:val="nil"/>
              <w:bottom w:val="single" w:color="auto" w:sz="8" w:space="0"/>
              <w:right w:val="single" w:color="auto" w:sz="8" w:space="0"/>
            </w:tcBorders>
            <w:shd w:val="clear" w:color="auto" w:fill="auto"/>
            <w:vAlign w:val="center"/>
          </w:tcPr>
          <w:p w14:paraId="0CE30E45">
            <w:pPr>
              <w:widowControl/>
              <w:jc w:val="left"/>
              <w:rPr>
                <w:rFonts w:ascii="宋体" w:hAnsi="宋体" w:cs="宋体"/>
                <w:kern w:val="0"/>
                <w:sz w:val="20"/>
                <w:szCs w:val="20"/>
              </w:rPr>
            </w:pPr>
            <w:r>
              <w:rPr>
                <w:rFonts w:hint="eastAsia" w:ascii="宋体" w:hAnsi="宋体" w:cs="宋体"/>
                <w:kern w:val="0"/>
                <w:sz w:val="20"/>
                <w:szCs w:val="20"/>
              </w:rPr>
              <w:t>厂家质量承诺书。具有合法的医用耗材及配送资格的企业，严格按照采购方的要求，及时供货并提供全面完善的服务</w:t>
            </w:r>
          </w:p>
        </w:tc>
        <w:tc>
          <w:tcPr>
            <w:tcW w:w="1580" w:type="dxa"/>
            <w:tcBorders>
              <w:top w:val="nil"/>
              <w:left w:val="nil"/>
              <w:bottom w:val="single" w:color="auto" w:sz="8" w:space="0"/>
              <w:right w:val="single" w:color="auto" w:sz="8" w:space="0"/>
            </w:tcBorders>
            <w:shd w:val="clear" w:color="auto" w:fill="auto"/>
            <w:vAlign w:val="center"/>
          </w:tcPr>
          <w:p w14:paraId="1374C2EA">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14481D6F">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20DA426A">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54BE50D">
            <w:pPr>
              <w:widowControl/>
              <w:jc w:val="center"/>
              <w:rPr>
                <w:rFonts w:ascii="宋体" w:hAnsi="宋体" w:cs="宋体"/>
                <w:kern w:val="0"/>
                <w:sz w:val="20"/>
                <w:szCs w:val="20"/>
              </w:rPr>
            </w:pPr>
            <w:r>
              <w:rPr>
                <w:rFonts w:hint="eastAsia" w:ascii="宋体" w:hAnsi="宋体" w:cs="宋体"/>
                <w:kern w:val="0"/>
                <w:sz w:val="20"/>
                <w:szCs w:val="20"/>
              </w:rPr>
              <w:t>7.2</w:t>
            </w:r>
          </w:p>
        </w:tc>
        <w:tc>
          <w:tcPr>
            <w:tcW w:w="5300" w:type="dxa"/>
            <w:tcBorders>
              <w:top w:val="nil"/>
              <w:left w:val="nil"/>
              <w:bottom w:val="single" w:color="auto" w:sz="8" w:space="0"/>
              <w:right w:val="single" w:color="auto" w:sz="8" w:space="0"/>
            </w:tcBorders>
            <w:shd w:val="clear" w:color="auto" w:fill="auto"/>
            <w:vAlign w:val="center"/>
          </w:tcPr>
          <w:p w14:paraId="54E6404C">
            <w:pPr>
              <w:widowControl/>
              <w:jc w:val="left"/>
              <w:rPr>
                <w:rFonts w:ascii="宋体" w:hAnsi="宋体" w:cs="宋体"/>
                <w:kern w:val="0"/>
                <w:sz w:val="20"/>
                <w:szCs w:val="20"/>
              </w:rPr>
            </w:pPr>
            <w:r>
              <w:rPr>
                <w:rFonts w:hint="eastAsia" w:ascii="宋体" w:hAnsi="宋体" w:cs="宋体"/>
                <w:kern w:val="0"/>
                <w:sz w:val="20"/>
                <w:szCs w:val="20"/>
              </w:rPr>
              <w:t>产品质量符合国家和国际承认的相应标准。</w:t>
            </w:r>
          </w:p>
        </w:tc>
        <w:tc>
          <w:tcPr>
            <w:tcW w:w="1580" w:type="dxa"/>
            <w:tcBorders>
              <w:top w:val="nil"/>
              <w:left w:val="nil"/>
              <w:bottom w:val="single" w:color="auto" w:sz="8" w:space="0"/>
              <w:right w:val="single" w:color="auto" w:sz="8" w:space="0"/>
            </w:tcBorders>
            <w:shd w:val="clear" w:color="auto" w:fill="auto"/>
            <w:vAlign w:val="center"/>
          </w:tcPr>
          <w:p w14:paraId="34D54F4A">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417C3E07">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7ED5D857">
        <w:tblPrEx>
          <w:tblCellMar>
            <w:top w:w="0" w:type="dxa"/>
            <w:left w:w="108" w:type="dxa"/>
            <w:bottom w:w="0" w:type="dxa"/>
            <w:right w:w="108" w:type="dxa"/>
          </w:tblCellMar>
        </w:tblPrEx>
        <w:trPr>
          <w:trHeight w:val="433"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91F1C18">
            <w:pPr>
              <w:widowControl/>
              <w:jc w:val="center"/>
              <w:rPr>
                <w:rFonts w:ascii="宋体" w:hAnsi="宋体" w:cs="宋体"/>
                <w:kern w:val="0"/>
                <w:sz w:val="20"/>
                <w:szCs w:val="20"/>
              </w:rPr>
            </w:pPr>
            <w:r>
              <w:rPr>
                <w:rFonts w:hint="eastAsia" w:ascii="宋体" w:hAnsi="宋体" w:cs="宋体"/>
                <w:kern w:val="0"/>
                <w:sz w:val="20"/>
                <w:szCs w:val="20"/>
              </w:rPr>
              <w:t>7.3</w:t>
            </w:r>
          </w:p>
        </w:tc>
        <w:tc>
          <w:tcPr>
            <w:tcW w:w="5300" w:type="dxa"/>
            <w:tcBorders>
              <w:top w:val="nil"/>
              <w:left w:val="nil"/>
              <w:bottom w:val="single" w:color="auto" w:sz="8" w:space="0"/>
              <w:right w:val="single" w:color="auto" w:sz="8" w:space="0"/>
            </w:tcBorders>
            <w:shd w:val="clear" w:color="auto" w:fill="auto"/>
            <w:vAlign w:val="center"/>
          </w:tcPr>
          <w:p w14:paraId="3673CE46">
            <w:pPr>
              <w:widowControl/>
              <w:jc w:val="left"/>
              <w:rPr>
                <w:rFonts w:ascii="宋体" w:hAnsi="宋体" w:cs="宋体"/>
                <w:kern w:val="0"/>
                <w:sz w:val="20"/>
                <w:szCs w:val="20"/>
              </w:rPr>
            </w:pPr>
            <w:r>
              <w:rPr>
                <w:rFonts w:hint="eastAsia" w:ascii="宋体" w:hAnsi="宋体" w:cs="宋体"/>
                <w:kern w:val="0"/>
                <w:sz w:val="20"/>
                <w:szCs w:val="20"/>
              </w:rPr>
              <w:t>产品的包装及相关资料证件严格符合医院要求。</w:t>
            </w:r>
          </w:p>
        </w:tc>
        <w:tc>
          <w:tcPr>
            <w:tcW w:w="1580" w:type="dxa"/>
            <w:tcBorders>
              <w:top w:val="nil"/>
              <w:left w:val="nil"/>
              <w:bottom w:val="single" w:color="auto" w:sz="8" w:space="0"/>
              <w:right w:val="single" w:color="auto" w:sz="8" w:space="0"/>
            </w:tcBorders>
            <w:shd w:val="clear" w:color="auto" w:fill="auto"/>
            <w:vAlign w:val="center"/>
          </w:tcPr>
          <w:p w14:paraId="7E448EDA">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030EFBE7">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3CF8CAE9">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573ACAE1">
            <w:pPr>
              <w:widowControl/>
              <w:jc w:val="center"/>
              <w:rPr>
                <w:rFonts w:ascii="宋体" w:hAnsi="宋体" w:cs="宋体"/>
                <w:kern w:val="0"/>
                <w:sz w:val="20"/>
                <w:szCs w:val="20"/>
              </w:rPr>
            </w:pPr>
            <w:r>
              <w:rPr>
                <w:rFonts w:hint="eastAsia" w:ascii="宋体" w:hAnsi="宋体" w:cs="宋体"/>
                <w:kern w:val="0"/>
                <w:sz w:val="20"/>
                <w:szCs w:val="20"/>
              </w:rPr>
              <w:t>7.4</w:t>
            </w:r>
          </w:p>
        </w:tc>
        <w:tc>
          <w:tcPr>
            <w:tcW w:w="5300" w:type="dxa"/>
            <w:tcBorders>
              <w:top w:val="nil"/>
              <w:left w:val="nil"/>
              <w:bottom w:val="single" w:color="auto" w:sz="8" w:space="0"/>
              <w:right w:val="single" w:color="auto" w:sz="8" w:space="0"/>
            </w:tcBorders>
            <w:shd w:val="clear" w:color="auto" w:fill="auto"/>
            <w:vAlign w:val="center"/>
          </w:tcPr>
          <w:p w14:paraId="6310E8C7">
            <w:pPr>
              <w:widowControl/>
              <w:jc w:val="left"/>
              <w:rPr>
                <w:rFonts w:ascii="宋体" w:hAnsi="宋体" w:cs="宋体"/>
                <w:kern w:val="0"/>
                <w:sz w:val="20"/>
                <w:szCs w:val="20"/>
              </w:rPr>
            </w:pPr>
            <w:r>
              <w:rPr>
                <w:rFonts w:hint="eastAsia" w:ascii="宋体" w:hAnsi="宋体" w:cs="宋体"/>
                <w:kern w:val="0"/>
                <w:sz w:val="20"/>
                <w:szCs w:val="20"/>
              </w:rPr>
              <w:t>保证每次手术都提供原厂完整配套的操作仪器，保手术顺利进行。</w:t>
            </w:r>
          </w:p>
        </w:tc>
        <w:tc>
          <w:tcPr>
            <w:tcW w:w="1580" w:type="dxa"/>
            <w:tcBorders>
              <w:top w:val="nil"/>
              <w:left w:val="nil"/>
              <w:bottom w:val="single" w:color="auto" w:sz="8" w:space="0"/>
              <w:right w:val="single" w:color="auto" w:sz="8" w:space="0"/>
            </w:tcBorders>
            <w:shd w:val="clear" w:color="auto" w:fill="auto"/>
            <w:vAlign w:val="center"/>
          </w:tcPr>
          <w:p w14:paraId="1319E7D9">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2AEB7A3D">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060F91B">
        <w:tblPrEx>
          <w:tblCellMar>
            <w:top w:w="0" w:type="dxa"/>
            <w:left w:w="108" w:type="dxa"/>
            <w:bottom w:w="0" w:type="dxa"/>
            <w:right w:w="108" w:type="dxa"/>
          </w:tblCellMar>
        </w:tblPrEx>
        <w:trPr>
          <w:trHeight w:val="38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D9AEA06">
            <w:pPr>
              <w:widowControl/>
              <w:jc w:val="center"/>
              <w:rPr>
                <w:rFonts w:ascii="宋体" w:hAnsi="宋体" w:cs="宋体"/>
                <w:kern w:val="0"/>
                <w:sz w:val="20"/>
                <w:szCs w:val="20"/>
              </w:rPr>
            </w:pPr>
            <w:r>
              <w:rPr>
                <w:rFonts w:hint="eastAsia" w:ascii="宋体" w:hAnsi="宋体" w:cs="宋体"/>
                <w:kern w:val="0"/>
                <w:sz w:val="20"/>
                <w:szCs w:val="20"/>
              </w:rPr>
              <w:t>7.5</w:t>
            </w:r>
          </w:p>
        </w:tc>
        <w:tc>
          <w:tcPr>
            <w:tcW w:w="5300" w:type="dxa"/>
            <w:tcBorders>
              <w:top w:val="nil"/>
              <w:left w:val="nil"/>
              <w:bottom w:val="single" w:color="auto" w:sz="8" w:space="0"/>
              <w:right w:val="single" w:color="auto" w:sz="8" w:space="0"/>
            </w:tcBorders>
            <w:shd w:val="clear" w:color="auto" w:fill="auto"/>
            <w:vAlign w:val="center"/>
          </w:tcPr>
          <w:p w14:paraId="48937005">
            <w:pPr>
              <w:widowControl/>
              <w:jc w:val="left"/>
              <w:rPr>
                <w:rFonts w:ascii="宋体" w:hAnsi="宋体" w:cs="宋体"/>
                <w:kern w:val="0"/>
                <w:sz w:val="20"/>
                <w:szCs w:val="20"/>
              </w:rPr>
            </w:pPr>
            <w:r>
              <w:rPr>
                <w:rFonts w:hint="eastAsia" w:ascii="宋体" w:hAnsi="宋体" w:cs="宋体"/>
                <w:kern w:val="0"/>
                <w:sz w:val="20"/>
                <w:szCs w:val="20"/>
              </w:rPr>
              <w:t>保证产品的严格消毒灭菌，感染。</w:t>
            </w:r>
          </w:p>
        </w:tc>
        <w:tc>
          <w:tcPr>
            <w:tcW w:w="1580" w:type="dxa"/>
            <w:tcBorders>
              <w:top w:val="nil"/>
              <w:left w:val="nil"/>
              <w:bottom w:val="single" w:color="auto" w:sz="8" w:space="0"/>
              <w:right w:val="single" w:color="auto" w:sz="8" w:space="0"/>
            </w:tcBorders>
            <w:shd w:val="clear" w:color="auto" w:fill="auto"/>
            <w:vAlign w:val="center"/>
          </w:tcPr>
          <w:p w14:paraId="0B1762CF">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4C1A9313">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65FA559C">
        <w:tblPrEx>
          <w:tblCellMar>
            <w:top w:w="0" w:type="dxa"/>
            <w:left w:w="108" w:type="dxa"/>
            <w:bottom w:w="0" w:type="dxa"/>
            <w:right w:w="108" w:type="dxa"/>
          </w:tblCellMar>
        </w:tblPrEx>
        <w:trPr>
          <w:trHeight w:val="367"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F570DA0">
            <w:pPr>
              <w:widowControl/>
              <w:jc w:val="center"/>
              <w:rPr>
                <w:rFonts w:ascii="宋体" w:hAnsi="宋体" w:cs="宋体"/>
                <w:b/>
                <w:bCs/>
                <w:kern w:val="0"/>
                <w:sz w:val="20"/>
                <w:szCs w:val="20"/>
              </w:rPr>
            </w:pPr>
            <w:r>
              <w:rPr>
                <w:rFonts w:hint="eastAsia" w:ascii="宋体" w:hAnsi="宋体" w:cs="宋体"/>
                <w:b/>
                <w:bCs/>
                <w:kern w:val="0"/>
                <w:sz w:val="20"/>
                <w:szCs w:val="20"/>
              </w:rPr>
              <w:t>8</w:t>
            </w:r>
          </w:p>
        </w:tc>
        <w:tc>
          <w:tcPr>
            <w:tcW w:w="8700" w:type="dxa"/>
            <w:gridSpan w:val="3"/>
            <w:tcBorders>
              <w:top w:val="nil"/>
              <w:left w:val="nil"/>
              <w:bottom w:val="single" w:color="auto" w:sz="8" w:space="0"/>
              <w:right w:val="single" w:color="auto" w:sz="8" w:space="0"/>
            </w:tcBorders>
            <w:shd w:val="clear" w:color="auto" w:fill="auto"/>
            <w:vAlign w:val="center"/>
          </w:tcPr>
          <w:p w14:paraId="6527DA47">
            <w:pPr>
              <w:widowControl/>
              <w:jc w:val="left"/>
              <w:rPr>
                <w:rFonts w:ascii="宋体" w:hAnsi="宋体" w:cs="宋体"/>
                <w:b/>
                <w:bCs/>
                <w:kern w:val="0"/>
                <w:sz w:val="20"/>
                <w:szCs w:val="20"/>
              </w:rPr>
            </w:pPr>
            <w:r>
              <w:rPr>
                <w:rFonts w:hint="eastAsia" w:ascii="宋体" w:hAnsi="宋体" w:cs="宋体"/>
                <w:b/>
                <w:bCs/>
                <w:kern w:val="0"/>
                <w:sz w:val="20"/>
                <w:szCs w:val="20"/>
              </w:rPr>
              <w:t>对意外事故的保险处理：</w:t>
            </w:r>
          </w:p>
        </w:tc>
      </w:tr>
      <w:tr w14:paraId="277CB50E">
        <w:tblPrEx>
          <w:tblCellMar>
            <w:top w:w="0" w:type="dxa"/>
            <w:left w:w="108" w:type="dxa"/>
            <w:bottom w:w="0" w:type="dxa"/>
            <w:right w:w="108" w:type="dxa"/>
          </w:tblCellMar>
        </w:tblPrEx>
        <w:trPr>
          <w:trHeight w:val="451" w:hRule="atLeast"/>
        </w:trPr>
        <w:tc>
          <w:tcPr>
            <w:tcW w:w="760" w:type="dxa"/>
            <w:tcBorders>
              <w:top w:val="nil"/>
              <w:left w:val="single" w:color="auto" w:sz="8" w:space="0"/>
              <w:bottom w:val="single" w:color="auto" w:sz="4" w:space="0"/>
              <w:right w:val="single" w:color="auto" w:sz="8" w:space="0"/>
            </w:tcBorders>
            <w:shd w:val="clear" w:color="auto" w:fill="auto"/>
            <w:vAlign w:val="center"/>
          </w:tcPr>
          <w:p w14:paraId="5B8E62B1">
            <w:pPr>
              <w:widowControl/>
              <w:jc w:val="center"/>
              <w:rPr>
                <w:rFonts w:ascii="宋体" w:hAnsi="宋体" w:cs="宋体"/>
                <w:kern w:val="0"/>
                <w:sz w:val="20"/>
                <w:szCs w:val="20"/>
              </w:rPr>
            </w:pPr>
            <w:r>
              <w:rPr>
                <w:rFonts w:hint="eastAsia" w:ascii="宋体" w:hAnsi="宋体" w:cs="宋体"/>
                <w:kern w:val="0"/>
                <w:sz w:val="20"/>
                <w:szCs w:val="20"/>
              </w:rPr>
              <w:t>8.1</w:t>
            </w:r>
          </w:p>
        </w:tc>
        <w:tc>
          <w:tcPr>
            <w:tcW w:w="5300" w:type="dxa"/>
            <w:tcBorders>
              <w:top w:val="nil"/>
              <w:left w:val="nil"/>
              <w:bottom w:val="single" w:color="auto" w:sz="4" w:space="0"/>
              <w:right w:val="single" w:color="auto" w:sz="8" w:space="0"/>
            </w:tcBorders>
            <w:shd w:val="clear" w:color="auto" w:fill="auto"/>
            <w:vAlign w:val="center"/>
          </w:tcPr>
          <w:p w14:paraId="5ED1F037">
            <w:pPr>
              <w:widowControl/>
              <w:jc w:val="left"/>
              <w:rPr>
                <w:rFonts w:ascii="宋体" w:hAnsi="宋体" w:cs="宋体"/>
                <w:kern w:val="0"/>
                <w:sz w:val="20"/>
                <w:szCs w:val="20"/>
              </w:rPr>
            </w:pPr>
            <w:r>
              <w:rPr>
                <w:rFonts w:hint="eastAsia" w:ascii="宋体" w:hAnsi="宋体" w:cs="宋体"/>
                <w:kern w:val="0"/>
                <w:sz w:val="20"/>
                <w:szCs w:val="20"/>
              </w:rPr>
              <w:t>有相关的质量保险和赔付。</w:t>
            </w:r>
          </w:p>
        </w:tc>
        <w:tc>
          <w:tcPr>
            <w:tcW w:w="1580" w:type="dxa"/>
            <w:tcBorders>
              <w:top w:val="nil"/>
              <w:left w:val="nil"/>
              <w:bottom w:val="single" w:color="auto" w:sz="4" w:space="0"/>
              <w:right w:val="single" w:color="auto" w:sz="8" w:space="0"/>
            </w:tcBorders>
            <w:shd w:val="clear" w:color="auto" w:fill="auto"/>
            <w:vAlign w:val="center"/>
          </w:tcPr>
          <w:p w14:paraId="319F3160">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4" w:space="0"/>
              <w:right w:val="single" w:color="auto" w:sz="8" w:space="0"/>
            </w:tcBorders>
            <w:shd w:val="clear" w:color="auto" w:fill="auto"/>
            <w:vAlign w:val="center"/>
          </w:tcPr>
          <w:p w14:paraId="024D5B8C">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2C0665E3">
        <w:tblPrEx>
          <w:tblCellMar>
            <w:top w:w="0" w:type="dxa"/>
            <w:left w:w="108" w:type="dxa"/>
            <w:bottom w:w="0" w:type="dxa"/>
            <w:right w:w="108" w:type="dxa"/>
          </w:tblCellMar>
        </w:tblPrEx>
        <w:trPr>
          <w:trHeight w:val="345"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3B2332D5">
            <w:pPr>
              <w:widowControl/>
              <w:jc w:val="center"/>
              <w:rPr>
                <w:rFonts w:ascii="宋体" w:hAnsi="宋体" w:cs="宋体"/>
                <w:b/>
                <w:bCs/>
                <w:kern w:val="0"/>
                <w:sz w:val="20"/>
                <w:szCs w:val="20"/>
              </w:rPr>
            </w:pPr>
            <w:r>
              <w:rPr>
                <w:rFonts w:hint="eastAsia" w:ascii="宋体" w:hAnsi="宋体" w:cs="宋体"/>
                <w:b/>
                <w:bCs/>
                <w:kern w:val="0"/>
                <w:sz w:val="20"/>
                <w:szCs w:val="20"/>
              </w:rPr>
              <w:t>9</w:t>
            </w:r>
          </w:p>
        </w:tc>
        <w:tc>
          <w:tcPr>
            <w:tcW w:w="87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BEA40A6">
            <w:pPr>
              <w:widowControl/>
              <w:jc w:val="left"/>
              <w:rPr>
                <w:rFonts w:ascii="宋体" w:hAnsi="宋体" w:cs="宋体"/>
                <w:b/>
                <w:bCs/>
                <w:kern w:val="0"/>
                <w:sz w:val="20"/>
                <w:szCs w:val="20"/>
              </w:rPr>
            </w:pPr>
            <w:r>
              <w:rPr>
                <w:rFonts w:hint="eastAsia" w:ascii="宋体" w:hAnsi="宋体" w:cs="宋体"/>
                <w:b/>
                <w:bCs/>
                <w:kern w:val="0"/>
                <w:sz w:val="20"/>
                <w:szCs w:val="20"/>
              </w:rPr>
              <w:t>保证：</w:t>
            </w:r>
          </w:p>
        </w:tc>
      </w:tr>
      <w:tr w14:paraId="09908B9A">
        <w:tblPrEx>
          <w:tblCellMar>
            <w:top w:w="0" w:type="dxa"/>
            <w:left w:w="108" w:type="dxa"/>
            <w:bottom w:w="0" w:type="dxa"/>
            <w:right w:w="108" w:type="dxa"/>
          </w:tblCellMar>
        </w:tblPrEx>
        <w:trPr>
          <w:trHeight w:val="660"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6D187239">
            <w:pPr>
              <w:widowControl/>
              <w:jc w:val="center"/>
              <w:rPr>
                <w:rFonts w:ascii="宋体" w:hAnsi="宋体" w:cs="宋体"/>
                <w:kern w:val="0"/>
                <w:sz w:val="20"/>
                <w:szCs w:val="20"/>
              </w:rPr>
            </w:pPr>
            <w:r>
              <w:rPr>
                <w:rFonts w:hint="eastAsia" w:ascii="宋体" w:hAnsi="宋体" w:cs="宋体"/>
                <w:kern w:val="0"/>
                <w:sz w:val="20"/>
                <w:szCs w:val="20"/>
              </w:rPr>
              <w:t>9.1</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14:paraId="6048A5E5">
            <w:pPr>
              <w:widowControl/>
              <w:jc w:val="left"/>
              <w:rPr>
                <w:rFonts w:ascii="宋体" w:hAnsi="宋体" w:cs="宋体"/>
                <w:kern w:val="0"/>
                <w:sz w:val="20"/>
                <w:szCs w:val="20"/>
              </w:rPr>
            </w:pPr>
            <w:r>
              <w:rPr>
                <w:rFonts w:hint="eastAsia" w:ascii="宋体" w:hAnsi="宋体" w:cs="宋体"/>
                <w:kern w:val="0"/>
                <w:sz w:val="20"/>
                <w:szCs w:val="20"/>
              </w:rPr>
              <w:t>保证不向临床人员及职能部门提供礼品、回扣等，保证合法经营，不参加不良竞争。</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575B4A49">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14:paraId="09D056DC">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3C78DECD">
        <w:tblPrEx>
          <w:tblCellMar>
            <w:top w:w="0" w:type="dxa"/>
            <w:left w:w="108" w:type="dxa"/>
            <w:bottom w:w="0" w:type="dxa"/>
            <w:right w:w="108" w:type="dxa"/>
          </w:tblCellMar>
        </w:tblPrEx>
        <w:trPr>
          <w:trHeight w:val="660"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0856BA62">
            <w:pPr>
              <w:widowControl/>
              <w:jc w:val="center"/>
              <w:rPr>
                <w:rFonts w:hint="default" w:ascii="宋体" w:hAnsi="宋体" w:eastAsia="宋体" w:cs="宋体"/>
                <w:b/>
                <w:bCs/>
                <w:color w:val="FF0000"/>
                <w:kern w:val="0"/>
                <w:sz w:val="20"/>
                <w:szCs w:val="20"/>
                <w:lang w:val="en-US" w:eastAsia="zh-CN"/>
              </w:rPr>
            </w:pPr>
            <w:r>
              <w:rPr>
                <w:rFonts w:hint="eastAsia" w:ascii="宋体" w:hAnsi="宋体" w:cs="宋体"/>
                <w:b/>
                <w:bCs/>
                <w:color w:val="FF0000"/>
                <w:kern w:val="0"/>
                <w:sz w:val="20"/>
                <w:szCs w:val="20"/>
                <w:lang w:val="en-US" w:eastAsia="zh-CN"/>
              </w:rPr>
              <w:t>★9.2</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14:paraId="3EDC3D05">
            <w:pPr>
              <w:widowControl/>
              <w:jc w:val="left"/>
              <w:rPr>
                <w:rFonts w:hint="eastAsia" w:ascii="宋体" w:hAnsi="宋体" w:eastAsia="宋体" w:cs="宋体"/>
                <w:b/>
                <w:bCs/>
                <w:color w:val="FF0000"/>
                <w:kern w:val="0"/>
                <w:sz w:val="20"/>
                <w:szCs w:val="20"/>
                <w:lang w:eastAsia="zh-CN"/>
              </w:rPr>
            </w:pPr>
            <w:r>
              <w:rPr>
                <w:rFonts w:hint="eastAsia" w:ascii="宋体" w:hAnsi="宋体" w:cs="宋体"/>
                <w:b/>
                <w:bCs/>
                <w:color w:val="FF0000"/>
                <w:kern w:val="0"/>
                <w:sz w:val="20"/>
                <w:szCs w:val="20"/>
              </w:rPr>
              <w:t>作为医疗器械管理的中标产品需在深圳医用耗材阳光交易和监管平台签订线上采购合同，不配合在平台签订线上采购合同的将直接启用备选供应商，无备选供应商的将废标重新招标</w:t>
            </w:r>
            <w:r>
              <w:rPr>
                <w:rFonts w:hint="eastAsia" w:ascii="宋体" w:hAnsi="宋体" w:cs="宋体"/>
                <w:b/>
                <w:bCs/>
                <w:color w:val="FF0000"/>
                <w:kern w:val="0"/>
                <w:sz w:val="20"/>
                <w:szCs w:val="20"/>
                <w:lang w:eastAsia="zh-CN"/>
              </w:rPr>
              <w:t>。</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6A1A1F0F">
            <w:pPr>
              <w:widowControl/>
              <w:jc w:val="center"/>
              <w:rPr>
                <w:rFonts w:hint="eastAsia" w:ascii="宋体" w:hAnsi="宋体" w:cs="宋体"/>
                <w:b/>
                <w:bCs/>
                <w:kern w:val="0"/>
                <w:sz w:val="20"/>
                <w:szCs w:val="20"/>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14:paraId="55DE7CD4">
            <w:pPr>
              <w:widowControl/>
              <w:jc w:val="center"/>
              <w:rPr>
                <w:rFonts w:hint="eastAsia" w:ascii="宋体" w:hAnsi="宋体" w:cs="宋体"/>
                <w:b/>
                <w:bCs/>
                <w:kern w:val="0"/>
                <w:sz w:val="20"/>
                <w:szCs w:val="20"/>
              </w:rPr>
            </w:pPr>
          </w:p>
        </w:tc>
      </w:tr>
      <w:tr w14:paraId="27CE6167">
        <w:tblPrEx>
          <w:tblCellMar>
            <w:top w:w="0" w:type="dxa"/>
            <w:left w:w="108" w:type="dxa"/>
            <w:bottom w:w="0" w:type="dxa"/>
            <w:right w:w="108" w:type="dxa"/>
          </w:tblCellMar>
        </w:tblPrEx>
        <w:trPr>
          <w:trHeight w:val="660"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2CEE40C1">
            <w:pPr>
              <w:widowControl/>
              <w:jc w:val="center"/>
              <w:rPr>
                <w:rFonts w:hint="default" w:ascii="宋体" w:hAnsi="宋体" w:eastAsia="宋体" w:cs="宋体"/>
                <w:b/>
                <w:bCs/>
                <w:color w:val="FF0000"/>
                <w:kern w:val="0"/>
                <w:sz w:val="20"/>
                <w:szCs w:val="20"/>
                <w:lang w:val="en-US" w:eastAsia="zh-CN"/>
              </w:rPr>
            </w:pPr>
            <w:r>
              <w:rPr>
                <w:rFonts w:hint="eastAsia" w:ascii="宋体" w:hAnsi="宋体" w:cs="宋体"/>
                <w:b/>
                <w:bCs/>
                <w:color w:val="FF0000"/>
                <w:kern w:val="0"/>
                <w:sz w:val="20"/>
                <w:szCs w:val="20"/>
                <w:lang w:val="en-US" w:eastAsia="zh-CN"/>
              </w:rPr>
              <w:t>★9.3</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14:paraId="5AFC18E9">
            <w:pPr>
              <w:widowControl/>
              <w:jc w:val="left"/>
              <w:rPr>
                <w:rFonts w:hint="eastAsia" w:ascii="宋体" w:hAnsi="宋体" w:cs="宋体"/>
                <w:b/>
                <w:bCs/>
                <w:color w:val="FF0000"/>
                <w:kern w:val="0"/>
                <w:sz w:val="20"/>
                <w:szCs w:val="20"/>
              </w:rPr>
            </w:pPr>
            <w:r>
              <w:rPr>
                <w:rFonts w:hint="eastAsia" w:ascii="宋体" w:hAnsi="宋体" w:cs="宋体"/>
                <w:b/>
                <w:bCs/>
                <w:color w:val="FF0000"/>
                <w:kern w:val="0"/>
                <w:sz w:val="20"/>
                <w:szCs w:val="20"/>
              </w:rPr>
              <w:t>可收费的医用耗材必须提供国家医保编码，如供货后无法提供国家医保编码将不予结算。</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4623A3B5">
            <w:pPr>
              <w:widowControl/>
              <w:jc w:val="center"/>
              <w:rPr>
                <w:rFonts w:hint="eastAsia" w:ascii="宋体" w:hAnsi="宋体" w:cs="宋体"/>
                <w:b/>
                <w:bCs/>
                <w:kern w:val="0"/>
                <w:sz w:val="20"/>
                <w:szCs w:val="20"/>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14:paraId="55A7F67A">
            <w:pPr>
              <w:widowControl/>
              <w:jc w:val="center"/>
              <w:rPr>
                <w:rFonts w:hint="eastAsia" w:ascii="宋体" w:hAnsi="宋体" w:cs="宋体"/>
                <w:b/>
                <w:bCs/>
                <w:kern w:val="0"/>
                <w:sz w:val="20"/>
                <w:szCs w:val="20"/>
              </w:rPr>
            </w:pPr>
          </w:p>
        </w:tc>
      </w:tr>
      <w:tr w14:paraId="7503C100">
        <w:tblPrEx>
          <w:tblCellMar>
            <w:top w:w="0" w:type="dxa"/>
            <w:left w:w="108" w:type="dxa"/>
            <w:bottom w:w="0" w:type="dxa"/>
            <w:right w:w="108" w:type="dxa"/>
          </w:tblCellMar>
        </w:tblPrEx>
        <w:trPr>
          <w:trHeight w:val="660"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3313BDD8">
            <w:pPr>
              <w:widowControl/>
              <w:jc w:val="center"/>
              <w:rPr>
                <w:rFonts w:hint="default" w:ascii="宋体" w:hAnsi="宋体" w:eastAsia="宋体" w:cs="宋体"/>
                <w:b/>
                <w:bCs/>
                <w:color w:val="FF0000"/>
                <w:kern w:val="0"/>
                <w:sz w:val="20"/>
                <w:szCs w:val="20"/>
                <w:lang w:val="en-US" w:eastAsia="zh-CN"/>
              </w:rPr>
            </w:pPr>
            <w:r>
              <w:rPr>
                <w:rFonts w:hint="eastAsia" w:ascii="宋体" w:hAnsi="宋体" w:cs="宋体"/>
                <w:b/>
                <w:bCs/>
                <w:color w:val="FF0000"/>
                <w:kern w:val="0"/>
                <w:sz w:val="20"/>
                <w:szCs w:val="20"/>
                <w:lang w:val="en-US" w:eastAsia="zh-CN"/>
              </w:rPr>
              <w:t>★9.4</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14:paraId="7900F7DE">
            <w:pPr>
              <w:widowControl/>
              <w:jc w:val="left"/>
              <w:rPr>
                <w:rFonts w:hint="eastAsia" w:ascii="宋体" w:hAnsi="宋体" w:cs="宋体"/>
                <w:b/>
                <w:bCs/>
                <w:color w:val="FF0000"/>
                <w:kern w:val="0"/>
                <w:sz w:val="20"/>
                <w:szCs w:val="20"/>
              </w:rPr>
            </w:pPr>
            <w:r>
              <w:rPr>
                <w:rFonts w:hint="eastAsia" w:ascii="宋体" w:hAnsi="宋体" w:cs="宋体"/>
                <w:b/>
                <w:bCs/>
                <w:color w:val="FF0000"/>
                <w:kern w:val="0"/>
                <w:sz w:val="20"/>
                <w:szCs w:val="20"/>
              </w:rPr>
              <w:t>作为医疗器械管理的产品价格不得高于广东省药品电子交易平台上的限价、深圳市阳光交易平台的限价；中标后如价格高于平台限价，直接按平台限价签订合同。</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74CBC0C7">
            <w:pPr>
              <w:widowControl/>
              <w:jc w:val="center"/>
              <w:rPr>
                <w:rFonts w:hint="eastAsia" w:ascii="宋体" w:hAnsi="宋体" w:cs="宋体"/>
                <w:b/>
                <w:bCs/>
                <w:kern w:val="0"/>
                <w:sz w:val="20"/>
                <w:szCs w:val="20"/>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14:paraId="1AF906E8">
            <w:pPr>
              <w:widowControl/>
              <w:jc w:val="center"/>
              <w:rPr>
                <w:rFonts w:hint="eastAsia" w:ascii="宋体" w:hAnsi="宋体" w:cs="宋体"/>
                <w:b/>
                <w:bCs/>
                <w:kern w:val="0"/>
                <w:sz w:val="20"/>
                <w:szCs w:val="20"/>
              </w:rPr>
            </w:pPr>
          </w:p>
        </w:tc>
      </w:tr>
      <w:tr w14:paraId="09DD6CCF">
        <w:tblPrEx>
          <w:tblCellMar>
            <w:top w:w="0" w:type="dxa"/>
            <w:left w:w="108" w:type="dxa"/>
            <w:bottom w:w="0" w:type="dxa"/>
            <w:right w:w="108" w:type="dxa"/>
          </w:tblCellMar>
        </w:tblPrEx>
        <w:trPr>
          <w:trHeight w:val="660"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0A712865">
            <w:pPr>
              <w:widowControl/>
              <w:jc w:val="center"/>
              <w:rPr>
                <w:rFonts w:hint="default" w:ascii="宋体" w:hAnsi="宋体" w:cs="宋体"/>
                <w:b/>
                <w:bCs/>
                <w:color w:val="FF0000"/>
                <w:kern w:val="0"/>
                <w:sz w:val="20"/>
                <w:szCs w:val="20"/>
                <w:lang w:val="en-US" w:eastAsia="zh-CN"/>
              </w:rPr>
            </w:pPr>
            <w:r>
              <w:rPr>
                <w:rFonts w:hint="eastAsia" w:ascii="宋体" w:hAnsi="宋体" w:cs="宋体"/>
                <w:b/>
                <w:bCs/>
                <w:color w:val="FF0000"/>
                <w:kern w:val="0"/>
                <w:sz w:val="20"/>
                <w:szCs w:val="20"/>
                <w:lang w:val="en-US" w:eastAsia="zh-CN"/>
              </w:rPr>
              <w:t>★9.5</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14:paraId="76DAED88">
            <w:pPr>
              <w:widowControl/>
              <w:jc w:val="left"/>
              <w:rPr>
                <w:rFonts w:hint="default" w:ascii="宋体" w:hAnsi="宋体" w:eastAsia="宋体" w:cs="宋体"/>
                <w:b/>
                <w:bCs/>
                <w:color w:val="FF0000"/>
                <w:kern w:val="0"/>
                <w:sz w:val="20"/>
                <w:szCs w:val="20"/>
                <w:lang w:val="en-US" w:eastAsia="zh-CN"/>
              </w:rPr>
            </w:pPr>
            <w:r>
              <w:rPr>
                <w:rFonts w:hint="eastAsia" w:ascii="宋体" w:hAnsi="宋体" w:cs="宋体"/>
                <w:b/>
                <w:bCs/>
                <w:color w:val="FF0000"/>
                <w:kern w:val="0"/>
                <w:sz w:val="20"/>
                <w:szCs w:val="20"/>
                <w:lang w:val="en-US" w:eastAsia="zh-CN"/>
              </w:rPr>
              <w:t>此次中标价为协议价格，如在合同执行期间价格在深圳市阳光交易平台上显示为红色区域，中标商无条件配合调价至黄区或绿区；不配合的</w:t>
            </w:r>
            <w:r>
              <w:rPr>
                <w:rFonts w:hint="eastAsia" w:ascii="宋体" w:hAnsi="宋体" w:cs="宋体"/>
                <w:b/>
                <w:bCs/>
                <w:color w:val="FF0000"/>
                <w:kern w:val="0"/>
                <w:sz w:val="20"/>
                <w:szCs w:val="20"/>
              </w:rPr>
              <w:t>将直接启用备选供应商，无备选供应商的将废标重新招标</w:t>
            </w:r>
            <w:r>
              <w:rPr>
                <w:rFonts w:hint="eastAsia" w:ascii="宋体" w:hAnsi="宋体" w:cs="宋体"/>
                <w:b/>
                <w:bCs/>
                <w:color w:val="FF0000"/>
                <w:kern w:val="0"/>
                <w:sz w:val="20"/>
                <w:szCs w:val="20"/>
                <w:lang w:eastAsia="zh-CN"/>
              </w:rPr>
              <w:t>。</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53A94845">
            <w:pPr>
              <w:widowControl/>
              <w:jc w:val="center"/>
              <w:rPr>
                <w:rFonts w:hint="eastAsia" w:ascii="宋体" w:hAnsi="宋体" w:cs="宋体"/>
                <w:b/>
                <w:bCs/>
                <w:kern w:val="0"/>
                <w:sz w:val="20"/>
                <w:szCs w:val="20"/>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14:paraId="261CBB19">
            <w:pPr>
              <w:widowControl/>
              <w:jc w:val="center"/>
              <w:rPr>
                <w:rFonts w:hint="eastAsia" w:ascii="宋体" w:hAnsi="宋体" w:cs="宋体"/>
                <w:b/>
                <w:bCs/>
                <w:kern w:val="0"/>
                <w:sz w:val="20"/>
                <w:szCs w:val="20"/>
              </w:rPr>
            </w:pPr>
          </w:p>
        </w:tc>
      </w:tr>
    </w:tbl>
    <w:p w14:paraId="3F17012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3MjcxZDViYjgyMzVhMmYxZmUyOGViZWI2ZmIyMWEifQ=="/>
  </w:docVars>
  <w:rsids>
    <w:rsidRoot w:val="63EF4ED1"/>
    <w:rsid w:val="0F4E7E7E"/>
    <w:rsid w:val="1F777037"/>
    <w:rsid w:val="292F0D93"/>
    <w:rsid w:val="360311CD"/>
    <w:rsid w:val="39D84D70"/>
    <w:rsid w:val="49524F6B"/>
    <w:rsid w:val="609D6AFE"/>
    <w:rsid w:val="63B1626B"/>
    <w:rsid w:val="63EF4ED1"/>
    <w:rsid w:val="659770B8"/>
    <w:rsid w:val="69A71894"/>
    <w:rsid w:val="76F32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1868</Words>
  <Characters>1937</Characters>
  <Lines>0</Lines>
  <Paragraphs>0</Paragraphs>
  <TotalTime>0</TotalTime>
  <ScaleCrop>false</ScaleCrop>
  <LinksUpToDate>false</LinksUpToDate>
  <CharactersWithSpaces>1993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2020-04-30T07:36:00Z</dcterms:created>
  <dc:creator>Administrator</dc:creator>
  <cp:lastModifiedBy>曹乐胜</cp:lastModifiedBy>
  <dcterms:modified xsi:type="dcterms:W3CDTF">2025-06-26T02:10:09Z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2427CAF1C3094EE0AF1FD532ECEA6FF7_12</vt:lpwstr>
  </property>
  <property fmtid="{D5CDD505-2E9C-101B-9397-08002B2CF9AE}" pid="4" name="KSOTemplateDocerSaveRecord">
    <vt:lpwstr>eyJoZGlkIjoiMzg5NWMzYTViN2RiMjhmMDY5MDlkZTM2YzZiZjliM2MifQ==</vt:lpwstr>
  </property>
</Properties>
</file>