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jc w:val="center"/>
        <w:rPr>
          <w:rFonts w:eastAsia="PingFang SC Regular"/>
          <w:sz w:val="36"/>
          <w:szCs w:val="36"/>
        </w:rPr>
      </w:pPr>
      <w:r>
        <w:rPr>
          <w:rFonts w:hint="eastAsia" w:eastAsia="宋体"/>
          <w:sz w:val="36"/>
          <w:szCs w:val="36"/>
          <w:lang w:val="en-US" w:eastAsia="zh-CN"/>
        </w:rPr>
        <w:t>资产评估</w:t>
      </w:r>
      <w:r>
        <w:rPr>
          <w:rFonts w:eastAsia="PingFang SC Regular"/>
          <w:sz w:val="36"/>
          <w:szCs w:val="36"/>
        </w:rPr>
        <w:t>综合评分表</w:t>
      </w:r>
    </w:p>
    <w:tbl>
      <w:tblPr>
        <w:tblStyle w:val="6"/>
        <w:tblW w:w="92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914"/>
        <w:gridCol w:w="3755"/>
        <w:gridCol w:w="1650"/>
        <w:gridCol w:w="1180"/>
        <w:gridCol w:w="1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tblHeader/>
          <w:jc w:val="center"/>
        </w:trPr>
        <w:tc>
          <w:tcPr>
            <w:tcW w:w="663" w:type="dxa"/>
            <w:shd w:val="clear" w:color="auto" w:fill="DEEAF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  <w:highlight w:val="none"/>
              </w:rPr>
              <w:t>序号</w:t>
            </w:r>
          </w:p>
        </w:tc>
        <w:tc>
          <w:tcPr>
            <w:tcW w:w="914" w:type="dxa"/>
            <w:shd w:val="clear" w:color="auto" w:fill="DEEAF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  <w:highlight w:val="none"/>
              </w:rPr>
              <w:t>评审</w:t>
            </w:r>
          </w:p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  <w:highlight w:val="none"/>
              </w:rPr>
              <w:t>项目</w:t>
            </w:r>
          </w:p>
        </w:tc>
        <w:tc>
          <w:tcPr>
            <w:tcW w:w="3755" w:type="dxa"/>
            <w:shd w:val="clear" w:color="auto" w:fill="DEEAF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  <w:highlight w:val="none"/>
              </w:rPr>
              <w:t>评审标准</w:t>
            </w:r>
          </w:p>
        </w:tc>
        <w:tc>
          <w:tcPr>
            <w:tcW w:w="1650" w:type="dxa"/>
            <w:shd w:val="clear" w:color="auto" w:fill="DEEAF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  <w:highlight w:val="none"/>
              </w:rPr>
              <w:t>证明材料</w:t>
            </w:r>
          </w:p>
        </w:tc>
        <w:tc>
          <w:tcPr>
            <w:tcW w:w="1180" w:type="dxa"/>
            <w:shd w:val="clear" w:color="auto" w:fill="DEEAF6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  <w:highlight w:val="none"/>
              </w:rPr>
              <w:t>分值</w:t>
            </w:r>
          </w:p>
        </w:tc>
        <w:tc>
          <w:tcPr>
            <w:tcW w:w="1038" w:type="dxa"/>
            <w:shd w:val="clear" w:color="auto" w:fill="DEEAF6"/>
            <w:noWrap w:val="0"/>
            <w:vAlign w:val="top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b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9" w:hRule="atLeast"/>
          <w:jc w:val="center"/>
        </w:trPr>
        <w:tc>
          <w:tcPr>
            <w:tcW w:w="66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1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同类业绩情况</w:t>
            </w:r>
          </w:p>
        </w:tc>
        <w:tc>
          <w:tcPr>
            <w:tcW w:w="3755" w:type="dxa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Times New Roman" w:hAnsi="Times New Roman" w:eastAsia="宋体" w:cs="Times New Roman"/>
                <w:bCs/>
                <w:szCs w:val="21"/>
                <w:lang w:eastAsia="zh-CN"/>
              </w:rPr>
            </w:pPr>
            <w:r>
              <w:rPr>
                <w:rFonts w:hint="eastAsia" w:cs="Times New Roman"/>
                <w:bCs/>
                <w:szCs w:val="21"/>
                <w:lang w:val="en-US" w:eastAsia="zh-CN"/>
              </w:rPr>
              <w:t>近三年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具有国资类企业价值评估业绩的，每个项目得</w:t>
            </w:r>
            <w:r>
              <w:rPr>
                <w:rFonts w:hint="eastAsia" w:cs="Times New Roman"/>
                <w:bCs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分，最高得2</w:t>
            </w:r>
            <w:r>
              <w:rPr>
                <w:rFonts w:hint="eastAsia" w:cs="Times New Roman"/>
                <w:bCs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分。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color w:val="000000"/>
                <w:szCs w:val="21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提供相应合同</w:t>
            </w: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关键页复印件</w:t>
            </w:r>
            <w:r>
              <w:rPr>
                <w:rFonts w:hint="eastAsia"/>
                <w:color w:val="000000"/>
                <w:szCs w:val="21"/>
                <w:highlight w:val="none"/>
              </w:rPr>
              <w:t>，并加盖公章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分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3" w:hRule="atLeast"/>
          <w:jc w:val="center"/>
        </w:trPr>
        <w:tc>
          <w:tcPr>
            <w:tcW w:w="66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2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团队成员配置评分</w:t>
            </w:r>
          </w:p>
        </w:tc>
        <w:tc>
          <w:tcPr>
            <w:tcW w:w="3755" w:type="dxa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Times New Roman" w:hAnsi="Times New Roman" w:eastAsia="宋体" w:cs="Times New Roman"/>
                <w:bCs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  <w:lang w:val="en-US" w:eastAsia="zh-CN"/>
              </w:rPr>
              <w:t>除项目负责人以外，项目团队成员需高标准、多专业配置，以保障研究质量。如项目团队成员具有三年以上资产评估工作经验，每增加1个加5分，最多加15分。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正式执业会员证书复印件，提供中评协查询网址</w:t>
            </w:r>
            <w:r>
              <w:rPr>
                <w:rFonts w:hint="eastAsia" w:cs="Times New Roman"/>
                <w:bCs/>
                <w:szCs w:val="21"/>
                <w:lang w:eastAsia="zh-CN"/>
              </w:rPr>
              <w:t>，</w:t>
            </w:r>
            <w:r>
              <w:rPr>
                <w:rFonts w:hint="eastAsia" w:cs="Times New Roman"/>
                <w:bCs/>
                <w:szCs w:val="21"/>
                <w:lang w:val="en-US" w:eastAsia="zh-CN"/>
              </w:rPr>
              <w:t>并</w:t>
            </w:r>
            <w:r>
              <w:rPr>
                <w:rFonts w:hint="eastAsia" w:ascii="Times New Roman" w:hAnsi="Times New Roman" w:eastAsia="宋体" w:cs="Times New Roman"/>
                <w:bCs/>
                <w:szCs w:val="21"/>
              </w:rPr>
              <w:t>加盖公章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分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0" w:hRule="atLeast"/>
          <w:jc w:val="center"/>
        </w:trPr>
        <w:tc>
          <w:tcPr>
            <w:tcW w:w="66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拟委派项目团队资格和能力</w:t>
            </w:r>
          </w:p>
        </w:tc>
        <w:tc>
          <w:tcPr>
            <w:tcW w:w="3755" w:type="dxa"/>
            <w:noWrap w:val="0"/>
            <w:vAlign w:val="center"/>
          </w:tcPr>
          <w:p>
            <w:pPr>
              <w:pStyle w:val="4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项目负责人执业年限≥15年，且团队成员中资产评估师正式执业人员≥6人，得15分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4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项目负责人执业年限 10年≤执业年限&lt;15年,且团队成员中资产评估师正式执业人员≥4人，得10分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4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项目负责人执业年限 5年≤执业年限&lt;10年，且团队成员中资产评估师正式执业会员≥2人，得5分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其余得1分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</w:rPr>
              <w:t>提供项目负责人姓名、任职情况、工作经历及相关项目经验、获奖证书或相关证明材料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szCs w:val="21"/>
              </w:rPr>
              <w:t>分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8" w:hRule="atLeast"/>
          <w:jc w:val="center"/>
        </w:trPr>
        <w:tc>
          <w:tcPr>
            <w:tcW w:w="66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技术服务方案评审</w:t>
            </w:r>
          </w:p>
        </w:tc>
        <w:tc>
          <w:tcPr>
            <w:tcW w:w="3755" w:type="dxa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对本项目工作内容的理解是否全面、准确进行横向比较评分：</w:t>
            </w:r>
          </w:p>
          <w:p>
            <w:pPr>
              <w:spacing w:line="0" w:lineRule="atLeas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评优得2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～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25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分，良得1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～2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分，中得1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～1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分，较差得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～1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分，差得0～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分。</w:t>
            </w:r>
          </w:p>
          <w:p>
            <w:pPr>
              <w:pStyle w:val="4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打分参考：对服务方案的完整性、合理性、可执行性和工作时间安排合理、服务保障是否到位、服务流程是否合理，服务人员配置等进行综合评议。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提供服务方案，并加盖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val="en-US" w:eastAsia="zh-CN"/>
              </w:rPr>
              <w:t>公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章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分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3" w:hRule="atLeast"/>
          <w:jc w:val="center"/>
        </w:trPr>
        <w:tc>
          <w:tcPr>
            <w:tcW w:w="66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报价</w:t>
            </w:r>
          </w:p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得分</w:t>
            </w:r>
          </w:p>
        </w:tc>
        <w:tc>
          <w:tcPr>
            <w:tcW w:w="3755" w:type="dxa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/>
                <w:bCs/>
                <w:szCs w:val="21"/>
                <w:highlight w:val="none"/>
              </w:rPr>
            </w:pPr>
            <w:r>
              <w:rPr>
                <w:rFonts w:hint="eastAsia"/>
                <w:bCs/>
                <w:szCs w:val="21"/>
                <w:highlight w:val="none"/>
              </w:rPr>
              <w:t>采用低价优先法计算，投标总价最低的投标报价为评标基准价，其价格分为满分。</w:t>
            </w:r>
          </w:p>
          <w:p>
            <w:pPr>
              <w:spacing w:line="0" w:lineRule="atLeast"/>
              <w:jc w:val="left"/>
              <w:rPr>
                <w:rFonts w:hint="eastAsia"/>
                <w:bCs/>
                <w:szCs w:val="21"/>
                <w:highlight w:val="none"/>
              </w:rPr>
            </w:pPr>
            <w:r>
              <w:rPr>
                <w:rFonts w:hint="eastAsia"/>
                <w:bCs/>
                <w:szCs w:val="21"/>
                <w:highlight w:val="none"/>
              </w:rPr>
              <w:t>其他投标人的价格分统一按照下列公式计算：投标报价得分=(评标基准价／投标总价)×15</w:t>
            </w:r>
          </w:p>
          <w:p>
            <w:pPr>
              <w:spacing w:line="0" w:lineRule="atLeast"/>
              <w:jc w:val="left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/>
                <w:bCs/>
                <w:szCs w:val="21"/>
                <w:highlight w:val="none"/>
              </w:rPr>
              <w:t>评标过程中，不去掉报价中的最高报价和最低报价。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提供响应报价，并加盖公章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分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8" w:hRule="atLeast"/>
          <w:jc w:val="center"/>
        </w:trPr>
        <w:tc>
          <w:tcPr>
            <w:tcW w:w="66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hint="eastAsia" w:ascii="宋体" w:hAnsi="宋体" w:eastAsia="宋体" w:cs="宋体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91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val="en-US" w:eastAsia="zh-CN"/>
              </w:rPr>
              <w:t>单次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调整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val="en-US" w:eastAsia="zh-CN"/>
              </w:rPr>
              <w:t>基准日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费用报价得分</w:t>
            </w:r>
          </w:p>
        </w:tc>
        <w:tc>
          <w:tcPr>
            <w:tcW w:w="3755" w:type="dxa"/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/>
                <w:bCs/>
                <w:szCs w:val="21"/>
                <w:highlight w:val="none"/>
              </w:rPr>
            </w:pPr>
            <w:r>
              <w:rPr>
                <w:rFonts w:hint="eastAsia"/>
                <w:bCs/>
                <w:szCs w:val="21"/>
                <w:highlight w:val="none"/>
              </w:rPr>
              <w:t>采用低价优先法计算，调整基准日</w:t>
            </w:r>
            <w:r>
              <w:rPr>
                <w:rFonts w:hint="eastAsia"/>
                <w:bCs/>
                <w:szCs w:val="21"/>
                <w:highlight w:val="none"/>
                <w:lang w:val="en-US" w:eastAsia="zh-CN"/>
              </w:rPr>
              <w:t>所需</w:t>
            </w:r>
            <w:r>
              <w:rPr>
                <w:rFonts w:hint="eastAsia"/>
                <w:bCs/>
                <w:szCs w:val="21"/>
                <w:highlight w:val="none"/>
              </w:rPr>
              <w:t>费用最低的投标报价为评标基准价，其价格分为满分。</w:t>
            </w:r>
          </w:p>
          <w:p>
            <w:pPr>
              <w:spacing w:line="0" w:lineRule="atLeast"/>
              <w:jc w:val="left"/>
              <w:rPr>
                <w:rFonts w:hint="default" w:eastAsia="宋体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Cs/>
                <w:szCs w:val="21"/>
                <w:highlight w:val="none"/>
              </w:rPr>
              <w:t>其他投标人的价格分统一按照下列公式计算：调整费用报价得分=(评标基准价／投标总价)×</w:t>
            </w:r>
            <w:r>
              <w:rPr>
                <w:rFonts w:hint="eastAsia"/>
                <w:bCs/>
                <w:szCs w:val="21"/>
                <w:highlight w:val="none"/>
                <w:lang w:val="en-US" w:eastAsia="zh-CN"/>
              </w:rPr>
              <w:t>10</w:t>
            </w:r>
          </w:p>
          <w:p>
            <w:pPr>
              <w:spacing w:line="0" w:lineRule="atLeast"/>
              <w:jc w:val="left"/>
              <w:rPr>
                <w:rFonts w:hint="default" w:ascii="宋体" w:hAnsi="宋体" w:eastAsia="宋体" w:cs="宋体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bCs/>
                <w:szCs w:val="21"/>
                <w:highlight w:val="none"/>
              </w:rPr>
              <w:t>评标过程中，不去掉报价中的最高报价和最低报价。单次调整报价不超过响应报价10%</w:t>
            </w:r>
            <w:r>
              <w:rPr>
                <w:rFonts w:hint="eastAsia"/>
                <w:bCs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/>
                <w:bCs/>
                <w:szCs w:val="21"/>
                <w:highlight w:val="none"/>
                <w:lang w:val="en-US" w:eastAsia="zh-CN"/>
              </w:rPr>
              <w:t>如超过本项不得分。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提供响应报价，并加盖公章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分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6982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合计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100分</w:t>
            </w:r>
          </w:p>
        </w:tc>
        <w:tc>
          <w:tcPr>
            <w:tcW w:w="1038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82" w:type="dxa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highlight w:val="none"/>
              </w:rPr>
              <w:t>拟推荐成交候选供应商（原则推荐评审综合得分最高的单位）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  <w:tc>
          <w:tcPr>
            <w:tcW w:w="1038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宋体" w:hAnsi="宋体" w:cs="宋体"/>
                <w:color w:val="000000"/>
                <w:szCs w:val="21"/>
                <w:highlight w:val="none"/>
              </w:rPr>
            </w:pPr>
          </w:p>
        </w:tc>
      </w:tr>
    </w:tbl>
    <w:p>
      <w:pPr>
        <w:rPr>
          <w:rFonts w:hint="eastAsia" w:ascii="黑体" w:hAnsi="黑体" w:eastAsia="黑体"/>
          <w:szCs w:val="21"/>
        </w:rPr>
      </w:pPr>
    </w:p>
    <w:p>
      <w:pPr>
        <w:rPr>
          <w:rFonts w:hint="eastAsia" w:ascii="黑体" w:hAnsi="黑体" w:eastAsia="黑体"/>
          <w:szCs w:val="21"/>
        </w:rPr>
      </w:pPr>
      <w:bookmarkStart w:id="0" w:name="_GoBack"/>
      <w:bookmarkEnd w:id="0"/>
      <w:r>
        <w:rPr>
          <w:rFonts w:hint="eastAsia" w:ascii="黑体" w:hAnsi="黑体" w:eastAsia="黑体"/>
          <w:szCs w:val="21"/>
        </w:rPr>
        <w:t>备注：1.各项评审打分按照四舍五入，小数点后保留2位进行计算；</w:t>
      </w:r>
    </w:p>
    <w:p>
      <w:pPr>
        <w:ind w:firstLine="420" w:firstLineChars="200"/>
      </w:pPr>
      <w:r>
        <w:rPr>
          <w:rFonts w:hint="eastAsia" w:ascii="黑体" w:hAnsi="黑体" w:eastAsia="黑体"/>
          <w:szCs w:val="21"/>
        </w:rPr>
        <w:t xml:space="preserve"> </w:t>
      </w:r>
      <w:r>
        <w:rPr>
          <w:rFonts w:hint="eastAsia" w:ascii="黑体" w:hAnsi="黑体" w:eastAsia="黑体"/>
          <w:szCs w:val="21"/>
          <w:lang w:val="en-US" w:eastAsia="zh-CN"/>
        </w:rPr>
        <w:t xml:space="preserve"> </w:t>
      </w:r>
      <w:r>
        <w:rPr>
          <w:rFonts w:hint="eastAsia" w:ascii="黑体" w:hAnsi="黑体" w:eastAsia="黑体"/>
          <w:szCs w:val="21"/>
        </w:rPr>
        <w:t>2.若出现拟推荐成交候选供应商分数相同的情况，价低者得。</w:t>
      </w:r>
    </w:p>
    <w:p>
      <w:pPr>
        <w:pStyle w:val="4"/>
        <w:rPr>
          <w:rFonts w:eastAsia="PingFang SC Regular"/>
          <w:sz w:val="36"/>
          <w:szCs w:val="36"/>
        </w:rPr>
      </w:pPr>
    </w:p>
    <w:p>
      <w:pPr>
        <w:pStyle w:val="3"/>
        <w:rPr>
          <w:rFonts w:eastAsia="PingFang SC Regular"/>
          <w:sz w:val="36"/>
          <w:szCs w:val="36"/>
        </w:rPr>
      </w:pPr>
    </w:p>
    <w:p/>
    <w:p>
      <w:pPr>
        <w:pStyle w:val="3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ingFang SC Regular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8948DA"/>
    <w:rsid w:val="03FE5C0B"/>
    <w:rsid w:val="05617C8B"/>
    <w:rsid w:val="0A6C67D6"/>
    <w:rsid w:val="11BB5CE9"/>
    <w:rsid w:val="121E3B50"/>
    <w:rsid w:val="14CC7921"/>
    <w:rsid w:val="1A8D7F1A"/>
    <w:rsid w:val="21734078"/>
    <w:rsid w:val="21A5115D"/>
    <w:rsid w:val="22006D8A"/>
    <w:rsid w:val="24F9285E"/>
    <w:rsid w:val="2A8948DA"/>
    <w:rsid w:val="35871B04"/>
    <w:rsid w:val="373A53E2"/>
    <w:rsid w:val="432E30A0"/>
    <w:rsid w:val="472C7DAE"/>
    <w:rsid w:val="48EB09F1"/>
    <w:rsid w:val="4A92268B"/>
    <w:rsid w:val="4B793094"/>
    <w:rsid w:val="4CDE64BE"/>
    <w:rsid w:val="554A0B94"/>
    <w:rsid w:val="57963CD6"/>
    <w:rsid w:val="591D7156"/>
    <w:rsid w:val="5B4A6986"/>
    <w:rsid w:val="5DDF222C"/>
    <w:rsid w:val="615325DC"/>
    <w:rsid w:val="64853DAA"/>
    <w:rsid w:val="65085E46"/>
    <w:rsid w:val="6D346B4F"/>
    <w:rsid w:val="6FEC3B2E"/>
    <w:rsid w:val="71570A8E"/>
    <w:rsid w:val="73DC7B5F"/>
    <w:rsid w:val="7AAB2484"/>
    <w:rsid w:val="7F71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纯文本1"/>
    <w:basedOn w:val="1"/>
    <w:qFormat/>
    <w:uiPriority w:val="0"/>
    <w:rPr>
      <w:rFonts w:ascii="宋体" w:hAnsi="Courier New" w:cs="Courier New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5">
    <w:name w:val="toc 2"/>
    <w:basedOn w:val="1"/>
    <w:next w:val="1"/>
    <w:qFormat/>
    <w:uiPriority w:val="0"/>
    <w:pPr>
      <w:ind w:left="210"/>
      <w:jc w:val="left"/>
    </w:pPr>
    <w:rPr>
      <w:rFonts w:ascii="Calibri" w:hAnsi="Calibri"/>
      <w:smallCap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750</Words>
  <Characters>812</Characters>
  <Lines>0</Lines>
  <Paragraphs>0</Paragraphs>
  <TotalTime>0</TotalTime>
  <ScaleCrop>false</ScaleCrop>
  <LinksUpToDate>false</LinksUpToDate>
  <CharactersWithSpaces>865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2025-02-17T02:50:00Z</dcterms:created>
  <dc:creator>姚隽</dc:creator>
  <cp:lastModifiedBy>姚隽</cp:lastModifiedBy>
  <dcterms:modified xsi:type="dcterms:W3CDTF">2025-04-27T07:36:29Z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KSOTemplateDocerSaveRecord">
    <vt:lpwstr>eyJoZGlkIjoiYWRjYTEzZDQxMGZmNDIzNDJmNDNjYzZhZDUwNGNmN2MiLCJ1c2VySWQiOiI0NDgxMjg0MDUifQ==</vt:lpwstr>
  </property>
  <property fmtid="{D5CDD505-2E9C-101B-9397-08002B2CF9AE}" pid="4" name="ICV">
    <vt:lpwstr>CE3B65FBC3FC4C49988E5BFBE504C1AF_12</vt:lpwstr>
  </property>
</Properties>
</file>