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CA11B">
      <w:pPr>
        <w:keepNext/>
        <w:keepLines/>
        <w:pageBreakBefore w:val="0"/>
        <w:widowControl w:val="0"/>
        <w:kinsoku/>
        <w:wordWrap/>
        <w:overflowPunct/>
        <w:topLinePunct w:val="0"/>
        <w:autoSpaceDE/>
        <w:autoSpaceDN/>
        <w:bidi w:val="0"/>
        <w:adjustRightInd/>
        <w:snapToGrid/>
        <w:spacing w:before="156" w:after="156" w:line="400" w:lineRule="exact"/>
        <w:jc w:val="center"/>
        <w:textAlignment w:val="auto"/>
        <w:outlineLvl w:val="0"/>
        <w:rPr>
          <w:rFonts w:hint="eastAsia" w:ascii="Calibri" w:hAnsi="Calibri" w:eastAsia="PingFang SC Regular" w:cs="Times New Roman"/>
          <w:kern w:val="2"/>
          <w:sz w:val="36"/>
          <w:szCs w:val="36"/>
          <w:lang w:val="en-US" w:eastAsia="zh-CN" w:bidi="ar-SA"/>
        </w:rPr>
      </w:pPr>
      <w:bookmarkStart w:id="0" w:name="_GoBack"/>
      <w:r>
        <w:rPr>
          <w:rFonts w:hint="eastAsia" w:ascii="仿宋_GB2312" w:eastAsia="仿宋_GB2312"/>
          <w:b/>
          <w:bCs/>
          <w:sz w:val="30"/>
          <w:szCs w:val="30"/>
          <w:lang w:eastAsia="zh-CN"/>
        </w:rPr>
        <w:t>附件二：综合评分表</w:t>
      </w:r>
    </w:p>
    <w:bookmarkEnd w:id="0"/>
    <w:p w14:paraId="52957A5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jc w:val="center"/>
        <w:rPr>
          <w:rFonts w:hint="default" w:ascii="PingFang SC Regular" w:hAnsi="PingFang SC Regular" w:eastAsia="PingFang SC Regular" w:cs="PingFang SC Regular"/>
          <w:kern w:val="2"/>
          <w:sz w:val="36"/>
          <w:szCs w:val="36"/>
        </w:rPr>
      </w:pPr>
      <w:r>
        <w:rPr>
          <w:rFonts w:hint="eastAsia" w:eastAsia="PingFang SC Regular" w:cs="Times New Roman"/>
          <w:kern w:val="2"/>
          <w:sz w:val="36"/>
          <w:szCs w:val="36"/>
          <w:lang w:val="en-US" w:eastAsia="zh-CN" w:bidi="ar-SA"/>
        </w:rPr>
        <w:t>海科兴公司某建设工程施工合同纠纷案应诉项目专项法律服务采购</w:t>
      </w:r>
      <w:r>
        <w:rPr>
          <w:rFonts w:eastAsia="PingFang SC Regular"/>
          <w:kern w:val="2"/>
          <w:sz w:val="36"/>
          <w:szCs w:val="36"/>
        </w:rPr>
        <w:t>综合评分表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F81BD"/>
        <w:tblLayout w:type="fixed"/>
        <w:tblCellMar>
          <w:top w:w="0" w:type="dxa"/>
          <w:left w:w="0" w:type="dxa"/>
          <w:bottom w:w="0" w:type="dxa"/>
          <w:right w:w="0" w:type="dxa"/>
        </w:tblCellMar>
      </w:tblPr>
      <w:tblGrid>
        <w:gridCol w:w="556"/>
        <w:gridCol w:w="795"/>
        <w:gridCol w:w="3751"/>
        <w:gridCol w:w="1420"/>
        <w:gridCol w:w="810"/>
        <w:gridCol w:w="840"/>
        <w:gridCol w:w="956"/>
        <w:gridCol w:w="827"/>
      </w:tblGrid>
      <w:tr w14:paraId="213D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F81BD"/>
          <w:tblCellMar>
            <w:top w:w="0" w:type="dxa"/>
            <w:left w:w="0" w:type="dxa"/>
            <w:bottom w:w="0" w:type="dxa"/>
            <w:right w:w="0" w:type="dxa"/>
          </w:tblCellMar>
        </w:tblPrEx>
        <w:trPr>
          <w:trHeight w:val="620" w:hRule="atLeast"/>
          <w:tblHeader/>
          <w:jc w:val="center"/>
        </w:trPr>
        <w:tc>
          <w:tcPr>
            <w:tcW w:w="556" w:type="dxa"/>
            <w:shd w:val="clear" w:color="auto" w:fill="DEEAF6"/>
            <w:noWrap w:val="0"/>
            <w:tcMar>
              <w:top w:w="80" w:type="dxa"/>
              <w:left w:w="80" w:type="dxa"/>
              <w:bottom w:w="80" w:type="dxa"/>
              <w:right w:w="80" w:type="dxa"/>
            </w:tcMar>
            <w:vAlign w:val="center"/>
          </w:tcPr>
          <w:p w14:paraId="7231A249">
            <w:pPr>
              <w:tabs>
                <w:tab w:val="left" w:pos="420"/>
              </w:tabs>
              <w:spacing w:before="0" w:line="20" w:lineRule="atLeast"/>
              <w:jc w:val="center"/>
              <w:rPr>
                <w:rFonts w:hint="default"/>
                <w:color w:val="auto"/>
              </w:rPr>
            </w:pPr>
            <w:r>
              <w:rPr>
                <w:rFonts w:ascii="宋体" w:hAnsi="宋体" w:eastAsia="宋体" w:cs="宋体"/>
                <w:b/>
                <w:bCs/>
                <w:color w:val="auto"/>
                <w:kern w:val="2"/>
                <w:sz w:val="21"/>
                <w:szCs w:val="21"/>
              </w:rPr>
              <w:t>序号</w:t>
            </w:r>
          </w:p>
        </w:tc>
        <w:tc>
          <w:tcPr>
            <w:tcW w:w="795" w:type="dxa"/>
            <w:shd w:val="clear" w:color="auto" w:fill="DEEAF6"/>
            <w:noWrap w:val="0"/>
            <w:tcMar>
              <w:top w:w="80" w:type="dxa"/>
              <w:left w:w="80" w:type="dxa"/>
              <w:bottom w:w="80" w:type="dxa"/>
              <w:right w:w="80" w:type="dxa"/>
            </w:tcMar>
            <w:vAlign w:val="center"/>
          </w:tcPr>
          <w:p w14:paraId="3FBDCCEE">
            <w:pPr>
              <w:tabs>
                <w:tab w:val="left" w:pos="420"/>
              </w:tabs>
              <w:spacing w:before="0" w:line="20" w:lineRule="atLeast"/>
              <w:jc w:val="center"/>
              <w:rPr>
                <w:rFonts w:hint="default" w:ascii="宋体" w:hAnsi="宋体" w:eastAsia="宋体" w:cs="宋体"/>
                <w:b/>
                <w:bCs/>
                <w:color w:val="auto"/>
                <w:kern w:val="2"/>
                <w:sz w:val="21"/>
                <w:szCs w:val="21"/>
              </w:rPr>
            </w:pPr>
            <w:r>
              <w:rPr>
                <w:rFonts w:ascii="宋体" w:hAnsi="宋体" w:eastAsia="宋体" w:cs="宋体"/>
                <w:b/>
                <w:bCs/>
                <w:color w:val="auto"/>
                <w:kern w:val="2"/>
                <w:sz w:val="21"/>
                <w:szCs w:val="21"/>
              </w:rPr>
              <w:t>评审</w:t>
            </w:r>
          </w:p>
          <w:p w14:paraId="408BC46C">
            <w:pPr>
              <w:tabs>
                <w:tab w:val="left" w:pos="420"/>
              </w:tabs>
              <w:spacing w:before="0" w:line="20" w:lineRule="atLeast"/>
              <w:jc w:val="center"/>
              <w:rPr>
                <w:rFonts w:hint="default"/>
                <w:color w:val="auto"/>
              </w:rPr>
            </w:pPr>
            <w:r>
              <w:rPr>
                <w:rFonts w:ascii="宋体" w:hAnsi="宋体" w:eastAsia="宋体" w:cs="宋体"/>
                <w:b/>
                <w:bCs/>
                <w:color w:val="auto"/>
                <w:kern w:val="2"/>
                <w:sz w:val="21"/>
                <w:szCs w:val="21"/>
              </w:rPr>
              <w:t>项目</w:t>
            </w:r>
          </w:p>
        </w:tc>
        <w:tc>
          <w:tcPr>
            <w:tcW w:w="3751" w:type="dxa"/>
            <w:shd w:val="clear" w:color="auto" w:fill="DEEAF6"/>
            <w:noWrap w:val="0"/>
            <w:tcMar>
              <w:top w:w="80" w:type="dxa"/>
              <w:left w:w="80" w:type="dxa"/>
              <w:bottom w:w="80" w:type="dxa"/>
              <w:right w:w="80" w:type="dxa"/>
            </w:tcMar>
            <w:vAlign w:val="center"/>
          </w:tcPr>
          <w:p w14:paraId="42FFD389">
            <w:pPr>
              <w:tabs>
                <w:tab w:val="left" w:pos="420"/>
                <w:tab w:val="left" w:pos="840"/>
                <w:tab w:val="left" w:pos="1260"/>
                <w:tab w:val="left" w:pos="1680"/>
                <w:tab w:val="left" w:pos="2100"/>
                <w:tab w:val="left" w:pos="2520"/>
                <w:tab w:val="left" w:pos="2940"/>
                <w:tab w:val="left" w:pos="3360"/>
              </w:tabs>
              <w:spacing w:before="0" w:line="20" w:lineRule="atLeast"/>
              <w:jc w:val="center"/>
              <w:rPr>
                <w:rFonts w:hint="default"/>
                <w:color w:val="auto"/>
              </w:rPr>
            </w:pPr>
            <w:r>
              <w:rPr>
                <w:rFonts w:ascii="宋体" w:hAnsi="宋体" w:eastAsia="宋体" w:cs="宋体"/>
                <w:b/>
                <w:bCs/>
                <w:color w:val="auto"/>
                <w:kern w:val="2"/>
                <w:sz w:val="21"/>
                <w:szCs w:val="21"/>
              </w:rPr>
              <w:t>评审标准</w:t>
            </w:r>
          </w:p>
        </w:tc>
        <w:tc>
          <w:tcPr>
            <w:tcW w:w="1420" w:type="dxa"/>
            <w:shd w:val="clear" w:color="auto" w:fill="DEEAF6"/>
            <w:noWrap w:val="0"/>
            <w:tcMar>
              <w:top w:w="80" w:type="dxa"/>
              <w:left w:w="80" w:type="dxa"/>
              <w:bottom w:w="80" w:type="dxa"/>
              <w:right w:w="80" w:type="dxa"/>
            </w:tcMar>
            <w:vAlign w:val="center"/>
          </w:tcPr>
          <w:p w14:paraId="773714C5">
            <w:pPr>
              <w:tabs>
                <w:tab w:val="left" w:pos="420"/>
                <w:tab w:val="left" w:pos="840"/>
                <w:tab w:val="left" w:pos="1260"/>
              </w:tabs>
              <w:spacing w:before="0" w:line="20" w:lineRule="atLeast"/>
              <w:jc w:val="center"/>
              <w:rPr>
                <w:rFonts w:hint="default"/>
                <w:color w:val="auto"/>
              </w:rPr>
            </w:pPr>
            <w:r>
              <w:rPr>
                <w:rFonts w:ascii="宋体" w:hAnsi="宋体" w:eastAsia="宋体" w:cs="宋体"/>
                <w:b/>
                <w:bCs/>
                <w:color w:val="auto"/>
                <w:kern w:val="2"/>
                <w:sz w:val="21"/>
                <w:szCs w:val="21"/>
              </w:rPr>
              <w:t>证明材料</w:t>
            </w:r>
          </w:p>
        </w:tc>
        <w:tc>
          <w:tcPr>
            <w:tcW w:w="810" w:type="dxa"/>
            <w:shd w:val="clear" w:color="auto" w:fill="DEEAF6"/>
            <w:noWrap w:val="0"/>
            <w:tcMar>
              <w:top w:w="80" w:type="dxa"/>
              <w:left w:w="80" w:type="dxa"/>
              <w:bottom w:w="80" w:type="dxa"/>
              <w:right w:w="80" w:type="dxa"/>
            </w:tcMar>
            <w:vAlign w:val="center"/>
          </w:tcPr>
          <w:p w14:paraId="12EABC19">
            <w:pPr>
              <w:tabs>
                <w:tab w:val="left" w:pos="420"/>
              </w:tabs>
              <w:spacing w:before="0" w:line="20" w:lineRule="atLeast"/>
              <w:jc w:val="center"/>
              <w:rPr>
                <w:rFonts w:hint="default"/>
                <w:color w:val="auto"/>
              </w:rPr>
            </w:pPr>
            <w:r>
              <w:rPr>
                <w:rFonts w:ascii="宋体" w:hAnsi="宋体" w:eastAsia="宋体" w:cs="宋体"/>
                <w:b/>
                <w:bCs/>
                <w:color w:val="auto"/>
                <w:kern w:val="2"/>
                <w:sz w:val="21"/>
                <w:szCs w:val="21"/>
              </w:rPr>
              <w:t>分值</w:t>
            </w:r>
          </w:p>
        </w:tc>
        <w:tc>
          <w:tcPr>
            <w:tcW w:w="840" w:type="dxa"/>
            <w:shd w:val="clear" w:color="auto" w:fill="DEEAF6"/>
            <w:noWrap w:val="0"/>
            <w:tcMar>
              <w:top w:w="80" w:type="dxa"/>
              <w:left w:w="80" w:type="dxa"/>
              <w:bottom w:w="80" w:type="dxa"/>
              <w:right w:w="80" w:type="dxa"/>
            </w:tcMar>
            <w:vAlign w:val="center"/>
          </w:tcPr>
          <w:p w14:paraId="37CC3598">
            <w:pPr>
              <w:tabs>
                <w:tab w:val="left" w:pos="420"/>
                <w:tab w:val="left" w:pos="840"/>
              </w:tabs>
              <w:spacing w:before="0" w:line="20" w:lineRule="atLeast"/>
              <w:jc w:val="center"/>
              <w:rPr>
                <w:rFonts w:hint="default"/>
                <w:color w:val="auto"/>
              </w:rPr>
            </w:pPr>
            <w:r>
              <w:rPr>
                <w:rFonts w:ascii="宋体" w:hAnsi="宋体" w:eastAsia="宋体" w:cs="宋体"/>
                <w:b/>
                <w:bCs/>
                <w:color w:val="auto"/>
                <w:kern w:val="2"/>
                <w:sz w:val="21"/>
                <w:szCs w:val="21"/>
              </w:rPr>
              <w:t>单位</w:t>
            </w:r>
            <w:r>
              <w:rPr>
                <w:rFonts w:ascii="宋体" w:hAnsi="宋体" w:eastAsia="宋体" w:cs="宋体"/>
                <w:b/>
                <w:bCs/>
                <w:color w:val="auto"/>
                <w:kern w:val="2"/>
                <w:sz w:val="21"/>
                <w:szCs w:val="21"/>
                <w:lang w:val="en-US"/>
              </w:rPr>
              <w:t>A</w:t>
            </w:r>
          </w:p>
        </w:tc>
        <w:tc>
          <w:tcPr>
            <w:tcW w:w="956" w:type="dxa"/>
            <w:shd w:val="clear" w:color="auto" w:fill="DEEAF6"/>
            <w:noWrap w:val="0"/>
            <w:tcMar>
              <w:top w:w="80" w:type="dxa"/>
              <w:left w:w="80" w:type="dxa"/>
              <w:bottom w:w="80" w:type="dxa"/>
              <w:right w:w="80" w:type="dxa"/>
            </w:tcMar>
            <w:vAlign w:val="center"/>
          </w:tcPr>
          <w:p w14:paraId="38396ADA">
            <w:pPr>
              <w:tabs>
                <w:tab w:val="left" w:pos="420"/>
                <w:tab w:val="left" w:pos="840"/>
              </w:tabs>
              <w:spacing w:before="0" w:line="20" w:lineRule="atLeast"/>
              <w:jc w:val="center"/>
              <w:rPr>
                <w:rFonts w:hint="default"/>
                <w:color w:val="auto"/>
              </w:rPr>
            </w:pPr>
            <w:r>
              <w:rPr>
                <w:rFonts w:ascii="宋体" w:hAnsi="宋体" w:eastAsia="宋体" w:cs="宋体"/>
                <w:b/>
                <w:bCs/>
                <w:color w:val="auto"/>
                <w:kern w:val="2"/>
                <w:sz w:val="21"/>
                <w:szCs w:val="21"/>
              </w:rPr>
              <w:t>单位</w:t>
            </w:r>
            <w:r>
              <w:rPr>
                <w:rFonts w:ascii="宋体" w:hAnsi="宋体" w:eastAsia="宋体" w:cs="宋体"/>
                <w:b/>
                <w:bCs/>
                <w:color w:val="auto"/>
                <w:kern w:val="2"/>
                <w:sz w:val="21"/>
                <w:szCs w:val="21"/>
                <w:lang w:val="en-US"/>
              </w:rPr>
              <w:t>B</w:t>
            </w:r>
          </w:p>
        </w:tc>
        <w:tc>
          <w:tcPr>
            <w:tcW w:w="827" w:type="dxa"/>
            <w:shd w:val="clear" w:color="auto" w:fill="DEEAF6"/>
            <w:noWrap w:val="0"/>
            <w:tcMar>
              <w:top w:w="80" w:type="dxa"/>
              <w:left w:w="80" w:type="dxa"/>
              <w:bottom w:w="80" w:type="dxa"/>
              <w:right w:w="80" w:type="dxa"/>
            </w:tcMar>
            <w:vAlign w:val="center"/>
          </w:tcPr>
          <w:p w14:paraId="0D0BC6AB">
            <w:pPr>
              <w:tabs>
                <w:tab w:val="left" w:pos="420"/>
              </w:tabs>
              <w:spacing w:before="0" w:line="20" w:lineRule="atLeast"/>
              <w:jc w:val="center"/>
              <w:rPr>
                <w:rFonts w:hint="default"/>
                <w:color w:val="auto"/>
              </w:rPr>
            </w:pPr>
            <w:r>
              <w:rPr>
                <w:rFonts w:ascii="宋体" w:hAnsi="宋体" w:eastAsia="宋体" w:cs="宋体"/>
                <w:b/>
                <w:bCs/>
                <w:color w:val="auto"/>
                <w:kern w:val="2"/>
                <w:sz w:val="21"/>
                <w:szCs w:val="21"/>
              </w:rPr>
              <w:t>单位</w:t>
            </w:r>
            <w:r>
              <w:rPr>
                <w:rFonts w:ascii="宋体" w:hAnsi="宋体" w:eastAsia="宋体" w:cs="宋体"/>
                <w:b/>
                <w:bCs/>
                <w:color w:val="auto"/>
                <w:kern w:val="2"/>
                <w:sz w:val="21"/>
                <w:szCs w:val="21"/>
                <w:lang w:val="en-US"/>
              </w:rPr>
              <w:t>C</w:t>
            </w:r>
          </w:p>
        </w:tc>
      </w:tr>
      <w:tr w14:paraId="7B2D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4315" w:hRule="atLeast"/>
          <w:jc w:val="center"/>
        </w:trPr>
        <w:tc>
          <w:tcPr>
            <w:tcW w:w="556" w:type="dxa"/>
            <w:shd w:val="clear" w:color="auto" w:fill="auto"/>
            <w:noWrap w:val="0"/>
            <w:tcMar>
              <w:top w:w="80" w:type="dxa"/>
              <w:left w:w="80" w:type="dxa"/>
              <w:bottom w:w="80" w:type="dxa"/>
              <w:right w:w="80" w:type="dxa"/>
            </w:tcMar>
            <w:vAlign w:val="center"/>
          </w:tcPr>
          <w:p w14:paraId="5A4BF096">
            <w:pPr>
              <w:tabs>
                <w:tab w:val="left" w:pos="420"/>
              </w:tabs>
              <w:spacing w:before="0" w:line="20" w:lineRule="atLeast"/>
              <w:jc w:val="center"/>
              <w:rPr>
                <w:rFonts w:hint="eastAsia" w:eastAsia="宋体"/>
                <w:color w:val="auto"/>
                <w:lang w:eastAsia="zh-CN"/>
              </w:rPr>
            </w:pPr>
            <w:r>
              <w:rPr>
                <w:rFonts w:hint="eastAsia" w:ascii="宋体" w:hAnsi="宋体" w:eastAsia="宋体" w:cs="宋体"/>
                <w:color w:val="auto"/>
                <w:kern w:val="2"/>
                <w:sz w:val="21"/>
                <w:szCs w:val="21"/>
                <w:lang w:val="en-US" w:eastAsia="zh-CN"/>
              </w:rPr>
              <w:t>1</w:t>
            </w:r>
          </w:p>
        </w:tc>
        <w:tc>
          <w:tcPr>
            <w:tcW w:w="795" w:type="dxa"/>
            <w:shd w:val="clear" w:color="auto" w:fill="auto"/>
            <w:noWrap w:val="0"/>
            <w:tcMar>
              <w:top w:w="80" w:type="dxa"/>
              <w:left w:w="80" w:type="dxa"/>
              <w:bottom w:w="80" w:type="dxa"/>
              <w:right w:w="80" w:type="dxa"/>
            </w:tcMar>
            <w:vAlign w:val="center"/>
          </w:tcPr>
          <w:p w14:paraId="29A0A27C">
            <w:pPr>
              <w:widowControl w:val="0"/>
              <w:tabs>
                <w:tab w:val="left" w:pos="420"/>
              </w:tabs>
              <w:spacing w:before="0" w:line="20" w:lineRule="atLeast"/>
              <w:jc w:val="center"/>
              <w:rPr>
                <w:rFonts w:hint="default"/>
                <w:color w:val="auto"/>
              </w:rPr>
            </w:pPr>
            <w:r>
              <w:rPr>
                <w:rFonts w:ascii="宋体" w:hAnsi="宋体" w:eastAsia="宋体" w:cs="宋体"/>
                <w:color w:val="auto"/>
                <w:kern w:val="2"/>
                <w:sz w:val="21"/>
                <w:szCs w:val="21"/>
              </w:rPr>
              <w:t>团队成员配置评分</w:t>
            </w:r>
          </w:p>
        </w:tc>
        <w:tc>
          <w:tcPr>
            <w:tcW w:w="3751" w:type="dxa"/>
            <w:shd w:val="clear" w:color="auto" w:fill="auto"/>
            <w:noWrap w:val="0"/>
            <w:tcMar>
              <w:top w:w="80" w:type="dxa"/>
              <w:left w:w="80" w:type="dxa"/>
              <w:bottom w:w="80" w:type="dxa"/>
              <w:right w:w="80" w:type="dxa"/>
            </w:tcMar>
            <w:vAlign w:val="center"/>
          </w:tcPr>
          <w:p w14:paraId="2BF5D65D">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lang w:val="en-US" w:eastAsia="zh-CN"/>
              </w:rPr>
            </w:pPr>
            <w:r>
              <w:rPr>
                <w:rFonts w:ascii="宋体" w:hAnsi="宋体" w:eastAsia="宋体" w:cs="宋体"/>
                <w:color w:val="auto"/>
                <w:kern w:val="2"/>
                <w:sz w:val="21"/>
                <w:szCs w:val="21"/>
              </w:rPr>
              <w:t>根据拟派本项目服务人员人数、岗位、从业经验情况，进行横向比较打分</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最高分得分10分。</w:t>
            </w:r>
          </w:p>
          <w:p w14:paraId="5CAF24C6">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eastAsia="宋体"/>
                <w:color w:val="auto"/>
                <w:lang w:val="en-US" w:eastAsia="zh-CN"/>
              </w:rPr>
            </w:pPr>
            <w:r>
              <w:rPr>
                <w:rFonts w:ascii="宋体" w:hAnsi="宋体" w:eastAsia="宋体" w:cs="宋体"/>
                <w:color w:val="auto"/>
                <w:sz w:val="21"/>
                <w:szCs w:val="21"/>
              </w:rPr>
              <w:t>注：须提供拟派遣人员的业绩合同（需要体现业绩类型、时间、种类以及服务人员名称）原件扫描件，如不能体现须提供业绩工作单位证明扫描件。</w:t>
            </w:r>
            <w:r>
              <w:rPr>
                <w:rFonts w:hint="eastAsia" w:ascii="宋体" w:hAnsi="宋体" w:eastAsia="宋体" w:cs="宋体"/>
                <w:color w:val="auto"/>
                <w:sz w:val="21"/>
                <w:szCs w:val="21"/>
                <w:lang w:val="en-US" w:eastAsia="zh-CN"/>
              </w:rPr>
              <w:t>服务团队人员更换需征得我司书面同意，否则按服务合同进行相应扣款。</w:t>
            </w:r>
          </w:p>
        </w:tc>
        <w:tc>
          <w:tcPr>
            <w:tcW w:w="1420" w:type="dxa"/>
            <w:shd w:val="clear" w:color="auto" w:fill="auto"/>
            <w:noWrap w:val="0"/>
            <w:tcMar>
              <w:top w:w="80" w:type="dxa"/>
              <w:left w:w="80" w:type="dxa"/>
              <w:bottom w:w="80" w:type="dxa"/>
              <w:right w:w="80" w:type="dxa"/>
            </w:tcMar>
            <w:vAlign w:val="center"/>
          </w:tcPr>
          <w:p w14:paraId="3F063865">
            <w:pPr>
              <w:widowControl w:val="0"/>
              <w:tabs>
                <w:tab w:val="left" w:pos="420"/>
                <w:tab w:val="left" w:pos="840"/>
                <w:tab w:val="left" w:pos="1260"/>
              </w:tabs>
              <w:spacing w:before="0" w:line="20" w:lineRule="atLeast"/>
              <w:jc w:val="center"/>
              <w:rPr>
                <w:rFonts w:hint="eastAsia" w:eastAsia="宋体"/>
                <w:color w:val="auto"/>
                <w:lang w:val="en-US" w:eastAsia="zh-CN"/>
              </w:rPr>
            </w:pPr>
            <w:r>
              <w:rPr>
                <w:rFonts w:ascii="宋体" w:hAnsi="宋体" w:eastAsia="宋体" w:cs="宋体"/>
                <w:color w:val="auto"/>
                <w:kern w:val="2"/>
                <w:sz w:val="21"/>
                <w:szCs w:val="21"/>
              </w:rPr>
              <w:t>提供拟派遣人员的业绩合同和专业证书（如相关专业毕业证、从业证等）复印件加盖公章</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（业绩合同可以仅提供关键页及盖章页，其它具体内容可不提供）</w:t>
            </w:r>
          </w:p>
        </w:tc>
        <w:tc>
          <w:tcPr>
            <w:tcW w:w="810" w:type="dxa"/>
            <w:shd w:val="clear" w:color="auto" w:fill="auto"/>
            <w:noWrap w:val="0"/>
            <w:tcMar>
              <w:top w:w="80" w:type="dxa"/>
              <w:left w:w="80" w:type="dxa"/>
              <w:bottom w:w="80" w:type="dxa"/>
              <w:right w:w="80" w:type="dxa"/>
            </w:tcMar>
            <w:vAlign w:val="center"/>
          </w:tcPr>
          <w:p w14:paraId="50E9FDEF">
            <w:pPr>
              <w:widowControl w:val="0"/>
              <w:tabs>
                <w:tab w:val="left" w:pos="420"/>
              </w:tabs>
              <w:spacing w:before="0" w:line="20" w:lineRule="atLeast"/>
              <w:jc w:val="center"/>
              <w:rPr>
                <w:rFonts w:hint="default"/>
                <w:color w:val="auto"/>
              </w:rPr>
            </w:pPr>
            <w:r>
              <w:rPr>
                <w:rFonts w:hint="eastAsia" w:ascii="宋体" w:hAnsi="宋体" w:eastAsia="宋体" w:cs="宋体"/>
                <w:color w:val="auto"/>
                <w:kern w:val="2"/>
                <w:sz w:val="21"/>
                <w:szCs w:val="21"/>
                <w:lang w:val="en-US" w:eastAsia="zh-CN"/>
              </w:rPr>
              <w:t>10</w:t>
            </w:r>
            <w:r>
              <w:rPr>
                <w:rFonts w:ascii="宋体" w:hAnsi="宋体" w:eastAsia="宋体" w:cs="宋体"/>
                <w:color w:val="auto"/>
                <w:kern w:val="2"/>
                <w:sz w:val="21"/>
                <w:szCs w:val="21"/>
              </w:rPr>
              <w:t>分</w:t>
            </w:r>
          </w:p>
        </w:tc>
        <w:tc>
          <w:tcPr>
            <w:tcW w:w="840" w:type="dxa"/>
            <w:shd w:val="clear" w:color="auto" w:fill="auto"/>
            <w:noWrap w:val="0"/>
            <w:tcMar>
              <w:top w:w="80" w:type="dxa"/>
              <w:left w:w="80" w:type="dxa"/>
              <w:bottom w:w="80" w:type="dxa"/>
              <w:right w:w="80" w:type="dxa"/>
            </w:tcMar>
            <w:vAlign w:val="center"/>
          </w:tcPr>
          <w:p w14:paraId="70B4D5F5">
            <w:pPr>
              <w:rPr>
                <w:rFonts w:hint="default"/>
                <w:color w:val="auto"/>
              </w:rPr>
            </w:pPr>
          </w:p>
        </w:tc>
        <w:tc>
          <w:tcPr>
            <w:tcW w:w="956" w:type="dxa"/>
            <w:shd w:val="clear" w:color="auto" w:fill="auto"/>
            <w:noWrap w:val="0"/>
            <w:tcMar>
              <w:top w:w="80" w:type="dxa"/>
              <w:left w:w="80" w:type="dxa"/>
              <w:bottom w:w="80" w:type="dxa"/>
              <w:right w:w="80" w:type="dxa"/>
            </w:tcMar>
            <w:vAlign w:val="center"/>
          </w:tcPr>
          <w:p w14:paraId="2CB2DAA9">
            <w:pPr>
              <w:rPr>
                <w:rFonts w:hint="default"/>
                <w:color w:val="auto"/>
              </w:rPr>
            </w:pPr>
          </w:p>
        </w:tc>
        <w:tc>
          <w:tcPr>
            <w:tcW w:w="827" w:type="dxa"/>
            <w:shd w:val="clear" w:color="auto" w:fill="auto"/>
            <w:noWrap w:val="0"/>
            <w:tcMar>
              <w:top w:w="80" w:type="dxa"/>
              <w:left w:w="80" w:type="dxa"/>
              <w:bottom w:w="80" w:type="dxa"/>
              <w:right w:w="80" w:type="dxa"/>
            </w:tcMar>
            <w:vAlign w:val="center"/>
          </w:tcPr>
          <w:p w14:paraId="1F153393">
            <w:pPr>
              <w:rPr>
                <w:rFonts w:hint="default"/>
                <w:color w:val="auto"/>
              </w:rPr>
            </w:pPr>
          </w:p>
        </w:tc>
      </w:tr>
      <w:tr w14:paraId="30D0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560" w:hRule="atLeast"/>
          <w:jc w:val="center"/>
        </w:trPr>
        <w:tc>
          <w:tcPr>
            <w:tcW w:w="556" w:type="dxa"/>
            <w:shd w:val="clear" w:color="auto" w:fill="auto"/>
            <w:noWrap w:val="0"/>
            <w:tcMar>
              <w:top w:w="80" w:type="dxa"/>
              <w:left w:w="80" w:type="dxa"/>
              <w:bottom w:w="80" w:type="dxa"/>
              <w:right w:w="80" w:type="dxa"/>
            </w:tcMar>
            <w:vAlign w:val="center"/>
          </w:tcPr>
          <w:p w14:paraId="6C7D9ACA">
            <w:pPr>
              <w:tabs>
                <w:tab w:val="left" w:pos="420"/>
              </w:tabs>
              <w:spacing w:before="0" w:line="20" w:lineRule="atLeast"/>
              <w:jc w:val="center"/>
              <w:rPr>
                <w:rFonts w:hint="eastAsia" w:eastAsia="宋体"/>
                <w:color w:val="auto"/>
                <w:lang w:eastAsia="zh-CN"/>
              </w:rPr>
            </w:pPr>
            <w:r>
              <w:rPr>
                <w:rFonts w:hint="eastAsia" w:ascii="宋体" w:hAnsi="宋体" w:eastAsia="宋体" w:cs="宋体"/>
                <w:color w:val="auto"/>
                <w:kern w:val="2"/>
                <w:sz w:val="21"/>
                <w:szCs w:val="21"/>
                <w:lang w:val="en-US" w:eastAsia="zh-CN"/>
              </w:rPr>
              <w:t>2</w:t>
            </w:r>
          </w:p>
        </w:tc>
        <w:tc>
          <w:tcPr>
            <w:tcW w:w="795" w:type="dxa"/>
            <w:shd w:val="clear" w:color="auto" w:fill="auto"/>
            <w:noWrap w:val="0"/>
            <w:tcMar>
              <w:top w:w="80" w:type="dxa"/>
              <w:left w:w="80" w:type="dxa"/>
              <w:bottom w:w="80" w:type="dxa"/>
              <w:right w:w="80" w:type="dxa"/>
            </w:tcMar>
            <w:vAlign w:val="center"/>
          </w:tcPr>
          <w:p w14:paraId="4AFB74CF">
            <w:pPr>
              <w:widowControl w:val="0"/>
              <w:tabs>
                <w:tab w:val="left" w:pos="420"/>
              </w:tabs>
              <w:spacing w:before="0" w:line="20" w:lineRule="atLeast"/>
              <w:jc w:val="center"/>
              <w:rPr>
                <w:rFonts w:hint="default"/>
                <w:color w:val="auto"/>
              </w:rPr>
            </w:pPr>
            <w:r>
              <w:rPr>
                <w:rFonts w:ascii="宋体" w:hAnsi="宋体" w:eastAsia="宋体" w:cs="宋体"/>
                <w:color w:val="auto"/>
                <w:sz w:val="21"/>
                <w:szCs w:val="21"/>
              </w:rPr>
              <w:t>响应文件编制质量</w:t>
            </w:r>
          </w:p>
        </w:tc>
        <w:tc>
          <w:tcPr>
            <w:tcW w:w="3751" w:type="dxa"/>
            <w:shd w:val="clear" w:color="auto" w:fill="auto"/>
            <w:noWrap w:val="0"/>
            <w:tcMar>
              <w:top w:w="80" w:type="dxa"/>
              <w:left w:w="80" w:type="dxa"/>
              <w:bottom w:w="80" w:type="dxa"/>
              <w:right w:w="80" w:type="dxa"/>
            </w:tcMar>
            <w:vAlign w:val="center"/>
          </w:tcPr>
          <w:p w14:paraId="6F82B7DE">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sz w:val="21"/>
                <w:szCs w:val="21"/>
              </w:rPr>
            </w:pPr>
            <w:r>
              <w:rPr>
                <w:rFonts w:ascii="宋体" w:hAnsi="宋体" w:eastAsia="宋体" w:cs="宋体"/>
                <w:color w:val="auto"/>
                <w:sz w:val="21"/>
                <w:szCs w:val="21"/>
                <w:lang w:val="en-US"/>
              </w:rPr>
              <w:t>1</w:t>
            </w:r>
            <w:r>
              <w:rPr>
                <w:rFonts w:ascii="宋体" w:hAnsi="宋体" w:eastAsia="宋体" w:cs="宋体"/>
                <w:color w:val="auto"/>
                <w:sz w:val="21"/>
                <w:szCs w:val="21"/>
              </w:rPr>
              <w:t>、响应文件有缺漏项或出现前后不一致但未导致实质性偏离的；</w:t>
            </w:r>
          </w:p>
          <w:p w14:paraId="2DC120F1">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sz w:val="21"/>
                <w:szCs w:val="21"/>
              </w:rPr>
            </w:pPr>
            <w:r>
              <w:rPr>
                <w:rFonts w:ascii="宋体" w:hAnsi="宋体" w:eastAsia="宋体" w:cs="宋体"/>
                <w:color w:val="auto"/>
                <w:sz w:val="21"/>
                <w:szCs w:val="21"/>
                <w:lang w:val="en-US"/>
              </w:rPr>
              <w:t>2</w:t>
            </w:r>
            <w:r>
              <w:rPr>
                <w:rFonts w:ascii="宋体" w:hAnsi="宋体" w:eastAsia="宋体" w:cs="宋体"/>
                <w:color w:val="auto"/>
                <w:sz w:val="21"/>
                <w:szCs w:val="21"/>
              </w:rPr>
              <w:t>、响应文件资料扫描不清晰的；</w:t>
            </w:r>
          </w:p>
          <w:p w14:paraId="1998450A">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sz w:val="21"/>
                <w:szCs w:val="21"/>
              </w:rPr>
            </w:pPr>
            <w:r>
              <w:rPr>
                <w:rFonts w:ascii="宋体" w:hAnsi="宋体" w:eastAsia="宋体" w:cs="宋体"/>
                <w:color w:val="auto"/>
                <w:sz w:val="21"/>
                <w:szCs w:val="21"/>
                <w:lang w:val="en-US"/>
              </w:rPr>
              <w:t>3</w:t>
            </w:r>
            <w:r>
              <w:rPr>
                <w:rFonts w:ascii="宋体" w:hAnsi="宋体" w:eastAsia="宋体" w:cs="宋体"/>
                <w:color w:val="auto"/>
                <w:sz w:val="21"/>
                <w:szCs w:val="21"/>
              </w:rPr>
              <w:t>、响应文件未按节点编排的。</w:t>
            </w:r>
          </w:p>
          <w:p w14:paraId="23433C33">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color w:val="auto"/>
              </w:rPr>
            </w:pPr>
            <w:r>
              <w:rPr>
                <w:rFonts w:ascii="宋体" w:hAnsi="宋体" w:eastAsia="宋体" w:cs="宋体"/>
                <w:color w:val="auto"/>
                <w:sz w:val="21"/>
                <w:szCs w:val="21"/>
              </w:rPr>
              <w:t>以上情况每出现一种扣</w:t>
            </w:r>
            <w:r>
              <w:rPr>
                <w:rFonts w:hint="eastAsia" w:ascii="宋体" w:hAnsi="宋体" w:eastAsia="宋体" w:cs="宋体"/>
                <w:color w:val="auto"/>
                <w:sz w:val="21"/>
                <w:szCs w:val="21"/>
                <w:lang w:val="en-US" w:eastAsia="zh-CN"/>
              </w:rPr>
              <w:t>2</w:t>
            </w:r>
            <w:r>
              <w:rPr>
                <w:rFonts w:ascii="宋体" w:hAnsi="宋体" w:eastAsia="宋体" w:cs="宋体"/>
                <w:color w:val="auto"/>
                <w:sz w:val="21"/>
                <w:szCs w:val="21"/>
              </w:rPr>
              <w:t>分，最低</w:t>
            </w:r>
            <w:r>
              <w:rPr>
                <w:rFonts w:ascii="宋体" w:hAnsi="宋体" w:eastAsia="宋体" w:cs="宋体"/>
                <w:color w:val="auto"/>
                <w:sz w:val="21"/>
                <w:szCs w:val="21"/>
                <w:lang w:val="en-US"/>
              </w:rPr>
              <w:t>0</w:t>
            </w:r>
            <w:r>
              <w:rPr>
                <w:rFonts w:ascii="宋体" w:hAnsi="宋体" w:eastAsia="宋体" w:cs="宋体"/>
                <w:color w:val="auto"/>
                <w:sz w:val="21"/>
                <w:szCs w:val="21"/>
              </w:rPr>
              <w:t>分。无上述情况本项得</w:t>
            </w:r>
            <w:r>
              <w:rPr>
                <w:rFonts w:hint="eastAsia" w:ascii="宋体" w:hAnsi="宋体" w:eastAsia="宋体" w:cs="宋体"/>
                <w:color w:val="auto"/>
                <w:sz w:val="21"/>
                <w:szCs w:val="21"/>
                <w:lang w:val="en-US" w:eastAsia="zh-CN"/>
              </w:rPr>
              <w:t>5</w:t>
            </w:r>
            <w:r>
              <w:rPr>
                <w:rFonts w:ascii="宋体" w:hAnsi="宋体" w:eastAsia="宋体" w:cs="宋体"/>
                <w:color w:val="auto"/>
                <w:sz w:val="21"/>
                <w:szCs w:val="21"/>
              </w:rPr>
              <w:t>分。</w:t>
            </w:r>
          </w:p>
        </w:tc>
        <w:tc>
          <w:tcPr>
            <w:tcW w:w="1420" w:type="dxa"/>
            <w:shd w:val="clear" w:color="auto" w:fill="auto"/>
            <w:noWrap w:val="0"/>
            <w:tcMar>
              <w:top w:w="80" w:type="dxa"/>
              <w:left w:w="80" w:type="dxa"/>
              <w:bottom w:w="80" w:type="dxa"/>
              <w:right w:w="80" w:type="dxa"/>
            </w:tcMar>
            <w:vAlign w:val="center"/>
          </w:tcPr>
          <w:p w14:paraId="03690DC3">
            <w:pPr>
              <w:widowControl w:val="0"/>
              <w:tabs>
                <w:tab w:val="left" w:pos="420"/>
                <w:tab w:val="left" w:pos="840"/>
                <w:tab w:val="left" w:pos="1260"/>
              </w:tabs>
              <w:spacing w:before="0" w:line="20" w:lineRule="atLeast"/>
              <w:jc w:val="center"/>
              <w:rPr>
                <w:rFonts w:hint="default"/>
                <w:color w:val="auto"/>
              </w:rPr>
            </w:pPr>
            <w:r>
              <w:rPr>
                <w:rFonts w:ascii="宋体" w:hAnsi="宋体" w:eastAsia="宋体" w:cs="宋体"/>
                <w:color w:val="auto"/>
                <w:sz w:val="21"/>
                <w:szCs w:val="21"/>
              </w:rPr>
              <w:t>提供完整投标文件，专家评审</w:t>
            </w:r>
          </w:p>
        </w:tc>
        <w:tc>
          <w:tcPr>
            <w:tcW w:w="810" w:type="dxa"/>
            <w:shd w:val="clear" w:color="auto" w:fill="auto"/>
            <w:noWrap w:val="0"/>
            <w:tcMar>
              <w:top w:w="80" w:type="dxa"/>
              <w:left w:w="80" w:type="dxa"/>
              <w:bottom w:w="80" w:type="dxa"/>
              <w:right w:w="80" w:type="dxa"/>
            </w:tcMar>
            <w:vAlign w:val="center"/>
          </w:tcPr>
          <w:p w14:paraId="5A8F569F">
            <w:pPr>
              <w:widowControl w:val="0"/>
              <w:tabs>
                <w:tab w:val="left" w:pos="420"/>
              </w:tabs>
              <w:spacing w:before="0" w:line="20" w:lineRule="atLeast"/>
              <w:jc w:val="center"/>
              <w:rPr>
                <w:rFonts w:hint="eastAsia" w:eastAsia="宋体"/>
                <w:color w:val="auto"/>
                <w:lang w:val="en-US" w:eastAsia="zh-CN"/>
              </w:rPr>
            </w:pPr>
            <w:r>
              <w:rPr>
                <w:rFonts w:hint="eastAsia" w:ascii="宋体" w:hAnsi="宋体" w:eastAsia="宋体" w:cs="宋体"/>
                <w:color w:val="auto"/>
                <w:sz w:val="21"/>
                <w:szCs w:val="21"/>
                <w:lang w:val="en-US" w:eastAsia="zh-CN"/>
              </w:rPr>
              <w:t>5分</w:t>
            </w:r>
          </w:p>
        </w:tc>
        <w:tc>
          <w:tcPr>
            <w:tcW w:w="840" w:type="dxa"/>
            <w:shd w:val="clear" w:color="auto" w:fill="auto"/>
            <w:noWrap w:val="0"/>
            <w:tcMar>
              <w:top w:w="80" w:type="dxa"/>
              <w:left w:w="80" w:type="dxa"/>
              <w:bottom w:w="80" w:type="dxa"/>
              <w:right w:w="80" w:type="dxa"/>
            </w:tcMar>
            <w:vAlign w:val="center"/>
          </w:tcPr>
          <w:p w14:paraId="25097A91">
            <w:pPr>
              <w:rPr>
                <w:rFonts w:hint="default"/>
                <w:color w:val="auto"/>
              </w:rPr>
            </w:pPr>
          </w:p>
        </w:tc>
        <w:tc>
          <w:tcPr>
            <w:tcW w:w="956" w:type="dxa"/>
            <w:shd w:val="clear" w:color="auto" w:fill="auto"/>
            <w:noWrap w:val="0"/>
            <w:tcMar>
              <w:top w:w="80" w:type="dxa"/>
              <w:left w:w="80" w:type="dxa"/>
              <w:bottom w:w="80" w:type="dxa"/>
              <w:right w:w="80" w:type="dxa"/>
            </w:tcMar>
            <w:vAlign w:val="center"/>
          </w:tcPr>
          <w:p w14:paraId="7AA8DBD0">
            <w:pPr>
              <w:rPr>
                <w:rFonts w:hint="default"/>
                <w:color w:val="auto"/>
              </w:rPr>
            </w:pPr>
          </w:p>
        </w:tc>
        <w:tc>
          <w:tcPr>
            <w:tcW w:w="827" w:type="dxa"/>
            <w:shd w:val="clear" w:color="auto" w:fill="auto"/>
            <w:noWrap w:val="0"/>
            <w:tcMar>
              <w:top w:w="80" w:type="dxa"/>
              <w:left w:w="80" w:type="dxa"/>
              <w:bottom w:w="80" w:type="dxa"/>
              <w:right w:w="80" w:type="dxa"/>
            </w:tcMar>
            <w:vAlign w:val="center"/>
          </w:tcPr>
          <w:p w14:paraId="0ADE0A36">
            <w:pPr>
              <w:rPr>
                <w:rFonts w:hint="default"/>
                <w:color w:val="auto"/>
              </w:rPr>
            </w:pPr>
          </w:p>
        </w:tc>
      </w:tr>
      <w:tr w14:paraId="5952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4360" w:hRule="atLeast"/>
          <w:jc w:val="center"/>
        </w:trPr>
        <w:tc>
          <w:tcPr>
            <w:tcW w:w="556" w:type="dxa"/>
            <w:shd w:val="clear" w:color="auto" w:fill="auto"/>
            <w:noWrap w:val="0"/>
            <w:tcMar>
              <w:top w:w="80" w:type="dxa"/>
              <w:left w:w="80" w:type="dxa"/>
              <w:bottom w:w="80" w:type="dxa"/>
              <w:right w:w="80" w:type="dxa"/>
            </w:tcMar>
            <w:vAlign w:val="center"/>
          </w:tcPr>
          <w:p w14:paraId="1B96F56E">
            <w:pPr>
              <w:tabs>
                <w:tab w:val="left" w:pos="420"/>
              </w:tabs>
              <w:spacing w:before="0" w:line="20" w:lineRule="atLeast"/>
              <w:jc w:val="center"/>
              <w:rPr>
                <w:rFonts w:hint="eastAsia" w:eastAsia="宋体"/>
                <w:color w:val="auto"/>
                <w:lang w:eastAsia="zh-CN"/>
              </w:rPr>
            </w:pPr>
            <w:r>
              <w:rPr>
                <w:rFonts w:hint="eastAsia" w:ascii="宋体" w:hAnsi="宋体" w:eastAsia="宋体" w:cs="宋体"/>
                <w:color w:val="auto"/>
                <w:kern w:val="2"/>
                <w:sz w:val="21"/>
                <w:szCs w:val="21"/>
                <w:lang w:val="en-US" w:eastAsia="zh-CN"/>
              </w:rPr>
              <w:t>3</w:t>
            </w:r>
          </w:p>
        </w:tc>
        <w:tc>
          <w:tcPr>
            <w:tcW w:w="795" w:type="dxa"/>
            <w:shd w:val="clear" w:color="auto" w:fill="auto"/>
            <w:noWrap w:val="0"/>
            <w:tcMar>
              <w:top w:w="80" w:type="dxa"/>
              <w:left w:w="80" w:type="dxa"/>
              <w:bottom w:w="80" w:type="dxa"/>
              <w:right w:w="80" w:type="dxa"/>
            </w:tcMar>
            <w:vAlign w:val="center"/>
          </w:tcPr>
          <w:p w14:paraId="311B9125">
            <w:pPr>
              <w:widowControl w:val="0"/>
              <w:tabs>
                <w:tab w:val="left" w:pos="420"/>
              </w:tabs>
              <w:spacing w:before="0" w:line="20" w:lineRule="atLeast"/>
              <w:jc w:val="center"/>
              <w:rPr>
                <w:rFonts w:hint="default"/>
                <w:color w:val="auto"/>
              </w:rPr>
            </w:pPr>
            <w:r>
              <w:rPr>
                <w:rFonts w:ascii="宋体" w:hAnsi="宋体" w:eastAsia="宋体" w:cs="宋体"/>
                <w:color w:val="auto"/>
                <w:kern w:val="2"/>
                <w:sz w:val="21"/>
                <w:szCs w:val="21"/>
              </w:rPr>
              <w:t>技术服务方案评审</w:t>
            </w:r>
          </w:p>
        </w:tc>
        <w:tc>
          <w:tcPr>
            <w:tcW w:w="3751" w:type="dxa"/>
            <w:shd w:val="clear" w:color="auto" w:fill="auto"/>
            <w:noWrap w:val="0"/>
            <w:tcMar>
              <w:top w:w="80" w:type="dxa"/>
              <w:left w:w="80" w:type="dxa"/>
              <w:bottom w:w="80" w:type="dxa"/>
              <w:right w:w="80" w:type="dxa"/>
            </w:tcMar>
            <w:vAlign w:val="center"/>
          </w:tcPr>
          <w:p w14:paraId="7B49DC4A">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kern w:val="2"/>
                <w:sz w:val="21"/>
                <w:szCs w:val="21"/>
              </w:rPr>
            </w:pPr>
            <w:r>
              <w:rPr>
                <w:rFonts w:ascii="宋体" w:hAnsi="宋体" w:eastAsia="宋体" w:cs="宋体"/>
                <w:color w:val="auto"/>
                <w:kern w:val="2"/>
                <w:sz w:val="21"/>
                <w:szCs w:val="21"/>
              </w:rPr>
              <w:t>对本项目工作内容的理解是否全面、准确进行横向比较评分：</w:t>
            </w:r>
          </w:p>
          <w:p w14:paraId="7098B29C">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kern w:val="2"/>
                <w:sz w:val="21"/>
                <w:szCs w:val="21"/>
              </w:rPr>
            </w:pPr>
            <w:r>
              <w:rPr>
                <w:rFonts w:ascii="宋体" w:hAnsi="宋体" w:eastAsia="宋体" w:cs="宋体"/>
                <w:color w:val="auto"/>
                <w:kern w:val="2"/>
                <w:sz w:val="21"/>
                <w:szCs w:val="21"/>
              </w:rPr>
              <w:t>评优得</w:t>
            </w:r>
            <w:r>
              <w:rPr>
                <w:rFonts w:hint="eastAsia" w:ascii="宋体" w:hAnsi="宋体" w:eastAsia="宋体" w:cs="宋体"/>
                <w:color w:val="auto"/>
                <w:kern w:val="2"/>
                <w:sz w:val="21"/>
                <w:szCs w:val="21"/>
                <w:lang w:val="en-US" w:eastAsia="zh-CN"/>
              </w:rPr>
              <w:t>25</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30</w:t>
            </w:r>
            <w:r>
              <w:rPr>
                <w:rFonts w:ascii="宋体" w:hAnsi="宋体" w:eastAsia="宋体" w:cs="宋体"/>
                <w:color w:val="auto"/>
                <w:kern w:val="2"/>
                <w:sz w:val="21"/>
                <w:szCs w:val="21"/>
              </w:rPr>
              <w:t>分，良得</w:t>
            </w:r>
            <w:r>
              <w:rPr>
                <w:rFonts w:hint="eastAsia" w:ascii="宋体" w:hAnsi="宋体" w:eastAsia="宋体" w:cs="宋体"/>
                <w:color w:val="auto"/>
                <w:kern w:val="2"/>
                <w:sz w:val="21"/>
                <w:szCs w:val="21"/>
                <w:lang w:val="en-US" w:eastAsia="zh-CN"/>
              </w:rPr>
              <w:t>20</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25</w:t>
            </w:r>
            <w:r>
              <w:rPr>
                <w:rFonts w:ascii="宋体" w:hAnsi="宋体" w:eastAsia="宋体" w:cs="宋体"/>
                <w:color w:val="auto"/>
                <w:kern w:val="2"/>
                <w:sz w:val="21"/>
                <w:szCs w:val="21"/>
              </w:rPr>
              <w:t>分，中得</w:t>
            </w:r>
            <w:r>
              <w:rPr>
                <w:rFonts w:hint="eastAsia" w:ascii="宋体" w:hAnsi="宋体" w:eastAsia="宋体" w:cs="宋体"/>
                <w:color w:val="auto"/>
                <w:kern w:val="2"/>
                <w:sz w:val="21"/>
                <w:szCs w:val="21"/>
                <w:lang w:val="en-US" w:eastAsia="zh-CN"/>
              </w:rPr>
              <w:t>10</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20</w:t>
            </w:r>
            <w:r>
              <w:rPr>
                <w:rFonts w:ascii="宋体" w:hAnsi="宋体" w:eastAsia="宋体" w:cs="宋体"/>
                <w:color w:val="auto"/>
                <w:kern w:val="2"/>
                <w:sz w:val="21"/>
                <w:szCs w:val="21"/>
              </w:rPr>
              <w:t>分，差得</w:t>
            </w:r>
            <w:r>
              <w:rPr>
                <w:rFonts w:ascii="宋体" w:hAnsi="宋体" w:eastAsia="宋体" w:cs="宋体"/>
                <w:color w:val="auto"/>
                <w:kern w:val="2"/>
                <w:sz w:val="21"/>
                <w:szCs w:val="21"/>
                <w:lang w:val="en-US"/>
              </w:rPr>
              <w:t>0</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10</w:t>
            </w:r>
            <w:r>
              <w:rPr>
                <w:rFonts w:ascii="宋体" w:hAnsi="宋体" w:eastAsia="宋体" w:cs="宋体"/>
                <w:color w:val="auto"/>
                <w:kern w:val="2"/>
                <w:sz w:val="21"/>
                <w:szCs w:val="21"/>
              </w:rPr>
              <w:t>分。</w:t>
            </w:r>
          </w:p>
          <w:p w14:paraId="5977573F">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color w:val="auto"/>
              </w:rPr>
            </w:pPr>
            <w:r>
              <w:rPr>
                <w:rFonts w:ascii="宋体" w:hAnsi="宋体" w:eastAsia="宋体" w:cs="宋体"/>
                <w:color w:val="auto"/>
                <w:kern w:val="2"/>
                <w:sz w:val="21"/>
                <w:szCs w:val="21"/>
              </w:rPr>
              <w:t>打分参考：综合评审服务方案中对我集团服务需求及配套需求进行任务分解情况、技术服务团队工作职责及运作安排情况、各项过程技术服务成果质量把控能力、过程资料及档案管理、其他相关事宜。</w:t>
            </w:r>
          </w:p>
        </w:tc>
        <w:tc>
          <w:tcPr>
            <w:tcW w:w="1420" w:type="dxa"/>
            <w:shd w:val="clear" w:color="auto" w:fill="auto"/>
            <w:noWrap w:val="0"/>
            <w:tcMar>
              <w:top w:w="80" w:type="dxa"/>
              <w:left w:w="80" w:type="dxa"/>
              <w:bottom w:w="80" w:type="dxa"/>
              <w:right w:w="80" w:type="dxa"/>
            </w:tcMar>
            <w:vAlign w:val="center"/>
          </w:tcPr>
          <w:p w14:paraId="13651399">
            <w:pPr>
              <w:widowControl w:val="0"/>
              <w:tabs>
                <w:tab w:val="left" w:pos="420"/>
                <w:tab w:val="left" w:pos="840"/>
                <w:tab w:val="left" w:pos="1260"/>
              </w:tabs>
              <w:spacing w:before="0" w:line="20" w:lineRule="atLeast"/>
              <w:jc w:val="center"/>
              <w:rPr>
                <w:rFonts w:hint="default"/>
                <w:color w:val="auto"/>
              </w:rPr>
            </w:pPr>
            <w:r>
              <w:rPr>
                <w:rFonts w:ascii="宋体" w:hAnsi="宋体" w:eastAsia="宋体" w:cs="宋体"/>
                <w:color w:val="auto"/>
                <w:kern w:val="2"/>
                <w:sz w:val="21"/>
                <w:szCs w:val="21"/>
              </w:rPr>
              <w:t>提供技术服务方案，并加盖公章</w:t>
            </w:r>
          </w:p>
        </w:tc>
        <w:tc>
          <w:tcPr>
            <w:tcW w:w="810" w:type="dxa"/>
            <w:shd w:val="clear" w:color="auto" w:fill="auto"/>
            <w:noWrap w:val="0"/>
            <w:tcMar>
              <w:top w:w="80" w:type="dxa"/>
              <w:left w:w="80" w:type="dxa"/>
              <w:bottom w:w="80" w:type="dxa"/>
              <w:right w:w="80" w:type="dxa"/>
            </w:tcMar>
            <w:vAlign w:val="center"/>
          </w:tcPr>
          <w:p w14:paraId="0D6D18C9">
            <w:pPr>
              <w:widowControl w:val="0"/>
              <w:tabs>
                <w:tab w:val="left" w:pos="420"/>
              </w:tabs>
              <w:spacing w:before="0" w:line="20" w:lineRule="atLeast"/>
              <w:jc w:val="center"/>
              <w:rPr>
                <w:rFonts w:hint="default"/>
                <w:color w:val="auto"/>
              </w:rPr>
            </w:pPr>
            <w:r>
              <w:rPr>
                <w:rFonts w:hint="eastAsia" w:ascii="宋体" w:hAnsi="宋体" w:eastAsia="宋体" w:cs="宋体"/>
                <w:color w:val="auto"/>
                <w:kern w:val="2"/>
                <w:sz w:val="21"/>
                <w:szCs w:val="21"/>
                <w:lang w:val="en-US" w:eastAsia="zh-CN"/>
              </w:rPr>
              <w:t>30</w:t>
            </w:r>
            <w:r>
              <w:rPr>
                <w:rFonts w:ascii="宋体" w:hAnsi="宋体" w:eastAsia="宋体" w:cs="宋体"/>
                <w:color w:val="auto"/>
                <w:kern w:val="2"/>
                <w:sz w:val="21"/>
                <w:szCs w:val="21"/>
              </w:rPr>
              <w:t>分</w:t>
            </w:r>
          </w:p>
        </w:tc>
        <w:tc>
          <w:tcPr>
            <w:tcW w:w="840" w:type="dxa"/>
            <w:shd w:val="clear" w:color="auto" w:fill="auto"/>
            <w:noWrap w:val="0"/>
            <w:tcMar>
              <w:top w:w="80" w:type="dxa"/>
              <w:left w:w="80" w:type="dxa"/>
              <w:bottom w:w="80" w:type="dxa"/>
              <w:right w:w="80" w:type="dxa"/>
            </w:tcMar>
            <w:vAlign w:val="center"/>
          </w:tcPr>
          <w:p w14:paraId="3A35410B">
            <w:pPr>
              <w:rPr>
                <w:rFonts w:hint="default"/>
                <w:color w:val="auto"/>
              </w:rPr>
            </w:pPr>
          </w:p>
        </w:tc>
        <w:tc>
          <w:tcPr>
            <w:tcW w:w="956" w:type="dxa"/>
            <w:shd w:val="clear" w:color="auto" w:fill="auto"/>
            <w:noWrap w:val="0"/>
            <w:tcMar>
              <w:top w:w="80" w:type="dxa"/>
              <w:left w:w="80" w:type="dxa"/>
              <w:bottom w:w="80" w:type="dxa"/>
              <w:right w:w="80" w:type="dxa"/>
            </w:tcMar>
            <w:vAlign w:val="center"/>
          </w:tcPr>
          <w:p w14:paraId="576DAB65">
            <w:pPr>
              <w:rPr>
                <w:rFonts w:hint="default"/>
                <w:color w:val="auto"/>
              </w:rPr>
            </w:pPr>
          </w:p>
        </w:tc>
        <w:tc>
          <w:tcPr>
            <w:tcW w:w="827" w:type="dxa"/>
            <w:shd w:val="clear" w:color="auto" w:fill="auto"/>
            <w:noWrap w:val="0"/>
            <w:tcMar>
              <w:top w:w="80" w:type="dxa"/>
              <w:left w:w="80" w:type="dxa"/>
              <w:bottom w:w="80" w:type="dxa"/>
              <w:right w:w="80" w:type="dxa"/>
            </w:tcMar>
            <w:vAlign w:val="center"/>
          </w:tcPr>
          <w:p w14:paraId="7B4EAC8E">
            <w:pPr>
              <w:rPr>
                <w:rFonts w:hint="default"/>
                <w:color w:val="auto"/>
              </w:rPr>
            </w:pPr>
          </w:p>
        </w:tc>
      </w:tr>
      <w:tr w14:paraId="451C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110" w:hRule="atLeast"/>
          <w:jc w:val="center"/>
        </w:trPr>
        <w:tc>
          <w:tcPr>
            <w:tcW w:w="556" w:type="dxa"/>
            <w:shd w:val="clear" w:color="auto" w:fill="FFFFFF"/>
            <w:noWrap w:val="0"/>
            <w:tcMar>
              <w:top w:w="80" w:type="dxa"/>
              <w:left w:w="80" w:type="dxa"/>
              <w:bottom w:w="80" w:type="dxa"/>
              <w:right w:w="80" w:type="dxa"/>
            </w:tcMar>
            <w:vAlign w:val="center"/>
          </w:tcPr>
          <w:p w14:paraId="17A5B809">
            <w:pPr>
              <w:tabs>
                <w:tab w:val="left" w:pos="420"/>
              </w:tabs>
              <w:spacing w:before="0" w:line="20" w:lineRule="atLeast"/>
              <w:jc w:val="center"/>
              <w:rPr>
                <w:rFonts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w:t>
            </w:r>
          </w:p>
        </w:tc>
        <w:tc>
          <w:tcPr>
            <w:tcW w:w="795" w:type="dxa"/>
            <w:shd w:val="clear" w:color="auto" w:fill="FFFFFF"/>
            <w:noWrap w:val="0"/>
            <w:tcMar>
              <w:top w:w="80" w:type="dxa"/>
              <w:left w:w="80" w:type="dxa"/>
              <w:bottom w:w="80" w:type="dxa"/>
              <w:right w:w="80" w:type="dxa"/>
            </w:tcMar>
            <w:vAlign w:val="center"/>
          </w:tcPr>
          <w:p w14:paraId="2107D971">
            <w:pPr>
              <w:widowControl w:val="0"/>
              <w:tabs>
                <w:tab w:val="left" w:pos="420"/>
              </w:tabs>
              <w:spacing w:before="0" w:line="20" w:lineRule="atLeast"/>
              <w:jc w:val="center"/>
              <w:rPr>
                <w:rFonts w:hint="default" w:ascii="宋体" w:hAnsi="宋体" w:eastAsia="宋体" w:cs="宋体"/>
                <w:color w:val="auto"/>
                <w:kern w:val="2"/>
                <w:sz w:val="21"/>
                <w:szCs w:val="21"/>
                <w:lang w:val="en-US"/>
              </w:rPr>
            </w:pPr>
            <w:r>
              <w:rPr>
                <w:rFonts w:ascii="宋体" w:hAnsi="宋体" w:eastAsia="宋体" w:cs="宋体"/>
                <w:color w:val="auto"/>
                <w:kern w:val="2"/>
                <w:sz w:val="21"/>
                <w:szCs w:val="21"/>
                <w:lang w:val="en-US"/>
              </w:rPr>
              <w:t>报价</w:t>
            </w:r>
          </w:p>
          <w:p w14:paraId="7D57389D">
            <w:pPr>
              <w:widowControl w:val="0"/>
              <w:tabs>
                <w:tab w:val="left" w:pos="420"/>
              </w:tabs>
              <w:spacing w:before="0" w:line="20" w:lineRule="atLeast"/>
              <w:jc w:val="center"/>
              <w:rPr>
                <w:rFonts w:hint="default" w:ascii="宋体" w:hAnsi="宋体" w:eastAsia="宋体" w:cs="宋体"/>
                <w:color w:val="auto"/>
                <w:kern w:val="2"/>
                <w:sz w:val="21"/>
                <w:szCs w:val="21"/>
                <w:lang w:val="en-US"/>
              </w:rPr>
            </w:pPr>
            <w:r>
              <w:rPr>
                <w:rFonts w:ascii="宋体" w:hAnsi="宋体" w:eastAsia="宋体" w:cs="宋体"/>
                <w:color w:val="auto"/>
                <w:kern w:val="2"/>
                <w:sz w:val="21"/>
                <w:szCs w:val="21"/>
                <w:lang w:val="en-US"/>
              </w:rPr>
              <w:t>得分</w:t>
            </w:r>
          </w:p>
        </w:tc>
        <w:tc>
          <w:tcPr>
            <w:tcW w:w="3751" w:type="dxa"/>
            <w:shd w:val="clear" w:color="auto" w:fill="FFFFFF"/>
            <w:noWrap w:val="0"/>
            <w:tcMar>
              <w:top w:w="80" w:type="dxa"/>
              <w:left w:w="80" w:type="dxa"/>
              <w:bottom w:w="80" w:type="dxa"/>
              <w:right w:w="80" w:type="dxa"/>
            </w:tcMar>
            <w:vAlign w:val="center"/>
          </w:tcPr>
          <w:p w14:paraId="43D3C32B">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bCs/>
                <w:color w:val="auto"/>
                <w:sz w:val="21"/>
                <w:szCs w:val="21"/>
                <w:highlight w:val="none"/>
                <w:lang w:val="en-US"/>
              </w:rPr>
            </w:pPr>
            <w:r>
              <w:rPr>
                <w:rFonts w:hint="eastAsia"/>
                <w:bCs/>
                <w:color w:val="auto"/>
                <w:sz w:val="21"/>
                <w:szCs w:val="21"/>
                <w:highlight w:val="none"/>
              </w:rPr>
              <w:t>价格分计算方法：报价为平均数的为最高分即满分。</w:t>
            </w:r>
            <w:r>
              <w:rPr>
                <w:rFonts w:hint="eastAsia"/>
                <w:bCs/>
                <w:color w:val="auto"/>
                <w:sz w:val="21"/>
                <w:szCs w:val="21"/>
                <w:highlight w:val="none"/>
                <w:lang w:val="en-US" w:eastAsia="zh-CN"/>
              </w:rPr>
              <w:t>假设供应商的</w:t>
            </w:r>
            <w:r>
              <w:rPr>
                <w:rFonts w:hint="eastAsia"/>
                <w:bCs/>
                <w:color w:val="auto"/>
                <w:sz w:val="21"/>
                <w:szCs w:val="21"/>
                <w:highlight w:val="none"/>
              </w:rPr>
              <w:t>报价结果分别为B1</w:t>
            </w:r>
            <w:r>
              <w:rPr>
                <w:rFonts w:hint="eastAsia" w:eastAsia="宋体"/>
                <w:bCs/>
                <w:color w:val="auto"/>
                <w:sz w:val="21"/>
                <w:szCs w:val="21"/>
                <w:highlight w:val="none"/>
                <w:lang w:eastAsia="zh-CN"/>
              </w:rPr>
              <w:t>、</w:t>
            </w:r>
            <w:r>
              <w:rPr>
                <w:rFonts w:hint="eastAsia"/>
                <w:bCs/>
                <w:color w:val="auto"/>
                <w:sz w:val="21"/>
                <w:szCs w:val="21"/>
                <w:highlight w:val="none"/>
              </w:rPr>
              <w:t>B2</w:t>
            </w:r>
            <w:r>
              <w:rPr>
                <w:rFonts w:hint="eastAsia"/>
                <w:bCs/>
                <w:color w:val="auto"/>
                <w:sz w:val="21"/>
                <w:szCs w:val="21"/>
                <w:highlight w:val="none"/>
                <w:lang w:eastAsia="zh-CN"/>
              </w:rPr>
              <w:t>、</w:t>
            </w:r>
            <w:r>
              <w:rPr>
                <w:rFonts w:hint="eastAsia"/>
                <w:bCs/>
                <w:color w:val="auto"/>
                <w:sz w:val="21"/>
                <w:szCs w:val="21"/>
                <w:highlight w:val="none"/>
              </w:rPr>
              <w:t>B3</w:t>
            </w:r>
            <w:r>
              <w:rPr>
                <w:rFonts w:hint="eastAsia" w:eastAsia="宋体"/>
                <w:bCs/>
                <w:color w:val="auto"/>
                <w:sz w:val="21"/>
                <w:szCs w:val="21"/>
                <w:highlight w:val="none"/>
                <w:lang w:val="en-US" w:eastAsia="zh-CN"/>
              </w:rPr>
              <w:t>...Bn</w:t>
            </w:r>
            <w:r>
              <w:rPr>
                <w:rFonts w:hint="eastAsia"/>
                <w:bCs/>
                <w:color w:val="auto"/>
                <w:sz w:val="21"/>
                <w:szCs w:val="21"/>
                <w:highlight w:val="none"/>
              </w:rPr>
              <w:t>， 则报价的平均</w:t>
            </w:r>
            <w:r>
              <w:rPr>
                <w:rFonts w:hint="eastAsia"/>
                <w:bCs/>
                <w:color w:val="auto"/>
                <w:sz w:val="21"/>
                <w:szCs w:val="21"/>
                <w:highlight w:val="none"/>
                <w:lang w:val="en-US" w:eastAsia="zh-CN"/>
              </w:rPr>
              <w:t>数</w:t>
            </w:r>
            <w:r>
              <w:rPr>
                <w:rFonts w:hint="eastAsia"/>
                <w:bCs/>
                <w:color w:val="auto"/>
                <w:sz w:val="21"/>
                <w:szCs w:val="21"/>
                <w:highlight w:val="none"/>
              </w:rPr>
              <w:t>为C=[B1＋B2＋B3＋……＋Bn]÷n</w:t>
            </w:r>
            <w:r>
              <w:rPr>
                <w:rFonts w:hint="eastAsia"/>
                <w:bCs/>
                <w:color w:val="auto"/>
                <w:sz w:val="21"/>
                <w:szCs w:val="21"/>
                <w:highlight w:val="none"/>
                <w:lang w:eastAsia="zh-CN"/>
              </w:rPr>
              <w:t>，</w:t>
            </w:r>
            <w:r>
              <w:rPr>
                <w:rFonts w:hint="eastAsia"/>
                <w:bCs/>
                <w:color w:val="auto"/>
                <w:sz w:val="21"/>
                <w:szCs w:val="21"/>
                <w:highlight w:val="none"/>
              </w:rPr>
              <w:t>供应商</w:t>
            </w:r>
            <w:r>
              <w:rPr>
                <w:rFonts w:hint="eastAsia"/>
                <w:bCs/>
                <w:color w:val="auto"/>
                <w:sz w:val="21"/>
                <w:szCs w:val="21"/>
                <w:highlight w:val="none"/>
                <w:lang w:val="en-US" w:eastAsia="zh-CN"/>
              </w:rPr>
              <w:t>n的</w:t>
            </w:r>
            <w:r>
              <w:rPr>
                <w:rFonts w:hint="eastAsia"/>
                <w:bCs/>
                <w:color w:val="auto"/>
                <w:sz w:val="21"/>
                <w:szCs w:val="21"/>
                <w:highlight w:val="none"/>
              </w:rPr>
              <w:t>报价得分=</w:t>
            </w:r>
            <w:r>
              <w:rPr>
                <w:rFonts w:hint="eastAsia" w:eastAsia="宋体"/>
                <w:bCs/>
                <w:color w:val="auto"/>
                <w:sz w:val="21"/>
                <w:szCs w:val="21"/>
                <w:highlight w:val="none"/>
                <w:lang w:val="en-US" w:eastAsia="zh-CN"/>
              </w:rPr>
              <w:t>3</w:t>
            </w:r>
            <w:r>
              <w:rPr>
                <w:rFonts w:hint="eastAsia"/>
                <w:bCs/>
                <w:color w:val="auto"/>
                <w:sz w:val="21"/>
                <w:szCs w:val="21"/>
                <w:highlight w:val="none"/>
                <w:lang w:val="en-US" w:eastAsia="zh-CN"/>
              </w:rPr>
              <w:t>0</w:t>
            </w:r>
            <w:r>
              <w:rPr>
                <w:rFonts w:hint="default" w:ascii="Arial" w:hAnsi="Arial" w:cs="Arial"/>
                <w:bCs/>
                <w:color w:val="auto"/>
                <w:sz w:val="21"/>
                <w:szCs w:val="21"/>
                <w:highlight w:val="none"/>
                <w:lang w:val="en-US" w:eastAsia="zh-CN"/>
              </w:rPr>
              <w:t>×</w:t>
            </w:r>
            <w:r>
              <w:rPr>
                <w:rFonts w:hint="eastAsia"/>
                <w:bCs/>
                <w:color w:val="auto"/>
                <w:sz w:val="21"/>
                <w:szCs w:val="21"/>
                <w:highlight w:val="none"/>
              </w:rPr>
              <w:t>{1-(∣Bn－C∣)÷C}</w:t>
            </w:r>
          </w:p>
        </w:tc>
        <w:tc>
          <w:tcPr>
            <w:tcW w:w="1420" w:type="dxa"/>
            <w:shd w:val="clear" w:color="auto" w:fill="FFFFFF"/>
            <w:noWrap w:val="0"/>
            <w:tcMar>
              <w:top w:w="80" w:type="dxa"/>
              <w:left w:w="80" w:type="dxa"/>
              <w:bottom w:w="80" w:type="dxa"/>
              <w:right w:w="80" w:type="dxa"/>
            </w:tcMar>
            <w:vAlign w:val="center"/>
          </w:tcPr>
          <w:p w14:paraId="6229D218">
            <w:pPr>
              <w:widowControl w:val="0"/>
              <w:tabs>
                <w:tab w:val="left" w:pos="420"/>
                <w:tab w:val="left" w:pos="840"/>
                <w:tab w:val="left" w:pos="1260"/>
              </w:tabs>
              <w:spacing w:before="0" w:line="20" w:lineRule="atLeast"/>
              <w:jc w:val="center"/>
              <w:rPr>
                <w:rFonts w:hint="default"/>
                <w:color w:val="auto"/>
                <w:highlight w:val="none"/>
              </w:rPr>
            </w:pPr>
            <w:r>
              <w:rPr>
                <w:rFonts w:ascii="宋体" w:hAnsi="宋体" w:eastAsia="宋体" w:cs="宋体"/>
                <w:color w:val="auto"/>
                <w:kern w:val="2"/>
                <w:sz w:val="21"/>
                <w:szCs w:val="21"/>
                <w:highlight w:val="none"/>
              </w:rPr>
              <w:t>提供响应报价，并加盖公章</w:t>
            </w:r>
          </w:p>
        </w:tc>
        <w:tc>
          <w:tcPr>
            <w:tcW w:w="810" w:type="dxa"/>
            <w:shd w:val="clear" w:color="auto" w:fill="FFFFFF"/>
            <w:noWrap w:val="0"/>
            <w:tcMar>
              <w:top w:w="80" w:type="dxa"/>
              <w:left w:w="80" w:type="dxa"/>
              <w:bottom w:w="80" w:type="dxa"/>
              <w:right w:w="80" w:type="dxa"/>
            </w:tcMar>
            <w:vAlign w:val="center"/>
          </w:tcPr>
          <w:p w14:paraId="22081C7B">
            <w:pPr>
              <w:widowControl w:val="0"/>
              <w:tabs>
                <w:tab w:val="left" w:pos="420"/>
              </w:tabs>
              <w:spacing w:before="0" w:line="20" w:lineRule="atLeast"/>
              <w:jc w:val="center"/>
              <w:rPr>
                <w:rFonts w:hint="default"/>
                <w:color w:val="auto"/>
                <w:highlight w:val="none"/>
              </w:rPr>
            </w:pPr>
            <w:r>
              <w:rPr>
                <w:rFonts w:hint="eastAsia" w:ascii="宋体" w:hAnsi="宋体" w:eastAsia="宋体" w:cs="宋体"/>
                <w:color w:val="auto"/>
                <w:kern w:val="2"/>
                <w:sz w:val="21"/>
                <w:szCs w:val="21"/>
                <w:highlight w:val="none"/>
                <w:lang w:val="en-US" w:eastAsia="zh-CN"/>
              </w:rPr>
              <w:t>30</w:t>
            </w:r>
            <w:r>
              <w:rPr>
                <w:rFonts w:ascii="宋体" w:hAnsi="宋体" w:eastAsia="宋体" w:cs="宋体"/>
                <w:color w:val="auto"/>
                <w:kern w:val="2"/>
                <w:sz w:val="21"/>
                <w:szCs w:val="21"/>
                <w:highlight w:val="none"/>
              </w:rPr>
              <w:t>分</w:t>
            </w:r>
          </w:p>
        </w:tc>
        <w:tc>
          <w:tcPr>
            <w:tcW w:w="840" w:type="dxa"/>
            <w:shd w:val="clear" w:color="auto" w:fill="FFFFFF"/>
            <w:noWrap w:val="0"/>
            <w:tcMar>
              <w:top w:w="80" w:type="dxa"/>
              <w:left w:w="80" w:type="dxa"/>
              <w:bottom w:w="80" w:type="dxa"/>
              <w:right w:w="80" w:type="dxa"/>
            </w:tcMar>
            <w:vAlign w:val="center"/>
          </w:tcPr>
          <w:p w14:paraId="60DE77DE">
            <w:pPr>
              <w:rPr>
                <w:rFonts w:hint="default"/>
                <w:color w:val="auto"/>
              </w:rPr>
            </w:pPr>
          </w:p>
        </w:tc>
        <w:tc>
          <w:tcPr>
            <w:tcW w:w="956" w:type="dxa"/>
            <w:shd w:val="clear" w:color="auto" w:fill="FFFFFF"/>
            <w:noWrap w:val="0"/>
            <w:tcMar>
              <w:top w:w="80" w:type="dxa"/>
              <w:left w:w="80" w:type="dxa"/>
              <w:bottom w:w="80" w:type="dxa"/>
              <w:right w:w="80" w:type="dxa"/>
            </w:tcMar>
            <w:vAlign w:val="center"/>
          </w:tcPr>
          <w:p w14:paraId="095478A8">
            <w:pPr>
              <w:rPr>
                <w:rFonts w:hint="default"/>
                <w:color w:val="auto"/>
              </w:rPr>
            </w:pPr>
          </w:p>
        </w:tc>
        <w:tc>
          <w:tcPr>
            <w:tcW w:w="827" w:type="dxa"/>
            <w:shd w:val="clear" w:color="auto" w:fill="FFFFFF"/>
            <w:noWrap w:val="0"/>
            <w:tcMar>
              <w:top w:w="80" w:type="dxa"/>
              <w:left w:w="80" w:type="dxa"/>
              <w:bottom w:w="80" w:type="dxa"/>
              <w:right w:w="80" w:type="dxa"/>
            </w:tcMar>
            <w:vAlign w:val="center"/>
          </w:tcPr>
          <w:p w14:paraId="75BDA88C">
            <w:pPr>
              <w:rPr>
                <w:rFonts w:hint="default"/>
                <w:color w:val="auto"/>
              </w:rPr>
            </w:pPr>
          </w:p>
        </w:tc>
      </w:tr>
      <w:tr w14:paraId="052A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110" w:hRule="atLeast"/>
          <w:jc w:val="center"/>
        </w:trPr>
        <w:tc>
          <w:tcPr>
            <w:tcW w:w="556" w:type="dxa"/>
            <w:shd w:val="clear" w:color="auto" w:fill="auto"/>
            <w:noWrap w:val="0"/>
            <w:tcMar>
              <w:top w:w="80" w:type="dxa"/>
              <w:left w:w="80" w:type="dxa"/>
              <w:bottom w:w="80" w:type="dxa"/>
              <w:right w:w="80" w:type="dxa"/>
            </w:tcMar>
            <w:vAlign w:val="center"/>
          </w:tcPr>
          <w:p w14:paraId="1DF81EDA">
            <w:pPr>
              <w:tabs>
                <w:tab w:val="left" w:pos="420"/>
              </w:tabs>
              <w:spacing w:before="0" w:line="20" w:lineRule="atLeast"/>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w:t>
            </w:r>
          </w:p>
        </w:tc>
        <w:tc>
          <w:tcPr>
            <w:tcW w:w="795" w:type="dxa"/>
            <w:shd w:val="clear" w:color="auto" w:fill="auto"/>
            <w:noWrap w:val="0"/>
            <w:tcMar>
              <w:top w:w="80" w:type="dxa"/>
              <w:left w:w="80" w:type="dxa"/>
              <w:bottom w:w="80" w:type="dxa"/>
              <w:right w:w="80" w:type="dxa"/>
            </w:tcMar>
            <w:vAlign w:val="center"/>
          </w:tcPr>
          <w:p w14:paraId="487C8111">
            <w:pPr>
              <w:widowControl w:val="0"/>
              <w:tabs>
                <w:tab w:val="left" w:pos="420"/>
              </w:tabs>
              <w:spacing w:before="0" w:line="20" w:lineRule="atLeast"/>
              <w:jc w:val="center"/>
              <w:rPr>
                <w:rFonts w:hint="default" w:ascii="宋体" w:hAnsi="宋体" w:eastAsia="宋体" w:cs="宋体"/>
                <w:color w:val="auto"/>
                <w:kern w:val="2"/>
                <w:sz w:val="21"/>
                <w:szCs w:val="21"/>
                <w:lang w:val="en-US"/>
              </w:rPr>
            </w:pPr>
          </w:p>
          <w:p w14:paraId="4E67F95D">
            <w:pPr>
              <w:widowControl w:val="0"/>
              <w:tabs>
                <w:tab w:val="left" w:pos="420"/>
              </w:tabs>
              <w:spacing w:before="0" w:line="20" w:lineRule="atLeast"/>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服务业绩得分</w:t>
            </w:r>
          </w:p>
        </w:tc>
        <w:tc>
          <w:tcPr>
            <w:tcW w:w="3751" w:type="dxa"/>
            <w:shd w:val="clear" w:color="auto" w:fill="auto"/>
            <w:noWrap w:val="0"/>
            <w:tcMar>
              <w:top w:w="80" w:type="dxa"/>
              <w:left w:w="80" w:type="dxa"/>
              <w:bottom w:w="80" w:type="dxa"/>
              <w:right w:w="80" w:type="dxa"/>
            </w:tcMar>
            <w:vAlign w:val="center"/>
          </w:tcPr>
          <w:p w14:paraId="7943C934">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提供近三年从事诉讼(工程款纠纷)相关案例：</w:t>
            </w:r>
          </w:p>
          <w:p w14:paraId="1DF06AD5">
            <w:pPr>
              <w:widowControl w:val="0"/>
              <w:numPr>
                <w:ilvl w:val="0"/>
                <w:numId w:val="1"/>
              </w:numPr>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提供3项及以上业绩，得25分</w:t>
            </w:r>
          </w:p>
          <w:p w14:paraId="1F70C296">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2、提供2项业绩，得20分；</w:t>
            </w:r>
          </w:p>
          <w:p w14:paraId="4D1D5113">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3、提供1项业绩，得10分。</w:t>
            </w:r>
          </w:p>
          <w:p w14:paraId="162CE1C5">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4、提供0项业绩，得0分。</w:t>
            </w:r>
          </w:p>
          <w:p w14:paraId="3FB61508">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重复项目仅作一次统计。</w:t>
            </w:r>
          </w:p>
        </w:tc>
        <w:tc>
          <w:tcPr>
            <w:tcW w:w="1420" w:type="dxa"/>
            <w:shd w:val="clear" w:color="auto" w:fill="auto"/>
            <w:noWrap w:val="0"/>
            <w:tcMar>
              <w:top w:w="80" w:type="dxa"/>
              <w:left w:w="80" w:type="dxa"/>
              <w:bottom w:w="80" w:type="dxa"/>
              <w:right w:w="80" w:type="dxa"/>
            </w:tcMar>
            <w:vAlign w:val="center"/>
          </w:tcPr>
          <w:p w14:paraId="2FC07EC2">
            <w:pPr>
              <w:widowControl w:val="0"/>
              <w:tabs>
                <w:tab w:val="left" w:pos="420"/>
                <w:tab w:val="left" w:pos="840"/>
                <w:tab w:val="left" w:pos="1260"/>
              </w:tabs>
              <w:spacing w:before="0" w:line="20" w:lineRule="atLeas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提供合同复印件加盖公章（如相关合同涉及商业秘密，响应单位可自行隐去关键内容，体现合同签订时间、合同双方签字盖章即可）</w:t>
            </w:r>
          </w:p>
        </w:tc>
        <w:tc>
          <w:tcPr>
            <w:tcW w:w="810" w:type="dxa"/>
            <w:shd w:val="clear" w:color="auto" w:fill="auto"/>
            <w:noWrap w:val="0"/>
            <w:tcMar>
              <w:top w:w="80" w:type="dxa"/>
              <w:left w:w="80" w:type="dxa"/>
              <w:bottom w:w="80" w:type="dxa"/>
              <w:right w:w="80" w:type="dxa"/>
            </w:tcMar>
            <w:vAlign w:val="center"/>
          </w:tcPr>
          <w:p w14:paraId="6DCC74A7">
            <w:pPr>
              <w:widowControl w:val="0"/>
              <w:tabs>
                <w:tab w:val="left" w:pos="420"/>
              </w:tabs>
              <w:spacing w:before="0" w:line="20" w:lineRule="atLeast"/>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25分</w:t>
            </w:r>
          </w:p>
        </w:tc>
        <w:tc>
          <w:tcPr>
            <w:tcW w:w="840" w:type="dxa"/>
            <w:shd w:val="clear" w:color="auto" w:fill="auto"/>
            <w:noWrap w:val="0"/>
            <w:tcMar>
              <w:top w:w="80" w:type="dxa"/>
              <w:left w:w="80" w:type="dxa"/>
              <w:bottom w:w="80" w:type="dxa"/>
              <w:right w:w="80" w:type="dxa"/>
            </w:tcMar>
            <w:vAlign w:val="center"/>
          </w:tcPr>
          <w:p w14:paraId="1AE28C94">
            <w:pPr>
              <w:rPr>
                <w:rFonts w:hint="default"/>
                <w:color w:val="auto"/>
                <w:lang w:val="en-US"/>
              </w:rPr>
            </w:pPr>
          </w:p>
        </w:tc>
        <w:tc>
          <w:tcPr>
            <w:tcW w:w="956" w:type="dxa"/>
            <w:shd w:val="clear" w:color="auto" w:fill="auto"/>
            <w:noWrap w:val="0"/>
            <w:tcMar>
              <w:top w:w="80" w:type="dxa"/>
              <w:left w:w="80" w:type="dxa"/>
              <w:bottom w:w="80" w:type="dxa"/>
              <w:right w:w="80" w:type="dxa"/>
            </w:tcMar>
            <w:vAlign w:val="center"/>
          </w:tcPr>
          <w:p w14:paraId="7BEB9008">
            <w:pPr>
              <w:rPr>
                <w:rFonts w:hint="default"/>
                <w:color w:val="auto"/>
                <w:lang w:val="en-US"/>
              </w:rPr>
            </w:pPr>
          </w:p>
        </w:tc>
        <w:tc>
          <w:tcPr>
            <w:tcW w:w="827" w:type="dxa"/>
            <w:shd w:val="clear" w:color="auto" w:fill="auto"/>
            <w:noWrap w:val="0"/>
            <w:tcMar>
              <w:top w:w="80" w:type="dxa"/>
              <w:left w:w="80" w:type="dxa"/>
              <w:bottom w:w="80" w:type="dxa"/>
              <w:right w:w="80" w:type="dxa"/>
            </w:tcMar>
            <w:vAlign w:val="center"/>
          </w:tcPr>
          <w:p w14:paraId="06607B2D">
            <w:pPr>
              <w:rPr>
                <w:rFonts w:hint="default"/>
                <w:color w:val="auto"/>
                <w:lang w:val="en-US"/>
              </w:rPr>
            </w:pPr>
          </w:p>
        </w:tc>
      </w:tr>
      <w:tr w14:paraId="10E4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346" w:hRule="atLeast"/>
          <w:jc w:val="center"/>
        </w:trPr>
        <w:tc>
          <w:tcPr>
            <w:tcW w:w="6522" w:type="dxa"/>
            <w:gridSpan w:val="4"/>
            <w:shd w:val="clear" w:color="auto" w:fill="auto"/>
            <w:noWrap w:val="0"/>
            <w:tcMar>
              <w:top w:w="80" w:type="dxa"/>
              <w:left w:w="80" w:type="dxa"/>
              <w:bottom w:w="80" w:type="dxa"/>
              <w:right w:w="80" w:type="dxa"/>
            </w:tcMar>
            <w:vAlign w:val="center"/>
          </w:tcPr>
          <w:p w14:paraId="053A59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color w:val="auto"/>
              </w:rPr>
            </w:pPr>
            <w:r>
              <w:rPr>
                <w:rFonts w:ascii="宋体" w:hAnsi="宋体" w:eastAsia="宋体" w:cs="宋体"/>
                <w:color w:val="auto"/>
                <w:kern w:val="2"/>
                <w:sz w:val="21"/>
                <w:szCs w:val="21"/>
              </w:rPr>
              <w:t>合计</w:t>
            </w:r>
          </w:p>
        </w:tc>
        <w:tc>
          <w:tcPr>
            <w:tcW w:w="810" w:type="dxa"/>
            <w:shd w:val="clear" w:color="auto" w:fill="auto"/>
            <w:noWrap w:val="0"/>
            <w:tcMar>
              <w:top w:w="80" w:type="dxa"/>
              <w:left w:w="80" w:type="dxa"/>
              <w:bottom w:w="80" w:type="dxa"/>
              <w:right w:w="80" w:type="dxa"/>
            </w:tcMar>
            <w:vAlign w:val="center"/>
          </w:tcPr>
          <w:p w14:paraId="4B720562">
            <w:pPr>
              <w:tabs>
                <w:tab w:val="left" w:pos="420"/>
              </w:tabs>
              <w:spacing w:before="0" w:line="20" w:lineRule="atLeast"/>
              <w:jc w:val="center"/>
              <w:rPr>
                <w:rFonts w:hint="default"/>
                <w:color w:val="auto"/>
              </w:rPr>
            </w:pPr>
            <w:r>
              <w:rPr>
                <w:rFonts w:ascii="宋体" w:hAnsi="宋体" w:eastAsia="宋体" w:cs="宋体"/>
                <w:color w:val="auto"/>
                <w:kern w:val="2"/>
                <w:sz w:val="21"/>
                <w:szCs w:val="21"/>
                <w:lang w:val="en-US"/>
              </w:rPr>
              <w:t>100</w:t>
            </w:r>
            <w:r>
              <w:rPr>
                <w:rFonts w:ascii="宋体" w:hAnsi="宋体" w:eastAsia="宋体" w:cs="宋体"/>
                <w:color w:val="auto"/>
                <w:kern w:val="2"/>
                <w:sz w:val="21"/>
                <w:szCs w:val="21"/>
              </w:rPr>
              <w:t>分</w:t>
            </w:r>
          </w:p>
        </w:tc>
        <w:tc>
          <w:tcPr>
            <w:tcW w:w="840" w:type="dxa"/>
            <w:shd w:val="clear" w:color="auto" w:fill="auto"/>
            <w:noWrap w:val="0"/>
            <w:tcMar>
              <w:top w:w="80" w:type="dxa"/>
              <w:left w:w="80" w:type="dxa"/>
              <w:bottom w:w="80" w:type="dxa"/>
              <w:right w:w="80" w:type="dxa"/>
            </w:tcMar>
            <w:vAlign w:val="center"/>
          </w:tcPr>
          <w:p w14:paraId="5EB7A8CA">
            <w:pPr>
              <w:rPr>
                <w:rFonts w:hint="default"/>
                <w:color w:val="auto"/>
              </w:rPr>
            </w:pPr>
          </w:p>
        </w:tc>
        <w:tc>
          <w:tcPr>
            <w:tcW w:w="956" w:type="dxa"/>
            <w:shd w:val="clear" w:color="auto" w:fill="auto"/>
            <w:noWrap w:val="0"/>
            <w:tcMar>
              <w:top w:w="80" w:type="dxa"/>
              <w:left w:w="80" w:type="dxa"/>
              <w:bottom w:w="80" w:type="dxa"/>
              <w:right w:w="80" w:type="dxa"/>
            </w:tcMar>
            <w:vAlign w:val="center"/>
          </w:tcPr>
          <w:p w14:paraId="494A09C7">
            <w:pPr>
              <w:rPr>
                <w:rFonts w:hint="default"/>
                <w:color w:val="auto"/>
              </w:rPr>
            </w:pPr>
          </w:p>
        </w:tc>
        <w:tc>
          <w:tcPr>
            <w:tcW w:w="827" w:type="dxa"/>
            <w:shd w:val="clear" w:color="auto" w:fill="auto"/>
            <w:noWrap w:val="0"/>
            <w:tcMar>
              <w:top w:w="80" w:type="dxa"/>
              <w:left w:w="80" w:type="dxa"/>
              <w:bottom w:w="80" w:type="dxa"/>
              <w:right w:w="80" w:type="dxa"/>
            </w:tcMar>
            <w:vAlign w:val="center"/>
          </w:tcPr>
          <w:p w14:paraId="0B161541">
            <w:pPr>
              <w:rPr>
                <w:rFonts w:hint="default"/>
                <w:color w:val="auto"/>
              </w:rPr>
            </w:pPr>
          </w:p>
        </w:tc>
      </w:tr>
      <w:tr w14:paraId="5F3F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347" w:hRule="atLeast"/>
          <w:jc w:val="center"/>
        </w:trPr>
        <w:tc>
          <w:tcPr>
            <w:tcW w:w="6522" w:type="dxa"/>
            <w:gridSpan w:val="4"/>
            <w:shd w:val="clear" w:color="auto" w:fill="FFFFFF"/>
            <w:noWrap w:val="0"/>
            <w:tcMar>
              <w:top w:w="80" w:type="dxa"/>
              <w:left w:w="80" w:type="dxa"/>
              <w:bottom w:w="80" w:type="dxa"/>
              <w:right w:w="80" w:type="dxa"/>
            </w:tcMar>
            <w:vAlign w:val="center"/>
          </w:tcPr>
          <w:p w14:paraId="18549C4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color w:val="auto"/>
              </w:rPr>
            </w:pPr>
            <w:r>
              <w:rPr>
                <w:rFonts w:ascii="宋体" w:hAnsi="宋体" w:eastAsia="宋体" w:cs="宋体"/>
                <w:b/>
                <w:bCs/>
                <w:color w:val="auto"/>
                <w:kern w:val="2"/>
                <w:sz w:val="21"/>
                <w:szCs w:val="21"/>
                <w:highlight w:val="none"/>
              </w:rPr>
              <w:t>拟推荐成交候选供应商（原则推荐</w:t>
            </w:r>
            <w:r>
              <w:rPr>
                <w:rFonts w:hint="eastAsia" w:ascii="宋体" w:hAnsi="宋体" w:eastAsia="宋体" w:cs="宋体"/>
                <w:b/>
                <w:bCs/>
                <w:color w:val="auto"/>
                <w:kern w:val="2"/>
                <w:sz w:val="21"/>
                <w:szCs w:val="21"/>
                <w:highlight w:val="none"/>
              </w:rPr>
              <w:t>评审得票最高的</w:t>
            </w:r>
            <w:r>
              <w:rPr>
                <w:rFonts w:ascii="宋体" w:hAnsi="宋体" w:eastAsia="宋体" w:cs="宋体"/>
                <w:b/>
                <w:bCs/>
                <w:color w:val="auto"/>
                <w:kern w:val="2"/>
                <w:sz w:val="21"/>
                <w:szCs w:val="21"/>
                <w:highlight w:val="none"/>
              </w:rPr>
              <w:t>单位）</w:t>
            </w:r>
          </w:p>
        </w:tc>
        <w:tc>
          <w:tcPr>
            <w:tcW w:w="3433" w:type="dxa"/>
            <w:gridSpan w:val="4"/>
            <w:shd w:val="clear" w:color="auto" w:fill="FFFFFF"/>
            <w:noWrap w:val="0"/>
            <w:tcMar>
              <w:top w:w="80" w:type="dxa"/>
              <w:left w:w="80" w:type="dxa"/>
              <w:bottom w:w="80" w:type="dxa"/>
              <w:right w:w="80" w:type="dxa"/>
            </w:tcMar>
            <w:vAlign w:val="center"/>
          </w:tcPr>
          <w:p w14:paraId="1DF5DCF5">
            <w:pPr>
              <w:rPr>
                <w:rFonts w:hint="default"/>
                <w:color w:val="auto"/>
              </w:rPr>
            </w:pPr>
          </w:p>
        </w:tc>
      </w:tr>
    </w:tbl>
    <w:p w14:paraId="1420E4B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hint="default" w:ascii="宋体" w:hAnsi="宋体" w:eastAsia="宋体" w:cs="宋体"/>
          <w:kern w:val="2"/>
          <w:sz w:val="36"/>
          <w:szCs w:val="36"/>
        </w:rPr>
      </w:pPr>
    </w:p>
    <w:p w14:paraId="356BA9A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420"/>
        <w:jc w:val="both"/>
        <w:rPr>
          <w:rFonts w:hint="default" w:ascii="黑体" w:hAnsi="黑体" w:eastAsia="黑体" w:cs="黑体"/>
          <w:kern w:val="2"/>
          <w:sz w:val="21"/>
          <w:szCs w:val="21"/>
          <w:highlight w:val="none"/>
        </w:rPr>
      </w:pPr>
      <w:r>
        <w:rPr>
          <w:rFonts w:ascii="黑体" w:hAnsi="黑体" w:eastAsia="黑体" w:cs="黑体"/>
          <w:kern w:val="2"/>
          <w:sz w:val="21"/>
          <w:szCs w:val="21"/>
          <w:highlight w:val="none"/>
        </w:rPr>
        <w:t>备注：</w:t>
      </w:r>
      <w:r>
        <w:rPr>
          <w:rFonts w:ascii="黑体" w:hAnsi="黑体" w:eastAsia="黑体" w:cs="黑体"/>
          <w:kern w:val="2"/>
          <w:sz w:val="21"/>
          <w:szCs w:val="21"/>
          <w:highlight w:val="none"/>
          <w:lang w:val="en-US"/>
        </w:rPr>
        <w:t>1.</w:t>
      </w:r>
      <w:r>
        <w:rPr>
          <w:rFonts w:ascii="黑体" w:hAnsi="黑体" w:eastAsia="黑体" w:cs="黑体"/>
          <w:kern w:val="2"/>
          <w:sz w:val="21"/>
          <w:szCs w:val="21"/>
          <w:highlight w:val="none"/>
        </w:rPr>
        <w:t>各项评审打分按照四舍五入，小数点后保留</w:t>
      </w:r>
      <w:r>
        <w:rPr>
          <w:rFonts w:ascii="黑体" w:hAnsi="黑体" w:eastAsia="黑体" w:cs="黑体"/>
          <w:kern w:val="2"/>
          <w:sz w:val="21"/>
          <w:szCs w:val="21"/>
          <w:highlight w:val="none"/>
          <w:lang w:val="en-US"/>
        </w:rPr>
        <w:t>2</w:t>
      </w:r>
      <w:r>
        <w:rPr>
          <w:rFonts w:ascii="黑体" w:hAnsi="黑体" w:eastAsia="黑体" w:cs="黑体"/>
          <w:kern w:val="2"/>
          <w:sz w:val="21"/>
          <w:szCs w:val="21"/>
          <w:highlight w:val="none"/>
        </w:rPr>
        <w:t>位进行计算；</w:t>
      </w:r>
    </w:p>
    <w:p w14:paraId="064117FE">
      <w:r>
        <w:rPr>
          <w:rFonts w:ascii="黑体" w:hAnsi="黑体" w:eastAsia="黑体" w:cs="黑体"/>
          <w:kern w:val="2"/>
          <w:sz w:val="21"/>
          <w:szCs w:val="21"/>
          <w:highlight w:val="none"/>
          <w:lang w:val="en-US"/>
        </w:rPr>
        <w:t xml:space="preserve">          2.</w:t>
      </w:r>
      <w:r>
        <w:rPr>
          <w:rFonts w:hint="eastAsia"/>
          <w:b/>
          <w:bCs/>
          <w:lang w:val="en-US" w:eastAsia="zh-CN"/>
        </w:rPr>
        <w:t>综合得分相同且服务业绩得分相同的，以技术方案得分高者为中标单位。</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ingFang SC Regular">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FE13C"/>
    <w:multiLevelType w:val="singleLevel"/>
    <w:tmpl w:val="D61FE13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72CA1"/>
    <w:rsid w:val="14F24B6E"/>
    <w:rsid w:val="4F472CA1"/>
    <w:rsid w:val="60B55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qFormat/>
    <w:uiPriority w:val="0"/>
    <w:pPr>
      <w:ind w:left="1400" w:leftChars="1400"/>
    </w:pPr>
  </w:style>
  <w:style w:type="paragraph" w:customStyle="1" w:styleId="6">
    <w:name w:val="p3"/>
    <w:basedOn w:val="1"/>
    <w:qFormat/>
    <w:uiPriority w:val="0"/>
    <w:pPr>
      <w:spacing w:line="30" w:lineRule="atLeast"/>
      <w:jc w:val="center"/>
    </w:pPr>
    <w:rPr>
      <w:rFonts w:hint="eastAsia" w:ascii="宋体" w:hAnsi="宋体" w:cs="宋体"/>
      <w:kern w:val="0"/>
      <w:sz w:val="36"/>
      <w:szCs w:val="36"/>
    </w:rPr>
  </w:style>
  <w:style w:type="paragraph" w:styleId="7">
    <w:name w:val="List Paragraph"/>
    <w:basedOn w:val="1"/>
    <w:qFormat/>
    <w:uiPriority w:val="34"/>
    <w:pPr>
      <w:ind w:firstLine="420" w:firstLineChars="200"/>
    </w:pPr>
  </w:style>
  <w:style w:type="table" w:customStyle="1" w:styleId="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2025-06-24T03:38:00Z</dcterms:created>
  <dc:creator>實誠</dc:creator>
  <cp:lastModifiedBy>實誠</cp:lastModifiedBy>
  <dcterms:modified xsi:type="dcterms:W3CDTF">2025-06-24T03:39:29Z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15E2F35A2A3140329BEB53C68E175EA7_13</vt:lpwstr>
  </property>
  <property fmtid="{D5CDD505-2E9C-101B-9397-08002B2CF9AE}" pid="4" name="KSOTemplateDocerSaveRecord">
    <vt:lpwstr>eyJoZGlkIjoiZjYxZTUyYjc1MzQwNWRmNjlmMWQyYmQ2NmM1M2U4MmMiLCJ1c2VySWQiOiI2OTk3NTA5NDAifQ==</vt:lpwstr>
  </property>
</Properties>
</file>