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both"/>
        <w:textAlignment w:val="auto"/>
        <w:rPr>
          <w:rFonts w:hint="eastAsia" w:ascii="仿宋_GB2312" w:hAnsi="Times New Roman" w:eastAsia="仿宋_GB2312" w:cs="Times New Roman"/>
          <w:b w:val="0"/>
          <w:bCs w:val="0"/>
          <w:sz w:val="30"/>
          <w:szCs w:val="30"/>
        </w:rPr>
      </w:pPr>
      <w:r>
        <w:rPr>
          <w:rFonts w:hint="eastAsia" w:ascii="仿宋_GB2312" w:hAnsi="Times New Roman" w:eastAsia="仿宋_GB2312" w:cs="Times New Roman"/>
          <w:b w:val="0"/>
          <w:bCs w:val="0"/>
          <w:sz w:val="30"/>
          <w:szCs w:val="30"/>
        </w:rPr>
        <w:t>附件</w:t>
      </w:r>
      <w:r>
        <w:rPr>
          <w:rFonts w:hint="eastAsia" w:ascii="仿宋_GB2312" w:hAnsi="Times New Roman" w:eastAsia="仿宋_GB2312" w:cs="Times New Roman"/>
          <w:b w:val="0"/>
          <w:bCs w:val="0"/>
          <w:sz w:val="30"/>
          <w:szCs w:val="30"/>
          <w:lang w:val="en-US" w:eastAsia="zh-CN"/>
        </w:rPr>
        <w:t>5</w:t>
      </w:r>
      <w:r>
        <w:rPr>
          <w:rFonts w:hint="eastAsia" w:ascii="仿宋_GB2312" w:hAnsi="Times New Roman" w:eastAsia="仿宋_GB2312" w:cs="Times New Roman"/>
          <w:b w:val="0"/>
          <w:bCs w:val="0"/>
          <w:sz w:val="30"/>
          <w:szCs w:val="30"/>
        </w:rPr>
        <w:t>：合同</w:t>
      </w:r>
      <w:bookmarkStart w:id="0" w:name="_Toc3531_WPSOffice_Level2"/>
      <w:bookmarkStart w:id="1" w:name="_Toc8050_WPSOffice_Level2"/>
      <w:bookmarkStart w:id="2" w:name="_Toc28757_WPSOffice_Level2"/>
      <w:r>
        <w:rPr>
          <w:rFonts w:hint="eastAsia" w:ascii="仿宋_GB2312" w:eastAsia="仿宋_GB2312" w:cs="Times New Roman"/>
          <w:b w:val="0"/>
          <w:bCs w:val="0"/>
          <w:sz w:val="30"/>
          <w:szCs w:val="30"/>
          <w:lang w:eastAsia="zh-CN"/>
        </w:rPr>
        <w:t>模板</w:t>
      </w:r>
      <w:r>
        <w:rPr>
          <w:rFonts w:hint="eastAsia" w:ascii="仿宋_GB2312" w:hAnsi="Times New Roman" w:eastAsia="仿宋_GB2312" w:cs="Times New Roman"/>
          <w:b w:val="0"/>
          <w:bCs w:val="0"/>
          <w:sz w:val="30"/>
          <w:szCs w:val="30"/>
        </w:rPr>
        <w:t>（本合同条款仅供参考，以最终签订的合同文本为准）</w:t>
      </w:r>
      <w:bookmarkEnd w:id="0"/>
      <w:bookmarkEnd w:id="1"/>
      <w:bookmarkEnd w:id="2"/>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罗山国际交流服务中心项目M组团及罗山国际创新中心项目合院开业筹备顾问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服务合同</w:t>
      </w:r>
    </w:p>
    <w:p>
      <w:pPr>
        <w:jc w:val="center"/>
        <w:rPr>
          <w:rFonts w:eastAsia="黑体"/>
          <w:sz w:val="30"/>
          <w:szCs w:val="30"/>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rPr>
          <w:rFonts w:eastAsia="黑体"/>
          <w:sz w:val="32"/>
          <w:szCs w:val="32"/>
        </w:rPr>
      </w:pPr>
    </w:p>
    <w:p>
      <w:pPr>
        <w:spacing w:before="312" w:beforeLines="100" w:after="156" w:afterLines="50" w:line="480" w:lineRule="auto"/>
        <w:rPr>
          <w:rFonts w:hint="default" w:ascii="仿宋_GB2312" w:hAnsi="仿宋_GB2312" w:eastAsia="仿宋_GB2312" w:cs="仿宋_GB2312"/>
          <w:sz w:val="32"/>
          <w:szCs w:val="32"/>
          <w:lang w:val="en-US" w:eastAsia="zh-CN"/>
        </w:rPr>
      </w:pPr>
      <w:r>
        <w:rPr>
          <w:rFonts w:hAnsi="黑体" w:eastAsia="黑体"/>
          <w:sz w:val="32"/>
          <w:szCs w:val="32"/>
        </w:rPr>
        <w:t>项目名称：</w:t>
      </w:r>
      <w:r>
        <w:rPr>
          <w:rFonts w:hint="eastAsia" w:ascii="仿宋_GB2312" w:hAnsi="仿宋_GB2312" w:eastAsia="仿宋_GB2312" w:cs="仿宋_GB2312"/>
          <w:sz w:val="32"/>
          <w:szCs w:val="32"/>
        </w:rPr>
        <w:t>罗山国际交流服务中心项目M组团及罗山国际创新中心项目合院</w:t>
      </w:r>
      <w:r>
        <w:rPr>
          <w:rFonts w:hint="eastAsia" w:ascii="仿宋_GB2312" w:hAnsi="仿宋_GB2312" w:eastAsia="仿宋_GB2312" w:cs="仿宋_GB2312"/>
          <w:sz w:val="32"/>
          <w:szCs w:val="32"/>
          <w:lang w:val="en-US" w:eastAsia="zh-CN"/>
        </w:rPr>
        <w:t>开业筹备顾问</w:t>
      </w:r>
    </w:p>
    <w:p>
      <w:pPr>
        <w:spacing w:line="560" w:lineRule="exact"/>
        <w:rPr>
          <w:rFonts w:hint="eastAsia" w:ascii="仿宋_GB2312" w:hAnsi="仿宋_GB2312" w:eastAsia="仿宋_GB2312" w:cs="仿宋_GB2312"/>
          <w:sz w:val="32"/>
          <w:szCs w:val="32"/>
        </w:rPr>
      </w:pPr>
      <w:r>
        <w:rPr>
          <w:rFonts w:hAnsi="黑体" w:eastAsia="黑体"/>
          <w:sz w:val="32"/>
          <w:szCs w:val="32"/>
        </w:rPr>
        <w:t>委托人</w:t>
      </w:r>
      <w:r>
        <w:rPr>
          <w:rFonts w:hint="eastAsia" w:hAnsi="黑体" w:eastAsia="黑体"/>
          <w:sz w:val="32"/>
          <w:szCs w:val="32"/>
        </w:rPr>
        <w:t>(以下称甲方)</w:t>
      </w:r>
      <w:r>
        <w:rPr>
          <w:rFonts w:hAnsi="黑体" w:eastAsia="黑体"/>
          <w:sz w:val="32"/>
          <w:szCs w:val="32"/>
        </w:rPr>
        <w:t>：</w:t>
      </w:r>
      <w:r>
        <w:rPr>
          <w:rFonts w:hint="eastAsia" w:ascii="仿宋_GB2312" w:hAnsi="仿宋_GB2312" w:eastAsia="仿宋_GB2312" w:cs="仿宋_GB2312"/>
          <w:sz w:val="32"/>
          <w:szCs w:val="32"/>
        </w:rPr>
        <w:t>深圳市罗山科技园开发运营服务有限公司</w:t>
      </w:r>
    </w:p>
    <w:p>
      <w:pPr>
        <w:spacing w:before="312" w:beforeLines="100" w:after="156" w:afterLines="50" w:line="480" w:lineRule="auto"/>
        <w:rPr>
          <w:rFonts w:eastAsia="黑体"/>
          <w:sz w:val="32"/>
          <w:szCs w:val="32"/>
        </w:rPr>
      </w:pPr>
      <w:r>
        <w:rPr>
          <w:rFonts w:hint="eastAsia" w:hAnsi="黑体" w:eastAsia="黑体"/>
          <w:sz w:val="32"/>
          <w:szCs w:val="32"/>
        </w:rPr>
        <w:t>受</w:t>
      </w:r>
      <w:r>
        <w:rPr>
          <w:rFonts w:hAnsi="黑体" w:eastAsia="黑体"/>
          <w:sz w:val="32"/>
          <w:szCs w:val="32"/>
        </w:rPr>
        <w:t>托人</w:t>
      </w:r>
      <w:r>
        <w:rPr>
          <w:rFonts w:hint="eastAsia" w:hAnsi="黑体" w:eastAsia="黑体"/>
          <w:sz w:val="32"/>
          <w:szCs w:val="32"/>
        </w:rPr>
        <w:t>(以下称乙方)：</w:t>
      </w:r>
      <w:r>
        <w:rPr>
          <w:rFonts w:hAnsi="黑体" w:eastAsia="黑体"/>
          <w:sz w:val="32"/>
          <w:szCs w:val="32"/>
        </w:rPr>
        <w:t>　　　</w:t>
      </w:r>
    </w:p>
    <w:p>
      <w:pPr>
        <w:spacing w:before="312" w:beforeLines="100" w:after="156" w:afterLines="50" w:line="480" w:lineRule="auto"/>
        <w:jc w:val="center"/>
        <w:rPr>
          <w:rFonts w:hint="eastAsia" w:hAnsi="黑体" w:eastAsia="黑体"/>
          <w:sz w:val="32"/>
          <w:szCs w:val="32"/>
        </w:rPr>
      </w:pPr>
      <w:r>
        <w:rPr>
          <w:rFonts w:hint="eastAsia" w:hAnsi="黑体" w:eastAsia="黑体"/>
          <w:sz w:val="32"/>
          <w:szCs w:val="32"/>
        </w:rPr>
        <w:t>签订日期：2025年  月  日</w:t>
      </w:r>
    </w:p>
    <w:p>
      <w:pPr>
        <w:pStyle w:val="2"/>
        <w:ind w:left="916" w:hanging="496"/>
        <w:rPr>
          <w:rFonts w:hint="eastAsia"/>
        </w:rPr>
      </w:pPr>
    </w:p>
    <w:p>
      <w:pPr>
        <w:spacing w:line="360" w:lineRule="auto"/>
        <w:jc w:val="left"/>
        <w:rPr>
          <w:rFonts w:hint="eastAsia" w:ascii="宋体" w:hAnsi="宋体" w:eastAsia="宋体" w:cs="宋体"/>
          <w:szCs w:val="21"/>
        </w:rPr>
      </w:pPr>
      <w:bookmarkStart w:id="3" w:name="_Toc419285617"/>
      <w:bookmarkStart w:id="4" w:name="_Toc419285169"/>
      <w:r>
        <w:rPr>
          <w:rFonts w:hint="eastAsia" w:ascii="宋体" w:hAnsi="宋体" w:eastAsia="宋体" w:cs="宋体"/>
          <w:szCs w:val="21"/>
        </w:rPr>
        <w:t>甲方：深圳市罗山科技园开发运营服务有限公司</w:t>
      </w:r>
    </w:p>
    <w:p>
      <w:pPr>
        <w:spacing w:line="360" w:lineRule="auto"/>
        <w:jc w:val="left"/>
        <w:rPr>
          <w:rFonts w:hint="eastAsia" w:ascii="宋体" w:hAnsi="宋体" w:eastAsia="宋体" w:cs="宋体"/>
          <w:szCs w:val="21"/>
        </w:rPr>
      </w:pPr>
      <w:r>
        <w:rPr>
          <w:rFonts w:hint="eastAsia" w:ascii="宋体" w:hAnsi="宋体" w:eastAsia="宋体" w:cs="宋体"/>
          <w:szCs w:val="21"/>
        </w:rPr>
        <w:t>统一社会信用代码：91440300MA5HJ10M8D</w:t>
      </w:r>
    </w:p>
    <w:p>
      <w:pPr>
        <w:spacing w:line="360" w:lineRule="auto"/>
        <w:jc w:val="left"/>
        <w:rPr>
          <w:rFonts w:hint="eastAsia" w:ascii="宋体" w:hAnsi="宋体" w:eastAsia="宋体" w:cs="宋体"/>
          <w:szCs w:val="21"/>
        </w:rPr>
      </w:pPr>
      <w:r>
        <w:rPr>
          <w:rFonts w:hint="eastAsia" w:ascii="宋体" w:hAnsi="宋体" w:eastAsia="宋体" w:cs="宋体"/>
          <w:szCs w:val="21"/>
        </w:rPr>
        <w:t>法定代表人：谢云涛</w:t>
      </w:r>
    </w:p>
    <w:p>
      <w:pPr>
        <w:spacing w:line="360" w:lineRule="auto"/>
        <w:jc w:val="left"/>
        <w:rPr>
          <w:rFonts w:hint="eastAsia" w:ascii="宋体" w:hAnsi="宋体" w:eastAsia="宋体" w:cs="宋体"/>
          <w:szCs w:val="21"/>
        </w:rPr>
      </w:pPr>
      <w:r>
        <w:rPr>
          <w:rFonts w:hint="eastAsia" w:ascii="宋体" w:hAnsi="宋体" w:eastAsia="宋体" w:cs="宋体"/>
          <w:szCs w:val="21"/>
        </w:rPr>
        <w:t>注册地址：深圳市龙岗区龙城街道黄阁坑社区腾飞路9号创投大厦2307</w:t>
      </w: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r>
        <w:rPr>
          <w:rFonts w:hint="eastAsia" w:ascii="宋体" w:hAnsi="宋体" w:eastAsia="宋体" w:cs="宋体"/>
          <w:szCs w:val="21"/>
        </w:rPr>
        <w:t>乙方：</w:t>
      </w:r>
    </w:p>
    <w:p>
      <w:pPr>
        <w:spacing w:line="360" w:lineRule="auto"/>
        <w:jc w:val="left"/>
        <w:rPr>
          <w:rFonts w:hint="eastAsia" w:ascii="宋体" w:hAnsi="宋体" w:eastAsia="宋体" w:cs="宋体"/>
          <w:szCs w:val="21"/>
        </w:rPr>
      </w:pPr>
      <w:r>
        <w:rPr>
          <w:rFonts w:hint="eastAsia" w:ascii="宋体" w:hAnsi="宋体" w:eastAsia="宋体" w:cs="宋体"/>
          <w:szCs w:val="21"/>
        </w:rPr>
        <w:t>统一社会信用代码：</w:t>
      </w:r>
    </w:p>
    <w:p>
      <w:pPr>
        <w:spacing w:line="360" w:lineRule="auto"/>
        <w:jc w:val="left"/>
        <w:rPr>
          <w:rFonts w:hint="eastAsia" w:ascii="宋体" w:hAnsi="宋体" w:eastAsia="宋体" w:cs="宋体"/>
          <w:szCs w:val="21"/>
        </w:rPr>
      </w:pPr>
      <w:r>
        <w:rPr>
          <w:rFonts w:hint="eastAsia" w:ascii="宋体" w:hAnsi="宋体" w:eastAsia="宋体" w:cs="宋体"/>
          <w:szCs w:val="21"/>
        </w:rPr>
        <w:t>法定代表人：</w:t>
      </w:r>
    </w:p>
    <w:p>
      <w:pPr>
        <w:spacing w:line="360" w:lineRule="auto"/>
        <w:jc w:val="left"/>
        <w:rPr>
          <w:rFonts w:hint="eastAsia" w:ascii="宋体" w:hAnsi="宋体" w:eastAsia="宋体" w:cs="宋体"/>
          <w:szCs w:val="21"/>
        </w:rPr>
      </w:pPr>
      <w:r>
        <w:rPr>
          <w:rFonts w:hint="eastAsia" w:ascii="宋体" w:hAnsi="宋体" w:eastAsia="宋体" w:cs="宋体"/>
          <w:szCs w:val="21"/>
        </w:rPr>
        <w:t>注册地址：</w:t>
      </w:r>
    </w:p>
    <w:p>
      <w:pPr>
        <w:spacing w:line="360" w:lineRule="auto"/>
        <w:contextualSpacing/>
        <w:jc w:val="left"/>
        <w:rPr>
          <w:rFonts w:hint="eastAsia" w:ascii="宋体" w:hAnsi="宋体" w:eastAsia="宋体" w:cs="宋体"/>
          <w:szCs w:val="21"/>
        </w:rPr>
      </w:pP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依照《中华人民共和国民法典》、《中华人民共和国招标投标法》、《中华人民共和国广告法》等法律法规的规定，结合本项目的招标文件要求和相关批准文件，遵循平等、自愿、公平和诚实信用的原则，双方就罗山国际交流服务中心项目M组团及罗山国际创新中心项目合院开业筹备顾问协商一致，订立本合同。</w:t>
      </w:r>
    </w:p>
    <w:p>
      <w:pPr>
        <w:numPr>
          <w:ilvl w:val="0"/>
          <w:numId w:val="1"/>
        </w:numPr>
        <w:spacing w:line="360" w:lineRule="auto"/>
        <w:jc w:val="left"/>
        <w:rPr>
          <w:rFonts w:hint="eastAsia" w:ascii="宋体" w:hAnsi="宋体" w:eastAsia="宋体" w:cs="宋体"/>
          <w:b/>
          <w:bCs/>
          <w:szCs w:val="21"/>
        </w:rPr>
      </w:pPr>
      <w:bookmarkStart w:id="5" w:name="_Toc17071_WPSOffice_Level2"/>
      <w:r>
        <w:rPr>
          <w:rFonts w:hint="eastAsia" w:ascii="宋体" w:hAnsi="宋体" w:eastAsia="宋体" w:cs="宋体"/>
          <w:b/>
          <w:bCs/>
          <w:szCs w:val="21"/>
        </w:rPr>
        <w:t>项目概况</w:t>
      </w:r>
      <w:bookmarkEnd w:id="5"/>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罗山国际交流服务中心项目M组团及罗山国际创新中心项目合院（以下简称“本项目”）作为国资体系首个高端全服务型酒店项目，总投资约12.6亿元，占地约4.4公顷，总建筑面积约8万㎡，由准五星级酒店（约7.5万㎡/324间客房）与生态接待合院（约0.6万㎡/15间客房）构成，现已启动地基施工。主体酒店配备约1800㎡智能宴会空间（含1000㎡/800㎡双主厅）、10个多功能会议室及高端餐饮康体设施，合院特设精品会议室与定制化接待空间。项目依托罗山科技园门户区位，集成产业配套、商务服务与生态景观功能，通过政企资源协同与产业链服务闭环生态，构建集全球科技社交主场、人才培训基地、国际交流枢纽于一体的产城融合标杆，全面填补片区高端产业服务配套空白。酒店运营方式为全权委托酒店品牌方运营管理，预计2027年开业。</w:t>
      </w:r>
    </w:p>
    <w:p>
      <w:pPr>
        <w:numPr>
          <w:ilvl w:val="0"/>
          <w:numId w:val="1"/>
        </w:numPr>
        <w:spacing w:line="360" w:lineRule="auto"/>
        <w:jc w:val="left"/>
        <w:rPr>
          <w:rFonts w:hint="eastAsia" w:ascii="宋体" w:hAnsi="宋体" w:eastAsia="宋体" w:cs="宋体"/>
          <w:b/>
          <w:bCs/>
          <w:szCs w:val="21"/>
        </w:rPr>
      </w:pPr>
      <w:bookmarkStart w:id="6" w:name="_Toc8030_WPSOffice_Level2"/>
      <w:r>
        <w:rPr>
          <w:rFonts w:hint="eastAsia" w:ascii="宋体" w:hAnsi="宋体" w:eastAsia="宋体" w:cs="宋体"/>
          <w:b/>
          <w:bCs/>
          <w:szCs w:val="21"/>
        </w:rPr>
        <w:t>服务内容</w:t>
      </w:r>
      <w:bookmarkEnd w:id="3"/>
      <w:bookmarkEnd w:id="4"/>
      <w:bookmarkEnd w:id="6"/>
    </w:p>
    <w:p>
      <w:pPr>
        <w:numPr>
          <w:ilvl w:val="0"/>
          <w:numId w:val="2"/>
        </w:numPr>
        <w:spacing w:line="360" w:lineRule="auto"/>
        <w:jc w:val="left"/>
        <w:rPr>
          <w:rFonts w:hint="eastAsia" w:ascii="仿宋_GB2312" w:hAnsi="仿宋_GB2312" w:eastAsia="仿宋_GB2312" w:cs="仿宋_GB2312"/>
          <w:color w:val="auto"/>
          <w:sz w:val="32"/>
          <w:szCs w:val="32"/>
          <w:lang w:val="en-US" w:eastAsia="zh-CN"/>
        </w:rPr>
      </w:pPr>
      <w:bookmarkStart w:id="7" w:name="_Toc216520185"/>
      <w:bookmarkStart w:id="8" w:name="_Toc10891_WPSOffice_Level2"/>
      <w:r>
        <w:rPr>
          <w:rFonts w:hint="eastAsia" w:ascii="宋体" w:hAnsi="宋体" w:eastAsia="宋体" w:cs="宋体"/>
          <w:szCs w:val="21"/>
        </w:rPr>
        <w:t>酒店管理公司需要</w:t>
      </w:r>
      <w:r>
        <w:rPr>
          <w:rFonts w:hint="eastAsia" w:ascii="宋体" w:hAnsi="宋体" w:eastAsia="宋体" w:cs="宋体"/>
          <w:szCs w:val="21"/>
          <w:lang w:eastAsia="zh-CN"/>
        </w:rPr>
        <w:t>的</w:t>
      </w:r>
      <w:r>
        <w:rPr>
          <w:rFonts w:hint="eastAsia" w:ascii="宋体" w:hAnsi="宋体" w:eastAsia="宋体" w:cs="宋体"/>
          <w:szCs w:val="21"/>
          <w:lang w:val="en-US" w:eastAsia="zh-CN"/>
        </w:rPr>
        <w:t>管理</w:t>
      </w:r>
      <w:r>
        <w:rPr>
          <w:rFonts w:hint="eastAsia" w:ascii="宋体" w:hAnsi="宋体" w:eastAsia="宋体" w:cs="宋体"/>
          <w:szCs w:val="21"/>
        </w:rPr>
        <w:t>体系</w:t>
      </w:r>
      <w:r>
        <w:rPr>
          <w:rFonts w:hint="eastAsia" w:ascii="宋体" w:hAnsi="宋体" w:eastAsia="宋体" w:cs="宋体"/>
          <w:szCs w:val="21"/>
          <w:lang w:val="en-US" w:eastAsia="zh-CN"/>
        </w:rPr>
        <w:t>搭建与制度建设，具体包括：</w:t>
      </w:r>
    </w:p>
    <w:p>
      <w:pPr>
        <w:numPr>
          <w:ilvl w:val="0"/>
          <w:numId w:val="3"/>
        </w:numPr>
        <w:spacing w:line="360" w:lineRule="auto"/>
        <w:ind w:left="0" w:leftChars="0" w:firstLine="420" w:firstLineChars="200"/>
        <w:jc w:val="left"/>
        <w:rPr>
          <w:rFonts w:hint="eastAsia" w:ascii="仿宋_GB2312" w:hAnsi="仿宋_GB2312" w:eastAsia="仿宋_GB2312" w:cs="仿宋_GB2312"/>
          <w:color w:val="auto"/>
          <w:sz w:val="32"/>
          <w:szCs w:val="32"/>
          <w:lang w:val="en-US" w:eastAsia="zh-CN"/>
        </w:rPr>
      </w:pPr>
      <w:r>
        <w:rPr>
          <w:rFonts w:hint="eastAsia" w:ascii="宋体" w:hAnsi="宋体" w:eastAsia="宋体" w:cs="宋体"/>
          <w:szCs w:val="21"/>
        </w:rPr>
        <w:t>绩效管理与合同履约监督体系</w:t>
      </w:r>
      <w:r>
        <w:rPr>
          <w:rFonts w:hint="eastAsia" w:ascii="宋体" w:hAnsi="宋体" w:eastAsia="宋体" w:cs="宋体"/>
          <w:szCs w:val="21"/>
          <w:lang w:eastAsia="zh-CN"/>
        </w:rPr>
        <w:t>；</w:t>
      </w:r>
    </w:p>
    <w:p>
      <w:pPr>
        <w:numPr>
          <w:ilvl w:val="0"/>
          <w:numId w:val="3"/>
        </w:numPr>
        <w:spacing w:line="360" w:lineRule="auto"/>
        <w:ind w:left="0" w:leftChars="0" w:firstLine="420" w:firstLineChars="200"/>
        <w:jc w:val="left"/>
        <w:rPr>
          <w:rFonts w:hint="eastAsia" w:ascii="仿宋_GB2312" w:hAnsi="仿宋_GB2312" w:eastAsia="仿宋_GB2312" w:cs="仿宋_GB2312"/>
          <w:color w:val="auto"/>
          <w:sz w:val="32"/>
          <w:szCs w:val="32"/>
          <w:lang w:val="en-US" w:eastAsia="zh-CN"/>
        </w:rPr>
      </w:pPr>
      <w:r>
        <w:rPr>
          <w:rFonts w:hint="eastAsia" w:ascii="宋体" w:hAnsi="宋体" w:eastAsia="宋体" w:cs="宋体"/>
          <w:szCs w:val="21"/>
        </w:rPr>
        <w:t>财务管控与审计体系</w:t>
      </w:r>
      <w:r>
        <w:rPr>
          <w:rFonts w:hint="eastAsia" w:ascii="宋体" w:hAnsi="宋体" w:eastAsia="宋体" w:cs="宋体"/>
          <w:szCs w:val="21"/>
          <w:lang w:eastAsia="zh-CN"/>
        </w:rPr>
        <w:t>；</w:t>
      </w:r>
    </w:p>
    <w:p>
      <w:pPr>
        <w:numPr>
          <w:ilvl w:val="0"/>
          <w:numId w:val="3"/>
        </w:numPr>
        <w:spacing w:line="360" w:lineRule="auto"/>
        <w:ind w:left="0" w:leftChars="0" w:firstLine="420" w:firstLineChars="200"/>
        <w:jc w:val="left"/>
        <w:rPr>
          <w:rFonts w:hint="eastAsia" w:ascii="仿宋_GB2312" w:hAnsi="仿宋_GB2312" w:eastAsia="仿宋_GB2312" w:cs="仿宋_GB2312"/>
          <w:color w:val="auto"/>
          <w:sz w:val="32"/>
          <w:szCs w:val="32"/>
          <w:lang w:val="en-US" w:eastAsia="zh-CN"/>
        </w:rPr>
      </w:pPr>
      <w:r>
        <w:rPr>
          <w:rFonts w:hint="eastAsia" w:ascii="宋体" w:hAnsi="宋体" w:eastAsia="宋体" w:cs="宋体"/>
          <w:szCs w:val="21"/>
        </w:rPr>
        <w:t>品牌标准与质量保证体系</w:t>
      </w:r>
      <w:r>
        <w:rPr>
          <w:rFonts w:hint="eastAsia" w:ascii="宋体" w:hAnsi="宋体" w:eastAsia="宋体" w:cs="宋体"/>
          <w:szCs w:val="21"/>
          <w:lang w:eastAsia="zh-CN"/>
        </w:rPr>
        <w:t>；</w:t>
      </w:r>
    </w:p>
    <w:p>
      <w:pPr>
        <w:numPr>
          <w:ilvl w:val="0"/>
          <w:numId w:val="3"/>
        </w:numPr>
        <w:spacing w:line="360" w:lineRule="auto"/>
        <w:ind w:left="0" w:leftChars="0" w:firstLine="420" w:firstLineChars="200"/>
        <w:jc w:val="left"/>
        <w:rPr>
          <w:rFonts w:hint="eastAsia" w:ascii="仿宋_GB2312" w:hAnsi="仿宋_GB2312" w:eastAsia="仿宋_GB2312" w:cs="仿宋_GB2312"/>
          <w:color w:val="auto"/>
          <w:sz w:val="32"/>
          <w:szCs w:val="32"/>
          <w:lang w:val="en-US" w:eastAsia="zh-CN"/>
        </w:rPr>
      </w:pPr>
      <w:r>
        <w:rPr>
          <w:rFonts w:hint="eastAsia" w:ascii="宋体" w:hAnsi="宋体" w:eastAsia="宋体" w:cs="宋体"/>
          <w:szCs w:val="21"/>
        </w:rPr>
        <w:t>信息权与报告体系</w:t>
      </w:r>
      <w:r>
        <w:rPr>
          <w:rFonts w:hint="eastAsia" w:ascii="宋体" w:hAnsi="宋体" w:eastAsia="宋体" w:cs="宋体"/>
          <w:szCs w:val="21"/>
          <w:lang w:eastAsia="zh-CN"/>
        </w:rPr>
        <w:t>；</w:t>
      </w:r>
    </w:p>
    <w:p>
      <w:pPr>
        <w:numPr>
          <w:ilvl w:val="0"/>
          <w:numId w:val="3"/>
        </w:numPr>
        <w:spacing w:line="360" w:lineRule="auto"/>
        <w:ind w:left="0" w:leftChars="0" w:firstLine="420" w:firstLineChars="200"/>
        <w:jc w:val="left"/>
        <w:rPr>
          <w:rFonts w:hint="eastAsia" w:ascii="仿宋_GB2312" w:hAnsi="仿宋_GB2312" w:eastAsia="仿宋_GB2312" w:cs="仿宋_GB2312"/>
          <w:color w:val="auto"/>
          <w:sz w:val="32"/>
          <w:szCs w:val="32"/>
          <w:lang w:val="en-US" w:eastAsia="zh-CN"/>
        </w:rPr>
      </w:pPr>
      <w:r>
        <w:rPr>
          <w:rFonts w:hint="eastAsia" w:ascii="宋体" w:hAnsi="宋体" w:eastAsia="宋体" w:cs="宋体"/>
          <w:szCs w:val="21"/>
        </w:rPr>
        <w:t>风险管理与合规体系</w:t>
      </w:r>
      <w:r>
        <w:rPr>
          <w:rFonts w:hint="eastAsia" w:ascii="宋体" w:hAnsi="宋体" w:eastAsia="宋体" w:cs="宋体"/>
          <w:szCs w:val="21"/>
          <w:lang w:eastAsia="zh-CN"/>
        </w:rPr>
        <w:t>；</w:t>
      </w:r>
    </w:p>
    <w:p>
      <w:pPr>
        <w:numPr>
          <w:ilvl w:val="0"/>
          <w:numId w:val="3"/>
        </w:numPr>
        <w:spacing w:line="360" w:lineRule="auto"/>
        <w:ind w:left="0" w:leftChars="0" w:firstLine="420" w:firstLineChars="200"/>
        <w:jc w:val="left"/>
        <w:rPr>
          <w:rFonts w:hint="eastAsia" w:ascii="仿宋_GB2312" w:hAnsi="仿宋_GB2312" w:eastAsia="仿宋_GB2312" w:cs="仿宋_GB2312"/>
          <w:color w:val="auto"/>
          <w:sz w:val="32"/>
          <w:szCs w:val="32"/>
          <w:lang w:val="en-US" w:eastAsia="zh-CN"/>
        </w:rPr>
      </w:pPr>
      <w:r>
        <w:rPr>
          <w:rFonts w:hint="eastAsia" w:ascii="宋体" w:hAnsi="宋体" w:eastAsia="宋体" w:cs="宋体"/>
          <w:szCs w:val="21"/>
        </w:rPr>
        <w:t>沟通</w:t>
      </w:r>
      <w:r>
        <w:rPr>
          <w:rFonts w:hint="eastAsia" w:ascii="宋体" w:hAnsi="宋体" w:eastAsia="宋体" w:cs="宋体"/>
          <w:szCs w:val="21"/>
          <w:lang w:eastAsia="zh-CN"/>
        </w:rPr>
        <w:t>、</w:t>
      </w:r>
      <w:r>
        <w:rPr>
          <w:rFonts w:hint="eastAsia" w:ascii="宋体" w:hAnsi="宋体" w:eastAsia="宋体" w:cs="宋体"/>
          <w:szCs w:val="21"/>
        </w:rPr>
        <w:t>协作与决策体系</w:t>
      </w:r>
      <w:r>
        <w:rPr>
          <w:rFonts w:hint="eastAsia" w:ascii="宋体" w:hAnsi="宋体" w:eastAsia="宋体" w:cs="宋体"/>
          <w:szCs w:val="21"/>
          <w:lang w:eastAsia="zh-CN"/>
        </w:rPr>
        <w:t>；</w:t>
      </w:r>
    </w:p>
    <w:p>
      <w:pPr>
        <w:numPr>
          <w:ilvl w:val="0"/>
          <w:numId w:val="3"/>
        </w:numPr>
        <w:spacing w:line="360" w:lineRule="auto"/>
        <w:ind w:left="0" w:leftChars="0" w:firstLine="420" w:firstLineChars="200"/>
        <w:jc w:val="left"/>
        <w:rPr>
          <w:rFonts w:hint="eastAsia" w:ascii="仿宋_GB2312" w:hAnsi="仿宋_GB2312" w:eastAsia="仿宋_GB2312" w:cs="仿宋_GB2312"/>
          <w:color w:val="auto"/>
          <w:sz w:val="32"/>
          <w:szCs w:val="32"/>
          <w:lang w:val="en-US" w:eastAsia="zh-CN"/>
        </w:rPr>
      </w:pPr>
      <w:r>
        <w:rPr>
          <w:rFonts w:hint="eastAsia" w:ascii="宋体" w:hAnsi="宋体" w:eastAsia="宋体" w:cs="宋体"/>
          <w:szCs w:val="21"/>
        </w:rPr>
        <w:t>合同管理与退出机制准备</w:t>
      </w:r>
      <w:r>
        <w:rPr>
          <w:rFonts w:hint="eastAsia" w:ascii="宋体" w:hAnsi="宋体" w:eastAsia="宋体" w:cs="宋体"/>
          <w:szCs w:val="21"/>
          <w:lang w:val="en-US" w:eastAsia="zh-CN"/>
        </w:rPr>
        <w:t>等</w:t>
      </w:r>
      <w:r>
        <w:rPr>
          <w:rFonts w:hint="eastAsia" w:ascii="宋体" w:hAnsi="宋体" w:eastAsia="宋体" w:cs="宋体"/>
          <w:szCs w:val="21"/>
          <w:lang w:eastAsia="zh-CN"/>
        </w:rPr>
        <w:t>。</w:t>
      </w:r>
    </w:p>
    <w:p>
      <w:pPr>
        <w:numPr>
          <w:ilvl w:val="0"/>
          <w:numId w:val="2"/>
        </w:numPr>
        <w:spacing w:line="360" w:lineRule="auto"/>
        <w:jc w:val="left"/>
        <w:rPr>
          <w:rFonts w:hint="eastAsia" w:ascii="宋体" w:hAnsi="宋体" w:eastAsia="宋体" w:cs="宋体"/>
          <w:szCs w:val="21"/>
        </w:rPr>
      </w:pPr>
      <w:r>
        <w:rPr>
          <w:rFonts w:hint="eastAsia" w:ascii="宋体" w:hAnsi="宋体" w:eastAsia="宋体" w:cs="宋体"/>
          <w:szCs w:val="21"/>
        </w:rPr>
        <w:t>本项目运营管理方案及人员架构的审核与评估，具体包括：</w:t>
      </w:r>
    </w:p>
    <w:p>
      <w:pPr>
        <w:numPr>
          <w:ilvl w:val="0"/>
          <w:numId w:val="3"/>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对酒店管理运营架构及运营方案进行评审；</w:t>
      </w:r>
    </w:p>
    <w:p>
      <w:pPr>
        <w:numPr>
          <w:ilvl w:val="0"/>
          <w:numId w:val="3"/>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对品牌运营管理方派驻的人员以及整个管理团队的岗位适配度进行评审；</w:t>
      </w:r>
    </w:p>
    <w:p>
      <w:pPr>
        <w:numPr>
          <w:ilvl w:val="0"/>
          <w:numId w:val="3"/>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对品牌运营管理方派驻的人员以及整个管理团队工作的费用进行评审；</w:t>
      </w:r>
    </w:p>
    <w:p>
      <w:pPr>
        <w:numPr>
          <w:ilvl w:val="0"/>
          <w:numId w:val="3"/>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对品牌运营管理方提出的运营管理流程及制度进行评审和建议。</w:t>
      </w:r>
    </w:p>
    <w:p>
      <w:pPr>
        <w:numPr>
          <w:ilvl w:val="0"/>
          <w:numId w:val="2"/>
        </w:numPr>
        <w:spacing w:line="360" w:lineRule="auto"/>
        <w:jc w:val="left"/>
        <w:rPr>
          <w:rFonts w:hint="eastAsia" w:ascii="宋体" w:hAnsi="宋体" w:eastAsia="宋体" w:cs="宋体"/>
          <w:szCs w:val="21"/>
        </w:rPr>
      </w:pPr>
      <w:r>
        <w:rPr>
          <w:rFonts w:hint="eastAsia" w:ascii="宋体" w:hAnsi="宋体" w:eastAsia="宋体" w:cs="宋体"/>
          <w:szCs w:val="21"/>
        </w:rPr>
        <w:t>项目运营设备用品（HOE）采购审计及评估，具体包括：</w:t>
      </w:r>
    </w:p>
    <w:p>
      <w:pPr>
        <w:numPr>
          <w:ilvl w:val="0"/>
          <w:numId w:val="4"/>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本项目FF&amp;E（集聚、固定设施和设备费用）和HOE（酒店经营设备）采购预算可能存在交叉，需判定采购物资的归类和特性；</w:t>
      </w:r>
    </w:p>
    <w:p>
      <w:pPr>
        <w:numPr>
          <w:ilvl w:val="0"/>
          <w:numId w:val="4"/>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采购计划的结构是否合理，是否基于未来业绩的营运需要；</w:t>
      </w:r>
    </w:p>
    <w:p>
      <w:pPr>
        <w:numPr>
          <w:ilvl w:val="0"/>
          <w:numId w:val="4"/>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基于标准优化、物资配置优化、供应商优化原则，为投资人控制整体采购预算及坪效评估，保障开业预算合理、有效、可执行；</w:t>
      </w:r>
    </w:p>
    <w:p>
      <w:pPr>
        <w:numPr>
          <w:ilvl w:val="0"/>
          <w:numId w:val="4"/>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运营物资采购标段划分建议。</w:t>
      </w:r>
    </w:p>
    <w:p>
      <w:pPr>
        <w:numPr>
          <w:ilvl w:val="0"/>
          <w:numId w:val="2"/>
        </w:numPr>
        <w:spacing w:line="360" w:lineRule="auto"/>
        <w:jc w:val="left"/>
        <w:rPr>
          <w:rFonts w:hint="eastAsia" w:ascii="宋体" w:hAnsi="宋体" w:eastAsia="宋体" w:cs="宋体"/>
          <w:szCs w:val="21"/>
        </w:rPr>
      </w:pPr>
      <w:r>
        <w:rPr>
          <w:rFonts w:hint="eastAsia" w:ascii="宋体" w:hAnsi="宋体" w:eastAsia="宋体" w:cs="宋体"/>
          <w:szCs w:val="21"/>
        </w:rPr>
        <w:t>本项目开业预算（POB）费用审计与评估，具体包括：</w:t>
      </w:r>
    </w:p>
    <w:p>
      <w:pPr>
        <w:numPr>
          <w:ilvl w:val="0"/>
          <w:numId w:val="5"/>
        </w:num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对开业筹备周期以及开业筹备预算规模进行评审；</w:t>
      </w:r>
    </w:p>
    <w:p>
      <w:pPr>
        <w:numPr>
          <w:ilvl w:val="0"/>
          <w:numId w:val="5"/>
        </w:num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对开业预算筹备成本费用的优化建议；</w:t>
      </w:r>
    </w:p>
    <w:p>
      <w:pPr>
        <w:numPr>
          <w:ilvl w:val="0"/>
          <w:numId w:val="5"/>
        </w:num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对开业（含试营业）的定价进行评审。</w:t>
      </w:r>
    </w:p>
    <w:p>
      <w:pPr>
        <w:numPr>
          <w:ilvl w:val="0"/>
          <w:numId w:val="2"/>
        </w:numPr>
        <w:spacing w:line="360" w:lineRule="auto"/>
        <w:jc w:val="left"/>
        <w:rPr>
          <w:rFonts w:hint="eastAsia" w:ascii="宋体" w:hAnsi="宋体" w:eastAsia="宋体" w:cs="宋体"/>
          <w:szCs w:val="21"/>
        </w:rPr>
      </w:pPr>
      <w:r>
        <w:rPr>
          <w:rFonts w:hint="eastAsia" w:ascii="宋体" w:hAnsi="宋体" w:eastAsia="宋体" w:cs="宋体"/>
          <w:szCs w:val="21"/>
        </w:rPr>
        <w:t>本项目开业首年经营预算审计与评估，具体包括：</w:t>
      </w:r>
    </w:p>
    <w:p>
      <w:pPr>
        <w:numPr>
          <w:ilvl w:val="0"/>
          <w:numId w:val="6"/>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整体酒店市场展望与回顾；</w:t>
      </w:r>
    </w:p>
    <w:p>
      <w:pPr>
        <w:numPr>
          <w:ilvl w:val="0"/>
          <w:numId w:val="6"/>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本项目竞争性业绩分析及市场定位；</w:t>
      </w:r>
    </w:p>
    <w:p>
      <w:pPr>
        <w:numPr>
          <w:ilvl w:val="0"/>
          <w:numId w:val="6"/>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本项目竞争组合的年度预算解读；</w:t>
      </w:r>
    </w:p>
    <w:p>
      <w:pPr>
        <w:numPr>
          <w:ilvl w:val="0"/>
          <w:numId w:val="6"/>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本项目竞争项目的公共关系及消费者形象；</w:t>
      </w:r>
    </w:p>
    <w:p>
      <w:pPr>
        <w:numPr>
          <w:ilvl w:val="0"/>
          <w:numId w:val="6"/>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本项目管理方勤勉尽责的匿名调研；</w:t>
      </w:r>
    </w:p>
    <w:p>
      <w:pPr>
        <w:numPr>
          <w:ilvl w:val="0"/>
          <w:numId w:val="6"/>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本项目的收益面积分析；</w:t>
      </w:r>
    </w:p>
    <w:p>
      <w:pPr>
        <w:numPr>
          <w:ilvl w:val="0"/>
          <w:numId w:val="6"/>
        </w:numPr>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本项目开业首年的经营管理建议及采购物资配置建议。</w:t>
      </w:r>
    </w:p>
    <w:p>
      <w:pPr>
        <w:numPr>
          <w:ilvl w:val="0"/>
          <w:numId w:val="2"/>
        </w:numPr>
        <w:spacing w:line="360" w:lineRule="auto"/>
        <w:jc w:val="left"/>
        <w:rPr>
          <w:rFonts w:hint="eastAsia" w:ascii="宋体" w:hAnsi="宋体" w:eastAsia="宋体" w:cs="宋体"/>
          <w:szCs w:val="21"/>
        </w:rPr>
      </w:pPr>
      <w:r>
        <w:rPr>
          <w:rFonts w:hint="eastAsia" w:ascii="宋体" w:hAnsi="宋体" w:eastAsia="宋体" w:cs="宋体"/>
          <w:szCs w:val="21"/>
        </w:rPr>
        <w:t>交付标准与成果</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rPr>
        <w:t>绩效管理与合同履约监督</w:t>
      </w:r>
      <w:r>
        <w:rPr>
          <w:rFonts w:hint="eastAsia" w:ascii="宋体" w:hAnsi="宋体" w:eastAsia="宋体" w:cs="宋体"/>
          <w:kern w:val="2"/>
          <w:sz w:val="21"/>
          <w:szCs w:val="21"/>
          <w:lang w:val="en-US" w:eastAsia="zh-CN"/>
        </w:rPr>
        <w:t>制度</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含</w:t>
      </w:r>
      <w:r>
        <w:rPr>
          <w:rFonts w:hint="eastAsia" w:ascii="宋体" w:hAnsi="宋体" w:eastAsia="宋体" w:cs="宋体"/>
          <w:kern w:val="2"/>
          <w:sz w:val="21"/>
          <w:szCs w:val="21"/>
        </w:rPr>
        <w:t>合同审查</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关键绩效指标监控</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绩效评估</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采购政策</w:t>
      </w:r>
      <w:r>
        <w:rPr>
          <w:rFonts w:hint="eastAsia" w:ascii="宋体" w:hAnsi="宋体" w:eastAsia="宋体" w:cs="宋体"/>
          <w:kern w:val="2"/>
          <w:sz w:val="21"/>
          <w:szCs w:val="21"/>
          <w:lang w:val="en-US" w:eastAsia="zh-CN"/>
        </w:rPr>
        <w:t>等</w:t>
      </w:r>
      <w:r>
        <w:rPr>
          <w:rFonts w:hint="eastAsia" w:ascii="宋体" w:hAnsi="宋体" w:eastAsia="宋体" w:cs="宋体"/>
          <w:kern w:val="2"/>
          <w:sz w:val="21"/>
          <w:szCs w:val="21"/>
          <w:lang w:eastAsia="zh-CN"/>
        </w:rPr>
        <w:t>）》；</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rPr>
        <w:t>财务管控与审计</w:t>
      </w:r>
      <w:r>
        <w:rPr>
          <w:rFonts w:hint="eastAsia" w:ascii="宋体" w:hAnsi="宋体" w:eastAsia="宋体" w:cs="宋体"/>
          <w:kern w:val="2"/>
          <w:sz w:val="21"/>
          <w:szCs w:val="21"/>
          <w:lang w:val="en-US" w:eastAsia="zh-CN"/>
        </w:rPr>
        <w:t>制度（含</w:t>
      </w:r>
      <w:r>
        <w:rPr>
          <w:rFonts w:hint="eastAsia" w:ascii="宋体" w:hAnsi="宋体" w:eastAsia="宋体" w:cs="宋体"/>
          <w:kern w:val="2"/>
          <w:sz w:val="21"/>
          <w:szCs w:val="21"/>
        </w:rPr>
        <w:t>预算</w:t>
      </w:r>
      <w:r>
        <w:rPr>
          <w:rFonts w:hint="eastAsia" w:ascii="宋体" w:hAnsi="宋体" w:eastAsia="宋体" w:cs="宋体"/>
          <w:kern w:val="2"/>
          <w:sz w:val="21"/>
          <w:szCs w:val="21"/>
          <w:lang w:val="en-US" w:eastAsia="zh-CN"/>
        </w:rPr>
        <w:t>编制、</w:t>
      </w:r>
      <w:r>
        <w:rPr>
          <w:rFonts w:hint="eastAsia" w:ascii="宋体" w:hAnsi="宋体" w:eastAsia="宋体" w:cs="宋体"/>
          <w:kern w:val="2"/>
          <w:sz w:val="21"/>
          <w:szCs w:val="21"/>
        </w:rPr>
        <w:t>审批与监督</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银行</w:t>
      </w:r>
      <w:r>
        <w:rPr>
          <w:rFonts w:hint="eastAsia" w:ascii="宋体" w:hAnsi="宋体" w:eastAsia="宋体" w:cs="宋体"/>
          <w:kern w:val="2"/>
          <w:sz w:val="21"/>
          <w:szCs w:val="21"/>
          <w:lang w:val="en-US" w:eastAsia="zh-CN"/>
        </w:rPr>
        <w:t>及资金</w:t>
      </w:r>
      <w:r>
        <w:rPr>
          <w:rFonts w:hint="eastAsia" w:ascii="宋体" w:hAnsi="宋体" w:eastAsia="宋体" w:cs="宋体"/>
          <w:kern w:val="2"/>
          <w:sz w:val="21"/>
          <w:szCs w:val="21"/>
        </w:rPr>
        <w:t>账户管理</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费用审查与</w:t>
      </w:r>
      <w:r>
        <w:rPr>
          <w:rFonts w:hint="eastAsia" w:ascii="宋体" w:hAnsi="宋体" w:eastAsia="宋体" w:cs="宋体"/>
          <w:kern w:val="2"/>
          <w:sz w:val="21"/>
          <w:szCs w:val="21"/>
          <w:lang w:val="en-US" w:eastAsia="zh-CN"/>
        </w:rPr>
        <w:t>资金监控等）</w:t>
      </w:r>
      <w:r>
        <w:rPr>
          <w:rFonts w:hint="eastAsia" w:ascii="宋体" w:hAnsi="宋体" w:eastAsia="宋体" w:cs="宋体"/>
          <w:kern w:val="2"/>
          <w:sz w:val="21"/>
          <w:szCs w:val="21"/>
          <w:lang w:eastAsia="zh-CN"/>
        </w:rPr>
        <w:t>》；</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rPr>
        <w:t>品牌标准与质量</w:t>
      </w:r>
      <w:r>
        <w:rPr>
          <w:rFonts w:hint="eastAsia" w:ascii="宋体" w:hAnsi="宋体" w:eastAsia="宋体" w:cs="宋体"/>
          <w:kern w:val="2"/>
          <w:sz w:val="21"/>
          <w:szCs w:val="21"/>
          <w:lang w:val="en-US" w:eastAsia="zh-CN"/>
        </w:rPr>
        <w:t>监督制度（</w:t>
      </w:r>
      <w:r>
        <w:rPr>
          <w:rFonts w:hint="eastAsia" w:ascii="宋体" w:hAnsi="宋体" w:eastAsia="宋体" w:cs="宋体"/>
          <w:kern w:val="2"/>
          <w:sz w:val="21"/>
          <w:szCs w:val="21"/>
        </w:rPr>
        <w:t>品牌标准</w:t>
      </w:r>
      <w:r>
        <w:rPr>
          <w:rFonts w:hint="eastAsia" w:ascii="宋体" w:hAnsi="宋体" w:eastAsia="宋体" w:cs="宋体"/>
          <w:kern w:val="2"/>
          <w:sz w:val="21"/>
          <w:szCs w:val="21"/>
          <w:lang w:val="en-US" w:eastAsia="zh-CN"/>
        </w:rPr>
        <w:t>管理，品质监督，客户服务质量，日常维修维护等）</w:t>
      </w:r>
      <w:r>
        <w:rPr>
          <w:rFonts w:hint="eastAsia" w:ascii="宋体" w:hAnsi="宋体" w:eastAsia="宋体" w:cs="宋体"/>
          <w:kern w:val="2"/>
          <w:sz w:val="21"/>
          <w:szCs w:val="21"/>
          <w:lang w:eastAsia="zh-CN"/>
        </w:rPr>
        <w:t>》；</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信息与报告</w:t>
      </w:r>
      <w:r>
        <w:rPr>
          <w:rFonts w:hint="eastAsia" w:ascii="宋体" w:hAnsi="宋体" w:eastAsia="宋体" w:cs="宋体"/>
          <w:kern w:val="2"/>
          <w:sz w:val="21"/>
          <w:szCs w:val="21"/>
          <w:lang w:val="en-US" w:eastAsia="zh-CN"/>
        </w:rPr>
        <w:t>管理制度（</w:t>
      </w:r>
      <w:r>
        <w:rPr>
          <w:rFonts w:hint="eastAsia" w:ascii="宋体" w:hAnsi="宋体" w:eastAsia="宋体" w:cs="宋体"/>
          <w:kern w:val="2"/>
          <w:sz w:val="21"/>
          <w:szCs w:val="21"/>
        </w:rPr>
        <w:t>信息</w:t>
      </w:r>
      <w:r>
        <w:rPr>
          <w:rFonts w:hint="eastAsia" w:ascii="宋体" w:hAnsi="宋体" w:eastAsia="宋体" w:cs="宋体"/>
          <w:kern w:val="2"/>
          <w:sz w:val="21"/>
          <w:szCs w:val="21"/>
          <w:lang w:val="en-US" w:eastAsia="zh-CN"/>
        </w:rPr>
        <w:t>披露和获取，财务报告、经营分析报告、市场销售报告、重大事项报告等）》；</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风险管理与合规体系</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风险管理监督</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合规性监督</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危机管理预案</w:t>
      </w:r>
      <w:r>
        <w:rPr>
          <w:rFonts w:hint="eastAsia" w:ascii="宋体" w:hAnsi="宋体" w:eastAsia="宋体" w:cs="宋体"/>
          <w:kern w:val="2"/>
          <w:sz w:val="21"/>
          <w:szCs w:val="21"/>
          <w:lang w:val="en-US" w:eastAsia="zh-CN"/>
        </w:rPr>
        <w:t>等</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rPr>
        <w:t>沟通、协作与决策</w:t>
      </w:r>
      <w:r>
        <w:rPr>
          <w:rFonts w:hint="eastAsia" w:ascii="宋体" w:hAnsi="宋体" w:eastAsia="宋体" w:cs="宋体"/>
          <w:kern w:val="2"/>
          <w:sz w:val="21"/>
          <w:szCs w:val="21"/>
          <w:lang w:val="en-US" w:eastAsia="zh-CN"/>
        </w:rPr>
        <w:t>制度（</w:t>
      </w:r>
      <w:r>
        <w:rPr>
          <w:rFonts w:hint="eastAsia" w:ascii="宋体" w:hAnsi="宋体" w:eastAsia="宋体" w:cs="宋体"/>
          <w:kern w:val="2"/>
          <w:sz w:val="21"/>
          <w:szCs w:val="21"/>
        </w:rPr>
        <w:t>沟通机制</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业主代表授权，决策流程）</w:t>
      </w:r>
      <w:r>
        <w:rPr>
          <w:rFonts w:hint="eastAsia" w:ascii="宋体" w:hAnsi="宋体" w:eastAsia="宋体" w:cs="宋体"/>
          <w:kern w:val="2"/>
          <w:sz w:val="21"/>
          <w:szCs w:val="21"/>
          <w:lang w:eastAsia="zh-CN"/>
        </w:rPr>
        <w:t>》；</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rPr>
        <w:t>合同</w:t>
      </w:r>
      <w:r>
        <w:rPr>
          <w:rFonts w:hint="eastAsia" w:ascii="宋体" w:hAnsi="宋体" w:eastAsia="宋体" w:cs="宋体"/>
          <w:kern w:val="2"/>
          <w:sz w:val="21"/>
          <w:szCs w:val="21"/>
          <w:lang w:val="en-US" w:eastAsia="zh-CN"/>
        </w:rPr>
        <w:t>与档案</w:t>
      </w:r>
      <w:r>
        <w:rPr>
          <w:rFonts w:hint="eastAsia" w:ascii="宋体" w:hAnsi="宋体" w:eastAsia="宋体" w:cs="宋体"/>
          <w:kern w:val="2"/>
          <w:sz w:val="21"/>
          <w:szCs w:val="21"/>
        </w:rPr>
        <w:t>管理</w:t>
      </w:r>
      <w:r>
        <w:rPr>
          <w:rFonts w:hint="eastAsia" w:ascii="宋体" w:hAnsi="宋体" w:eastAsia="宋体" w:cs="宋体"/>
          <w:kern w:val="2"/>
          <w:sz w:val="21"/>
          <w:szCs w:val="21"/>
          <w:lang w:val="en-US" w:eastAsia="zh-CN"/>
        </w:rPr>
        <w:t>制度</w:t>
      </w:r>
      <w:r>
        <w:rPr>
          <w:rFonts w:hint="eastAsia" w:ascii="宋体" w:hAnsi="宋体" w:eastAsia="宋体" w:cs="宋体"/>
          <w:kern w:val="2"/>
          <w:sz w:val="21"/>
          <w:szCs w:val="21"/>
          <w:lang w:eastAsia="zh-CN"/>
        </w:rPr>
        <w:t>》；</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《本项目管理层候选人面试报告及建议》；</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sz w:val="21"/>
          <w:szCs w:val="21"/>
        </w:rPr>
        <w:t>本项目</w:t>
      </w:r>
      <w:r>
        <w:rPr>
          <w:rFonts w:hint="eastAsia" w:ascii="宋体" w:hAnsi="宋体" w:eastAsia="宋体" w:cs="宋体"/>
          <w:kern w:val="2"/>
          <w:sz w:val="21"/>
          <w:szCs w:val="21"/>
        </w:rPr>
        <w:t>业主方与酒管公司协作流程及制度》；</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sz w:val="21"/>
          <w:szCs w:val="21"/>
        </w:rPr>
        <w:t>本项目</w:t>
      </w:r>
      <w:r>
        <w:rPr>
          <w:rFonts w:hint="eastAsia" w:ascii="宋体" w:hAnsi="宋体" w:eastAsia="宋体" w:cs="宋体"/>
          <w:kern w:val="2"/>
          <w:sz w:val="21"/>
          <w:szCs w:val="21"/>
        </w:rPr>
        <w:t>人力资源架构和预算审核及建议报告》；</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sz w:val="21"/>
          <w:szCs w:val="21"/>
        </w:rPr>
        <w:t>本项目</w:t>
      </w:r>
      <w:r>
        <w:rPr>
          <w:rFonts w:hint="eastAsia" w:ascii="宋体" w:hAnsi="宋体" w:eastAsia="宋体" w:cs="宋体"/>
          <w:kern w:val="2"/>
          <w:sz w:val="21"/>
          <w:szCs w:val="21"/>
        </w:rPr>
        <w:t>薪酬福利制度审核及建议报告》；</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sz w:val="21"/>
          <w:szCs w:val="21"/>
        </w:rPr>
        <w:t>本项目</w:t>
      </w:r>
      <w:r>
        <w:rPr>
          <w:rFonts w:hint="eastAsia" w:ascii="宋体" w:hAnsi="宋体" w:eastAsia="宋体" w:cs="宋体"/>
          <w:kern w:val="2"/>
          <w:sz w:val="21"/>
          <w:szCs w:val="21"/>
        </w:rPr>
        <w:t>开业物品采购方案（含预算）审核及建议报告》；</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sz w:val="21"/>
          <w:szCs w:val="21"/>
        </w:rPr>
        <w:t>本项目</w:t>
      </w:r>
      <w:r>
        <w:rPr>
          <w:rFonts w:hint="eastAsia" w:ascii="宋体" w:hAnsi="宋体" w:eastAsia="宋体" w:cs="宋体"/>
          <w:kern w:val="2"/>
          <w:sz w:val="21"/>
          <w:szCs w:val="21"/>
        </w:rPr>
        <w:t>开业物品采购供应商推荐清单及考察评审建议报告》；</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sz w:val="21"/>
          <w:szCs w:val="21"/>
        </w:rPr>
        <w:t>本项目</w:t>
      </w:r>
      <w:r>
        <w:rPr>
          <w:rFonts w:hint="eastAsia" w:ascii="宋体" w:hAnsi="宋体" w:eastAsia="宋体" w:cs="宋体"/>
          <w:kern w:val="2"/>
          <w:sz w:val="21"/>
          <w:szCs w:val="21"/>
        </w:rPr>
        <w:t>开业筹备计划及倒排时间表审核及建议报告》；</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sz w:val="21"/>
          <w:szCs w:val="21"/>
        </w:rPr>
        <w:t>本项</w:t>
      </w:r>
      <w:r>
        <w:rPr>
          <w:rFonts w:hint="eastAsia" w:ascii="宋体" w:hAnsi="宋体" w:eastAsia="宋体" w:cs="宋体"/>
          <w:kern w:val="2"/>
          <w:sz w:val="21"/>
          <w:szCs w:val="21"/>
        </w:rPr>
        <w:t>目开业前费用预算及酒店营运物资采购预算审查报告》；</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sz w:val="21"/>
          <w:szCs w:val="21"/>
        </w:rPr>
        <w:t>本项目</w:t>
      </w:r>
      <w:r>
        <w:rPr>
          <w:rFonts w:hint="eastAsia" w:ascii="宋体" w:hAnsi="宋体" w:eastAsia="宋体" w:cs="宋体"/>
          <w:kern w:val="2"/>
          <w:sz w:val="21"/>
          <w:szCs w:val="21"/>
        </w:rPr>
        <w:t>试运营建议报告》；</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sz w:val="21"/>
          <w:szCs w:val="21"/>
        </w:rPr>
        <w:t>本项目</w:t>
      </w:r>
      <w:r>
        <w:rPr>
          <w:rFonts w:hint="eastAsia" w:ascii="宋体" w:hAnsi="宋体" w:eastAsia="宋体" w:cs="宋体"/>
          <w:kern w:val="2"/>
          <w:sz w:val="21"/>
          <w:szCs w:val="21"/>
        </w:rPr>
        <w:t>开业策划建议报告》；</w:t>
      </w:r>
    </w:p>
    <w:p>
      <w:pPr>
        <w:pStyle w:val="7"/>
        <w:numPr>
          <w:ilvl w:val="0"/>
          <w:numId w:val="7"/>
        </w:numPr>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sz w:val="21"/>
          <w:szCs w:val="21"/>
        </w:rPr>
        <w:t>本项</w:t>
      </w:r>
      <w:r>
        <w:rPr>
          <w:rFonts w:hint="eastAsia" w:ascii="宋体" w:hAnsi="宋体" w:eastAsia="宋体" w:cs="宋体"/>
          <w:kern w:val="2"/>
          <w:sz w:val="21"/>
          <w:szCs w:val="21"/>
        </w:rPr>
        <w:t>目开业首年经营预算审计报告》。</w:t>
      </w:r>
    </w:p>
    <w:p>
      <w:pPr>
        <w:pStyle w:val="7"/>
        <w:spacing w:before="0" w:beforeAutospacing="0" w:after="0" w:afterAutospacing="0"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【服务说明】以上内容为顾问服务基础框架，具体实施方案将结合项目实际需求进行定制化调整，确保服务内容覆盖筹备期全流程关键节点，保障项目顺利筹备并如期开业。</w:t>
      </w:r>
    </w:p>
    <w:p>
      <w:pPr>
        <w:numPr>
          <w:ilvl w:val="0"/>
          <w:numId w:val="1"/>
        </w:numPr>
        <w:spacing w:line="360" w:lineRule="auto"/>
        <w:jc w:val="left"/>
        <w:rPr>
          <w:rFonts w:hint="eastAsia" w:ascii="宋体" w:hAnsi="宋体" w:eastAsia="宋体" w:cs="宋体"/>
          <w:b/>
          <w:bCs/>
          <w:szCs w:val="21"/>
        </w:rPr>
      </w:pPr>
      <w:r>
        <w:rPr>
          <w:rFonts w:hint="eastAsia" w:ascii="宋体" w:hAnsi="宋体" w:eastAsia="宋体" w:cs="宋体"/>
          <w:b/>
          <w:bCs/>
          <w:szCs w:val="21"/>
        </w:rPr>
        <w:t>工作条件及要求</w:t>
      </w:r>
      <w:bookmarkEnd w:id="7"/>
      <w:bookmarkEnd w:id="8"/>
    </w:p>
    <w:p>
      <w:pPr>
        <w:numPr>
          <w:ilvl w:val="0"/>
          <w:numId w:val="8"/>
        </w:numPr>
        <w:spacing w:line="360" w:lineRule="auto"/>
        <w:ind w:firstLineChars="200"/>
        <w:jc w:val="left"/>
        <w:rPr>
          <w:rFonts w:hint="eastAsia" w:ascii="宋体" w:hAnsi="宋体" w:eastAsia="宋体" w:cs="宋体"/>
          <w:szCs w:val="21"/>
        </w:rPr>
      </w:pPr>
      <w:bookmarkStart w:id="9" w:name="_Toc216520188"/>
      <w:r>
        <w:rPr>
          <w:rFonts w:hint="eastAsia" w:ascii="宋体" w:hAnsi="宋体" w:eastAsia="宋体" w:cs="宋体"/>
          <w:szCs w:val="21"/>
        </w:rPr>
        <w:t>在项目筹开阶段提供不少于20次（每次至少2人）的现场服务，以及应甲方要求参与或出席各项与该项目相关的会议；</w:t>
      </w:r>
    </w:p>
    <w:p>
      <w:pPr>
        <w:numPr>
          <w:ilvl w:val="0"/>
          <w:numId w:val="8"/>
        </w:numPr>
        <w:adjustRightInd w:val="0"/>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项目筹开阶段</w:t>
      </w:r>
      <w:r>
        <w:rPr>
          <w:rFonts w:hint="eastAsia" w:ascii="宋体" w:hAnsi="宋体" w:eastAsia="宋体" w:cs="宋体"/>
          <w:szCs w:val="21"/>
          <w:lang w:val="en-US" w:eastAsia="zh-CN"/>
        </w:rPr>
        <w:t>根据甲方需要可</w:t>
      </w:r>
      <w:r>
        <w:rPr>
          <w:rFonts w:hint="eastAsia" w:ascii="宋体" w:hAnsi="宋体" w:eastAsia="宋体" w:cs="宋体"/>
          <w:szCs w:val="21"/>
        </w:rPr>
        <w:t>安排不少于1人的现场常驻顾问代表。</w:t>
      </w:r>
    </w:p>
    <w:p>
      <w:pPr>
        <w:numPr>
          <w:ilvl w:val="0"/>
          <w:numId w:val="8"/>
        </w:numPr>
        <w:adjustRightInd w:val="0"/>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投标人可根据项目需求、定位，为招标人在招标服务内容外提供额外增值服务项目。</w:t>
      </w:r>
    </w:p>
    <w:p>
      <w:pPr>
        <w:pStyle w:val="2"/>
        <w:numPr>
          <w:ilvl w:val="0"/>
          <w:numId w:val="8"/>
        </w:numPr>
        <w:spacing w:line="360" w:lineRule="auto"/>
        <w:ind w:leftChars="0" w:firstLineChars="200"/>
        <w:rPr>
          <w:rFonts w:hint="eastAsia" w:ascii="宋体" w:hAnsi="宋体" w:eastAsia="宋体" w:cs="宋体"/>
          <w:snapToGrid/>
          <w:spacing w:val="0"/>
          <w:kern w:val="2"/>
          <w:sz w:val="21"/>
          <w:szCs w:val="21"/>
        </w:rPr>
      </w:pPr>
      <w:r>
        <w:rPr>
          <w:rFonts w:hint="eastAsia" w:ascii="宋体" w:hAnsi="宋体" w:eastAsia="宋体" w:cs="宋体"/>
          <w:snapToGrid/>
          <w:spacing w:val="0"/>
          <w:kern w:val="2"/>
          <w:sz w:val="21"/>
          <w:szCs w:val="21"/>
        </w:rPr>
        <w:t>本合同项下的服务时间：</w:t>
      </w:r>
      <w:r>
        <w:rPr>
          <w:rFonts w:hint="eastAsia" w:ascii="宋体" w:hAnsi="宋体" w:eastAsia="宋体" w:cs="宋体"/>
          <w:sz w:val="21"/>
          <w:szCs w:val="21"/>
        </w:rPr>
        <w:t>自合同签订日开始至项目开业且合同服务内容相关工作完成并经甲方认可为止。</w:t>
      </w:r>
      <w:r>
        <w:rPr>
          <w:rFonts w:hint="eastAsia" w:ascii="宋体" w:hAnsi="宋体" w:eastAsia="宋体" w:cs="宋体"/>
          <w:snapToGrid/>
          <w:spacing w:val="0"/>
          <w:kern w:val="2"/>
          <w:sz w:val="21"/>
          <w:szCs w:val="21"/>
        </w:rPr>
        <w:t>具体时间根据项目开业实际进展而定，以甲方最终书面通知及确定的时间为准。</w:t>
      </w:r>
    </w:p>
    <w:p>
      <w:pPr>
        <w:snapToGrid w:val="0"/>
        <w:spacing w:line="360" w:lineRule="auto"/>
        <w:ind w:firstLine="460"/>
        <w:jc w:val="left"/>
        <w:rPr>
          <w:rFonts w:hint="eastAsia" w:ascii="宋体" w:hAnsi="宋体" w:eastAsia="宋体" w:cs="宋体"/>
          <w:b/>
          <w:bCs/>
          <w:szCs w:val="21"/>
        </w:rPr>
      </w:pPr>
      <w:bookmarkStart w:id="10" w:name="_Toc4100_WPSOffice_Level2"/>
      <w:r>
        <w:rPr>
          <w:rFonts w:hint="eastAsia" w:ascii="宋体" w:hAnsi="宋体" w:eastAsia="宋体" w:cs="宋体"/>
          <w:b/>
          <w:bCs/>
          <w:szCs w:val="21"/>
        </w:rPr>
        <w:t>四、合同金额</w:t>
      </w:r>
      <w:bookmarkEnd w:id="9"/>
      <w:r>
        <w:rPr>
          <w:rFonts w:hint="eastAsia" w:ascii="宋体" w:hAnsi="宋体" w:eastAsia="宋体" w:cs="宋体"/>
          <w:b/>
          <w:bCs/>
          <w:szCs w:val="21"/>
        </w:rPr>
        <w:t>及支付</w:t>
      </w:r>
      <w:bookmarkEnd w:id="10"/>
    </w:p>
    <w:p>
      <w:pPr>
        <w:numPr>
          <w:ilvl w:val="0"/>
          <w:numId w:val="9"/>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合同总价为人民币：元（含税）（大写：元整）。</w:t>
      </w:r>
      <w:r>
        <w:rPr>
          <w:rFonts w:hint="eastAsia" w:ascii="宋体" w:hAnsi="宋体" w:eastAsia="宋体" w:cs="宋体"/>
          <w:kern w:val="0"/>
          <w:szCs w:val="21"/>
        </w:rPr>
        <w:t>本合同项下有效签约金额适用【      】%的增值税税率。本合同项下有效签约金额不含税总价款￥【           】元（大写：【           】），增值税税金为￥【             】元。</w:t>
      </w:r>
    </w:p>
    <w:p>
      <w:pPr>
        <w:numPr>
          <w:ilvl w:val="0"/>
          <w:numId w:val="9"/>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kern w:val="0"/>
          <w:szCs w:val="21"/>
        </w:rPr>
        <w:t>鉴于我国现阶段不断深化增值税改革，增值税税率等法定事项时有变化，为避免税收政策变动带来的相关影响，依据实际情况，按“价税分离”原则计算，以不含税价作为基数，增值税税款=届时适用的最新法律规定税率×合同不含税价。具体支付情况如下：</w:t>
      </w:r>
    </w:p>
    <w:tbl>
      <w:tblPr>
        <w:tblStyle w:val="8"/>
        <w:tblW w:w="9719" w:type="dxa"/>
        <w:tblCellSpacing w:w="0" w:type="dxa"/>
        <w:tblInd w:w="0" w:type="dxa"/>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Layout w:type="fixed"/>
        <w:tblCellMar>
          <w:top w:w="0" w:type="dxa"/>
          <w:left w:w="0" w:type="dxa"/>
          <w:bottom w:w="0" w:type="dxa"/>
          <w:right w:w="0" w:type="dxa"/>
        </w:tblCellMar>
      </w:tblPr>
      <w:tblGrid>
        <w:gridCol w:w="437"/>
        <w:gridCol w:w="889"/>
        <w:gridCol w:w="4617"/>
        <w:gridCol w:w="1317"/>
        <w:gridCol w:w="743"/>
        <w:gridCol w:w="1716"/>
      </w:tblGrid>
      <w:tr>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90" w:hRule="atLeast"/>
          <w:tblCellSpacing w:w="0" w:type="dxa"/>
        </w:trPr>
        <w:tc>
          <w:tcPr>
            <w:tcW w:w="437" w:type="dxa"/>
            <w:tcBorders>
              <w:tl2br w:val="nil"/>
              <w:tr2bl w:val="nil"/>
            </w:tcBorders>
            <w:noWrap w:val="0"/>
            <w:tcMar>
              <w:left w:w="108" w:type="dxa"/>
              <w:right w:w="108" w:type="dxa"/>
            </w:tcMar>
            <w:vAlign w:val="center"/>
          </w:tcPr>
          <w:p>
            <w:pPr>
              <w:pStyle w:val="7"/>
              <w:spacing w:beforeAutospacing="0" w:afterAutospacing="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889" w:type="dxa"/>
            <w:tcBorders>
              <w:tl2br w:val="nil"/>
              <w:tr2bl w:val="nil"/>
            </w:tcBorders>
            <w:noWrap w:val="0"/>
            <w:tcMar>
              <w:left w:w="108" w:type="dxa"/>
              <w:right w:w="108" w:type="dxa"/>
            </w:tcMar>
            <w:vAlign w:val="center"/>
          </w:tcPr>
          <w:p>
            <w:pPr>
              <w:pStyle w:val="7"/>
              <w:spacing w:beforeAutospacing="0" w:afterAutospacing="0"/>
              <w:jc w:val="center"/>
              <w:rPr>
                <w:rFonts w:hint="eastAsia" w:ascii="宋体" w:hAnsi="宋体" w:eastAsia="宋体" w:cs="宋体"/>
                <w:b/>
                <w:bCs/>
                <w:sz w:val="21"/>
                <w:szCs w:val="21"/>
              </w:rPr>
            </w:pPr>
            <w:r>
              <w:rPr>
                <w:rFonts w:hint="eastAsia" w:ascii="宋体" w:hAnsi="宋体" w:eastAsia="宋体" w:cs="宋体"/>
                <w:b/>
                <w:bCs/>
                <w:sz w:val="21"/>
                <w:szCs w:val="21"/>
              </w:rPr>
              <w:t>付款</w:t>
            </w:r>
          </w:p>
          <w:p>
            <w:pPr>
              <w:pStyle w:val="7"/>
              <w:spacing w:beforeAutospacing="0" w:afterAutospacing="0"/>
              <w:jc w:val="center"/>
              <w:rPr>
                <w:rFonts w:hint="eastAsia" w:ascii="宋体" w:hAnsi="宋体" w:eastAsia="宋体" w:cs="宋体"/>
                <w:b/>
                <w:bCs/>
                <w:sz w:val="21"/>
                <w:szCs w:val="21"/>
              </w:rPr>
            </w:pPr>
            <w:r>
              <w:rPr>
                <w:rFonts w:hint="eastAsia" w:ascii="宋体" w:hAnsi="宋体" w:eastAsia="宋体" w:cs="宋体"/>
                <w:b/>
                <w:bCs/>
                <w:sz w:val="21"/>
                <w:szCs w:val="21"/>
              </w:rPr>
              <w:t>节点</w:t>
            </w:r>
          </w:p>
        </w:tc>
        <w:tc>
          <w:tcPr>
            <w:tcW w:w="4617" w:type="dxa"/>
            <w:tcBorders>
              <w:tl2br w:val="nil"/>
              <w:tr2bl w:val="nil"/>
            </w:tcBorders>
            <w:noWrap w:val="0"/>
            <w:tcMar>
              <w:left w:w="108" w:type="dxa"/>
              <w:right w:w="108" w:type="dxa"/>
            </w:tcMar>
            <w:vAlign w:val="center"/>
          </w:tcPr>
          <w:p>
            <w:pPr>
              <w:pStyle w:val="7"/>
              <w:spacing w:beforeAutospacing="0" w:afterAutospacing="0"/>
              <w:jc w:val="center"/>
              <w:rPr>
                <w:rFonts w:hint="eastAsia" w:ascii="宋体" w:hAnsi="宋体" w:eastAsia="宋体" w:cs="宋体"/>
                <w:b/>
                <w:bCs/>
                <w:sz w:val="21"/>
                <w:szCs w:val="21"/>
              </w:rPr>
            </w:pPr>
            <w:r>
              <w:rPr>
                <w:rFonts w:hint="eastAsia" w:ascii="宋体" w:hAnsi="宋体" w:eastAsia="宋体" w:cs="宋体"/>
                <w:b/>
                <w:bCs/>
                <w:sz w:val="21"/>
                <w:szCs w:val="21"/>
              </w:rPr>
              <w:t>付款条件</w:t>
            </w:r>
          </w:p>
        </w:tc>
        <w:tc>
          <w:tcPr>
            <w:tcW w:w="1317" w:type="dxa"/>
            <w:tcBorders>
              <w:tl2br w:val="nil"/>
              <w:tr2bl w:val="nil"/>
            </w:tcBorders>
            <w:noWrap w:val="0"/>
            <w:tcMar>
              <w:left w:w="108" w:type="dxa"/>
              <w:right w:w="108" w:type="dxa"/>
            </w:tcMar>
            <w:vAlign w:val="center"/>
          </w:tcPr>
          <w:p>
            <w:pPr>
              <w:pStyle w:val="7"/>
              <w:spacing w:beforeAutospacing="0" w:afterAutospacing="0"/>
              <w:jc w:val="center"/>
              <w:rPr>
                <w:rFonts w:hint="eastAsia" w:ascii="宋体" w:hAnsi="宋体" w:eastAsia="宋体" w:cs="宋体"/>
                <w:b/>
                <w:bCs/>
                <w:sz w:val="21"/>
                <w:szCs w:val="21"/>
              </w:rPr>
            </w:pPr>
            <w:r>
              <w:rPr>
                <w:rFonts w:hint="eastAsia" w:ascii="宋体" w:hAnsi="宋体" w:eastAsia="宋体" w:cs="宋体"/>
                <w:b/>
                <w:bCs/>
                <w:sz w:val="21"/>
                <w:szCs w:val="21"/>
              </w:rPr>
              <w:t>占合同价款比例</w:t>
            </w:r>
          </w:p>
        </w:tc>
        <w:tc>
          <w:tcPr>
            <w:tcW w:w="743" w:type="dxa"/>
            <w:tcBorders>
              <w:tl2br w:val="nil"/>
              <w:tr2bl w:val="nil"/>
            </w:tcBorders>
            <w:noWrap w:val="0"/>
            <w:tcMar>
              <w:left w:w="108" w:type="dxa"/>
              <w:right w:w="108" w:type="dxa"/>
            </w:tcMar>
            <w:vAlign w:val="center"/>
          </w:tcPr>
          <w:p>
            <w:pPr>
              <w:pStyle w:val="7"/>
              <w:spacing w:beforeAutospacing="0" w:afterAutospacing="0"/>
              <w:jc w:val="center"/>
              <w:rPr>
                <w:rFonts w:hint="eastAsia" w:ascii="宋体" w:hAnsi="宋体" w:eastAsia="宋体" w:cs="宋体"/>
                <w:b/>
                <w:bCs/>
                <w:sz w:val="21"/>
                <w:szCs w:val="21"/>
              </w:rPr>
            </w:pPr>
            <w:r>
              <w:rPr>
                <w:rFonts w:hint="eastAsia" w:ascii="宋体" w:hAnsi="宋体" w:eastAsia="宋体" w:cs="宋体"/>
                <w:b/>
                <w:bCs/>
                <w:sz w:val="21"/>
                <w:szCs w:val="21"/>
              </w:rPr>
              <w:t>金额（元）</w:t>
            </w:r>
          </w:p>
        </w:tc>
        <w:tc>
          <w:tcPr>
            <w:tcW w:w="1716" w:type="dxa"/>
            <w:tcBorders>
              <w:tl2br w:val="nil"/>
              <w:tr2bl w:val="nil"/>
            </w:tcBorders>
            <w:noWrap w:val="0"/>
            <w:tcMar>
              <w:left w:w="108" w:type="dxa"/>
              <w:right w:w="108" w:type="dxa"/>
            </w:tcMar>
            <w:vAlign w:val="center"/>
          </w:tcPr>
          <w:p>
            <w:pPr>
              <w:pStyle w:val="7"/>
              <w:spacing w:beforeAutospacing="0" w:afterAutospacing="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90" w:hRule="atLeast"/>
          <w:tblCellSpacing w:w="0" w:type="dxa"/>
        </w:trPr>
        <w:tc>
          <w:tcPr>
            <w:tcW w:w="437" w:type="dxa"/>
            <w:tcBorders>
              <w:tl2br w:val="nil"/>
              <w:tr2bl w:val="nil"/>
            </w:tcBorders>
            <w:noWrap w:val="0"/>
            <w:tcMar>
              <w:left w:w="108" w:type="dxa"/>
              <w:right w:w="108" w:type="dxa"/>
            </w:tcMar>
            <w:vAlign w:val="center"/>
          </w:tcPr>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w:t>
            </w:r>
          </w:p>
        </w:tc>
        <w:tc>
          <w:tcPr>
            <w:tcW w:w="889" w:type="dxa"/>
            <w:tcBorders>
              <w:tl2br w:val="nil"/>
              <w:tr2bl w:val="nil"/>
            </w:tcBorders>
            <w:noWrap w:val="0"/>
            <w:tcMar>
              <w:left w:w="108" w:type="dxa"/>
              <w:right w:w="108" w:type="dxa"/>
            </w:tcMar>
            <w:vAlign w:val="center"/>
          </w:tcPr>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预付款</w:t>
            </w:r>
          </w:p>
        </w:tc>
        <w:tc>
          <w:tcPr>
            <w:tcW w:w="4617"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r>
              <w:rPr>
                <w:rFonts w:hint="eastAsia" w:ascii="宋体" w:hAnsi="宋体" w:eastAsia="宋体" w:cs="宋体"/>
                <w:b/>
                <w:bCs/>
                <w:sz w:val="21"/>
                <w:szCs w:val="21"/>
              </w:rPr>
              <w:t>启动阶段：</w:t>
            </w:r>
            <w:r>
              <w:rPr>
                <w:rFonts w:hint="eastAsia" w:ascii="宋体" w:hAnsi="宋体" w:eastAsia="宋体" w:cs="宋体"/>
                <w:sz w:val="21"/>
                <w:szCs w:val="21"/>
              </w:rPr>
              <w:t>签订合同后，乙方发请款函经甲方确认并收到乙方增值税专用发票后15个工作日内，甲方支付乙方合同签约金额的20%的款项。</w:t>
            </w:r>
          </w:p>
        </w:tc>
        <w:tc>
          <w:tcPr>
            <w:tcW w:w="1317" w:type="dxa"/>
            <w:tcBorders>
              <w:tl2br w:val="nil"/>
              <w:tr2bl w:val="nil"/>
            </w:tcBorders>
            <w:noWrap w:val="0"/>
            <w:tcMar>
              <w:left w:w="108" w:type="dxa"/>
              <w:right w:w="108" w:type="dxa"/>
            </w:tcMar>
            <w:vAlign w:val="center"/>
          </w:tcPr>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合同价的20%</w:t>
            </w:r>
          </w:p>
        </w:tc>
        <w:tc>
          <w:tcPr>
            <w:tcW w:w="743"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p>
        </w:tc>
        <w:tc>
          <w:tcPr>
            <w:tcW w:w="1716"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r>
              <w:rPr>
                <w:rFonts w:hint="eastAsia" w:ascii="宋体" w:hAnsi="宋体" w:eastAsia="宋体" w:cs="宋体"/>
                <w:sz w:val="21"/>
                <w:szCs w:val="21"/>
              </w:rPr>
              <w:t>提供对应支付金额的增值税发票、请款函</w:t>
            </w:r>
          </w:p>
        </w:tc>
      </w:tr>
      <w:tr>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172" w:hRule="atLeast"/>
          <w:tblCellSpacing w:w="0" w:type="dxa"/>
        </w:trPr>
        <w:tc>
          <w:tcPr>
            <w:tcW w:w="437" w:type="dxa"/>
            <w:vMerge w:val="restart"/>
            <w:tcBorders>
              <w:tl2br w:val="nil"/>
              <w:tr2bl w:val="nil"/>
            </w:tcBorders>
            <w:noWrap w:val="0"/>
            <w:tcMar>
              <w:left w:w="108" w:type="dxa"/>
              <w:right w:w="108" w:type="dxa"/>
            </w:tcMar>
            <w:vAlign w:val="center"/>
          </w:tcPr>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2</w:t>
            </w:r>
          </w:p>
        </w:tc>
        <w:tc>
          <w:tcPr>
            <w:tcW w:w="889" w:type="dxa"/>
            <w:vMerge w:val="restart"/>
            <w:tcBorders>
              <w:tl2br w:val="nil"/>
              <w:tr2bl w:val="nil"/>
            </w:tcBorders>
            <w:noWrap w:val="0"/>
            <w:tcMar>
              <w:left w:w="108" w:type="dxa"/>
              <w:right w:w="108" w:type="dxa"/>
            </w:tcMar>
            <w:vAlign w:val="center"/>
          </w:tcPr>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进度款</w:t>
            </w:r>
          </w:p>
        </w:tc>
        <w:tc>
          <w:tcPr>
            <w:tcW w:w="4617"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r>
              <w:rPr>
                <w:rFonts w:hint="eastAsia" w:ascii="宋体" w:hAnsi="宋体" w:eastAsia="宋体" w:cs="宋体"/>
                <w:b/>
                <w:bCs/>
                <w:sz w:val="21"/>
                <w:szCs w:val="21"/>
              </w:rPr>
              <w:t>服务阶段性成果：</w:t>
            </w:r>
            <w:r>
              <w:rPr>
                <w:rFonts w:hint="eastAsia" w:ascii="宋体" w:hAnsi="宋体" w:eastAsia="宋体" w:cs="宋体"/>
                <w:sz w:val="21"/>
                <w:szCs w:val="21"/>
              </w:rPr>
              <w:t>乙方完成《本项目管理层候选人面试报告及建议》、《本项目开业筹备计划及倒排时间表审核及建议报告》、《本项目业主方与酒管公司协作流程及制度》、《本项目人力资源架构和预算审核及建议报告》、《本项目薪酬福利制度审核及建议报告》，经甲方认可后，乙方发请款函经甲方确认并收到乙方增值税专用发票后15个工作日内，甲方支付乙方合同签约金额20%的款项。</w:t>
            </w:r>
          </w:p>
        </w:tc>
        <w:tc>
          <w:tcPr>
            <w:tcW w:w="1317" w:type="dxa"/>
            <w:tcBorders>
              <w:tl2br w:val="nil"/>
              <w:tr2bl w:val="nil"/>
            </w:tcBorders>
            <w:noWrap w:val="0"/>
            <w:tcMar>
              <w:left w:w="108" w:type="dxa"/>
              <w:right w:w="108" w:type="dxa"/>
            </w:tcMar>
            <w:vAlign w:val="center"/>
          </w:tcPr>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本次支付20%</w:t>
            </w:r>
          </w:p>
        </w:tc>
        <w:tc>
          <w:tcPr>
            <w:tcW w:w="743"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p>
        </w:tc>
        <w:tc>
          <w:tcPr>
            <w:tcW w:w="1716"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r>
              <w:rPr>
                <w:rFonts w:hint="eastAsia" w:ascii="宋体" w:hAnsi="宋体" w:eastAsia="宋体" w:cs="宋体"/>
                <w:sz w:val="21"/>
                <w:szCs w:val="21"/>
              </w:rPr>
              <w:t>提供对应支付金额的增值税发票、请款函</w:t>
            </w:r>
          </w:p>
        </w:tc>
      </w:tr>
      <w:tr>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172" w:hRule="atLeast"/>
          <w:tblCellSpacing w:w="0" w:type="dxa"/>
        </w:trPr>
        <w:tc>
          <w:tcPr>
            <w:tcW w:w="437" w:type="dxa"/>
            <w:vMerge w:val="continue"/>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p>
        </w:tc>
        <w:tc>
          <w:tcPr>
            <w:tcW w:w="889" w:type="dxa"/>
            <w:vMerge w:val="continue"/>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p>
        </w:tc>
        <w:tc>
          <w:tcPr>
            <w:tcW w:w="4617"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r>
              <w:rPr>
                <w:rFonts w:hint="eastAsia" w:ascii="宋体" w:hAnsi="宋体" w:eastAsia="宋体" w:cs="宋体"/>
                <w:b/>
                <w:bCs/>
                <w:sz w:val="21"/>
                <w:szCs w:val="21"/>
              </w:rPr>
              <w:t>服务阶段性成果：</w:t>
            </w:r>
            <w:r>
              <w:rPr>
                <w:rFonts w:hint="eastAsia" w:ascii="宋体" w:hAnsi="宋体" w:eastAsia="宋体" w:cs="宋体"/>
                <w:sz w:val="21"/>
                <w:szCs w:val="21"/>
              </w:rPr>
              <w:t>乙方完成《本项目开业物品采购供应商推荐清单及考察评审建议报告》、《本项目开业筹备计划及倒排时间表审核及建议报告》、《本项目开业前费用预算及酒店营运物资采购预算审查报告》，经甲方认可后，乙方发请款函经甲方确认并收到乙方增值税专用发票后15个工作日内，甲方支付乙方合同签约金额20%的款项。</w:t>
            </w:r>
          </w:p>
        </w:tc>
        <w:tc>
          <w:tcPr>
            <w:tcW w:w="1317" w:type="dxa"/>
            <w:tcBorders>
              <w:tl2br w:val="nil"/>
              <w:tr2bl w:val="nil"/>
            </w:tcBorders>
            <w:noWrap w:val="0"/>
            <w:tcMar>
              <w:left w:w="108" w:type="dxa"/>
              <w:right w:w="108" w:type="dxa"/>
            </w:tcMar>
            <w:vAlign w:val="center"/>
          </w:tcPr>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本次支付20%</w:t>
            </w:r>
          </w:p>
        </w:tc>
        <w:tc>
          <w:tcPr>
            <w:tcW w:w="743"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p>
        </w:tc>
        <w:tc>
          <w:tcPr>
            <w:tcW w:w="1716"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r>
              <w:rPr>
                <w:rFonts w:hint="eastAsia" w:ascii="宋体" w:hAnsi="宋体" w:eastAsia="宋体" w:cs="宋体"/>
                <w:sz w:val="21"/>
                <w:szCs w:val="21"/>
              </w:rPr>
              <w:t>提供对应支付金额的增值税发票、请款函</w:t>
            </w:r>
          </w:p>
        </w:tc>
      </w:tr>
      <w:tr>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200" w:hRule="atLeast"/>
          <w:tblCellSpacing w:w="0" w:type="dxa"/>
        </w:trPr>
        <w:tc>
          <w:tcPr>
            <w:tcW w:w="437" w:type="dxa"/>
            <w:tcBorders>
              <w:tl2br w:val="nil"/>
              <w:tr2bl w:val="nil"/>
            </w:tcBorders>
            <w:noWrap w:val="0"/>
            <w:tcMar>
              <w:left w:w="108" w:type="dxa"/>
              <w:right w:w="108" w:type="dxa"/>
            </w:tcMar>
            <w:vAlign w:val="center"/>
          </w:tcPr>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3</w:t>
            </w:r>
          </w:p>
        </w:tc>
        <w:tc>
          <w:tcPr>
            <w:tcW w:w="889" w:type="dxa"/>
            <w:tcBorders>
              <w:tl2br w:val="nil"/>
              <w:tr2bl w:val="nil"/>
            </w:tcBorders>
            <w:noWrap w:val="0"/>
            <w:tcMar>
              <w:left w:w="108" w:type="dxa"/>
              <w:right w:w="108" w:type="dxa"/>
            </w:tcMar>
            <w:vAlign w:val="center"/>
          </w:tcPr>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结算款</w:t>
            </w:r>
          </w:p>
        </w:tc>
        <w:tc>
          <w:tcPr>
            <w:tcW w:w="4617"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r>
              <w:rPr>
                <w:rFonts w:hint="eastAsia" w:ascii="宋体" w:hAnsi="宋体" w:eastAsia="宋体" w:cs="宋体"/>
                <w:b/>
                <w:bCs/>
                <w:sz w:val="21"/>
                <w:szCs w:val="21"/>
              </w:rPr>
              <w:t>结算：</w:t>
            </w:r>
            <w:r>
              <w:rPr>
                <w:rFonts w:hint="eastAsia" w:ascii="宋体" w:hAnsi="宋体" w:eastAsia="宋体" w:cs="宋体"/>
                <w:sz w:val="21"/>
                <w:szCs w:val="21"/>
              </w:rPr>
              <w:t>乙方完成合同范围内所服务有工作，且甲方酒店开始试营业，乙方发请款函经甲方确认并收到乙方增值税专用发票后15个工作日内，甲方支付乙方合同签约金额30%的款项。</w:t>
            </w:r>
          </w:p>
        </w:tc>
        <w:tc>
          <w:tcPr>
            <w:tcW w:w="1317" w:type="dxa"/>
            <w:tcBorders>
              <w:tl2br w:val="nil"/>
              <w:tr2bl w:val="nil"/>
            </w:tcBorders>
            <w:noWrap w:val="0"/>
            <w:tcMar>
              <w:left w:w="108" w:type="dxa"/>
              <w:right w:w="108" w:type="dxa"/>
            </w:tcMar>
            <w:vAlign w:val="center"/>
          </w:tcPr>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本次支付</w:t>
            </w:r>
            <w:r>
              <w:rPr>
                <w:rFonts w:hint="eastAsia" w:ascii="宋体" w:hAnsi="宋体" w:eastAsia="宋体" w:cs="宋体"/>
                <w:sz w:val="21"/>
                <w:szCs w:val="21"/>
                <w:lang w:val="en-US" w:eastAsia="zh-CN"/>
              </w:rPr>
              <w:t>20</w:t>
            </w:r>
            <w:r>
              <w:rPr>
                <w:rFonts w:hint="eastAsia" w:ascii="宋体" w:hAnsi="宋体" w:eastAsia="宋体" w:cs="宋体"/>
                <w:sz w:val="21"/>
                <w:szCs w:val="21"/>
              </w:rPr>
              <w:t>%，累计支付至结算价的9</w:t>
            </w:r>
            <w:r>
              <w:rPr>
                <w:rFonts w:hint="eastAsia" w:ascii="宋体" w:hAnsi="宋体" w:eastAsia="宋体" w:cs="宋体"/>
                <w:sz w:val="21"/>
                <w:szCs w:val="21"/>
                <w:lang w:val="en-US" w:eastAsia="zh-CN"/>
              </w:rPr>
              <w:t>0</w:t>
            </w:r>
            <w:r>
              <w:rPr>
                <w:rFonts w:hint="eastAsia" w:ascii="宋体" w:hAnsi="宋体" w:eastAsia="宋体" w:cs="宋体"/>
                <w:sz w:val="21"/>
                <w:szCs w:val="21"/>
              </w:rPr>
              <w:t>%</w:t>
            </w:r>
          </w:p>
        </w:tc>
        <w:tc>
          <w:tcPr>
            <w:tcW w:w="743"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p>
        </w:tc>
        <w:tc>
          <w:tcPr>
            <w:tcW w:w="1716"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r>
              <w:rPr>
                <w:rFonts w:hint="eastAsia" w:ascii="宋体" w:hAnsi="宋体" w:eastAsia="宋体" w:cs="宋体"/>
                <w:sz w:val="21"/>
                <w:szCs w:val="21"/>
              </w:rPr>
              <w:t>提供对应支付金额的增值税发票、请款函、结算资料</w:t>
            </w:r>
          </w:p>
        </w:tc>
      </w:tr>
      <w:tr>
        <w:tblPrEx>
          <w:tblBorders>
            <w:top w:val="single" w:color="080000" w:sz="2" w:space="0"/>
            <w:left w:val="single" w:color="080000" w:sz="2" w:space="0"/>
            <w:bottom w:val="single" w:color="080000" w:sz="2" w:space="0"/>
            <w:right w:val="single" w:color="080000" w:sz="2" w:space="0"/>
            <w:insideH w:val="single" w:color="080000" w:sz="2" w:space="0"/>
            <w:insideV w:val="single" w:color="080000" w:sz="2" w:space="0"/>
          </w:tblBorders>
          <w:tblCellMar>
            <w:top w:w="0" w:type="dxa"/>
            <w:left w:w="0" w:type="dxa"/>
            <w:bottom w:w="0" w:type="dxa"/>
            <w:right w:w="0" w:type="dxa"/>
          </w:tblCellMar>
        </w:tblPrEx>
        <w:trPr>
          <w:trHeight w:val="144" w:hRule="atLeast"/>
          <w:tblCellSpacing w:w="0" w:type="dxa"/>
        </w:trPr>
        <w:tc>
          <w:tcPr>
            <w:tcW w:w="437" w:type="dxa"/>
            <w:tcBorders>
              <w:tl2br w:val="nil"/>
              <w:tr2bl w:val="nil"/>
            </w:tcBorders>
            <w:noWrap w:val="0"/>
            <w:tcMar>
              <w:left w:w="108" w:type="dxa"/>
              <w:right w:w="108" w:type="dxa"/>
            </w:tcMar>
            <w:vAlign w:val="center"/>
          </w:tcPr>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4</w:t>
            </w:r>
          </w:p>
        </w:tc>
        <w:tc>
          <w:tcPr>
            <w:tcW w:w="889" w:type="dxa"/>
            <w:tcBorders>
              <w:tl2br w:val="nil"/>
              <w:tr2bl w:val="nil"/>
            </w:tcBorders>
            <w:noWrap w:val="0"/>
            <w:tcMar>
              <w:left w:w="108" w:type="dxa"/>
              <w:right w:w="108" w:type="dxa"/>
            </w:tcMar>
            <w:vAlign w:val="center"/>
          </w:tcPr>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履约</w:t>
            </w:r>
          </w:p>
          <w:p>
            <w:pPr>
              <w:pStyle w:val="7"/>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费用</w:t>
            </w:r>
          </w:p>
        </w:tc>
        <w:tc>
          <w:tcPr>
            <w:tcW w:w="4617" w:type="dxa"/>
            <w:tcBorders>
              <w:tl2br w:val="nil"/>
              <w:tr2bl w:val="nil"/>
            </w:tcBorders>
            <w:noWrap w:val="0"/>
            <w:tcMar>
              <w:left w:w="108" w:type="dxa"/>
              <w:right w:w="108" w:type="dxa"/>
            </w:tcMar>
            <w:vAlign w:val="top"/>
          </w:tcPr>
          <w:p>
            <w:pPr>
              <w:pStyle w:val="11"/>
              <w:widowControl/>
              <w:adjustRightInd w:val="0"/>
              <w:snapToGrid w:val="0"/>
              <w:ind w:firstLine="0" w:firstLineChars="0"/>
              <w:rPr>
                <w:rFonts w:hint="eastAsia" w:ascii="宋体" w:hAnsi="宋体" w:eastAsia="宋体" w:cs="宋体"/>
                <w:szCs w:val="21"/>
              </w:rPr>
            </w:pPr>
            <w:r>
              <w:rPr>
                <w:rFonts w:hint="eastAsia" w:ascii="宋体" w:hAnsi="宋体" w:eastAsia="宋体" w:cs="宋体"/>
                <w:kern w:val="0"/>
                <w:szCs w:val="21"/>
              </w:rPr>
              <w:t>合同总金额的10%作为履约评价考核费，乙方完成本项目工作后，甲方组织履约评价考核，根据履约评价，向乙方支付对应考核费用。</w:t>
            </w:r>
          </w:p>
        </w:tc>
        <w:tc>
          <w:tcPr>
            <w:tcW w:w="1317" w:type="dxa"/>
            <w:tcBorders>
              <w:tl2br w:val="nil"/>
              <w:tr2bl w:val="nil"/>
            </w:tcBorders>
            <w:noWrap w:val="0"/>
            <w:tcMar>
              <w:left w:w="108" w:type="dxa"/>
              <w:right w:w="108" w:type="dxa"/>
            </w:tcMar>
            <w:vAlign w:val="center"/>
          </w:tcPr>
          <w:p>
            <w:pPr>
              <w:pStyle w:val="7"/>
              <w:spacing w:before="0" w:beforeAutospacing="0" w:after="0" w:afterAutospacing="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履约评价款</w:t>
            </w:r>
          </w:p>
        </w:tc>
        <w:tc>
          <w:tcPr>
            <w:tcW w:w="743"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p>
        </w:tc>
        <w:tc>
          <w:tcPr>
            <w:tcW w:w="1716" w:type="dxa"/>
            <w:tcBorders>
              <w:tl2br w:val="nil"/>
              <w:tr2bl w:val="nil"/>
            </w:tcBorders>
            <w:noWrap w:val="0"/>
            <w:tcMar>
              <w:left w:w="108" w:type="dxa"/>
              <w:right w:w="108" w:type="dxa"/>
            </w:tcMar>
            <w:vAlign w:val="top"/>
          </w:tcPr>
          <w:p>
            <w:pPr>
              <w:pStyle w:val="7"/>
              <w:spacing w:before="0" w:beforeAutospacing="0" w:after="0" w:afterAutospacing="0"/>
              <w:jc w:val="both"/>
              <w:rPr>
                <w:rFonts w:hint="eastAsia" w:ascii="宋体" w:hAnsi="宋体" w:eastAsia="宋体" w:cs="宋体"/>
                <w:sz w:val="21"/>
                <w:szCs w:val="21"/>
              </w:rPr>
            </w:pPr>
            <w:r>
              <w:rPr>
                <w:rFonts w:hint="eastAsia" w:ascii="宋体" w:hAnsi="宋体" w:eastAsia="宋体" w:cs="宋体"/>
                <w:sz w:val="21"/>
                <w:szCs w:val="21"/>
              </w:rPr>
              <w:t>提供对应支付金额的增值税发票、请款函</w:t>
            </w:r>
          </w:p>
        </w:tc>
      </w:tr>
    </w:tbl>
    <w:p>
      <w:pPr>
        <w:numPr>
          <w:ilvl w:val="0"/>
          <w:numId w:val="9"/>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甲乙方收款银行账户：</w:t>
      </w:r>
    </w:p>
    <w:p>
      <w:pPr>
        <w:pStyle w:val="12"/>
        <w:spacing w:line="360" w:lineRule="auto"/>
        <w:jc w:val="left"/>
        <w:rPr>
          <w:rFonts w:hint="eastAsia" w:ascii="宋体" w:hAnsi="宋体" w:eastAsia="宋体" w:cs="宋体"/>
          <w:szCs w:val="21"/>
          <w:lang w:eastAsia="zh-Hans"/>
        </w:rPr>
      </w:pPr>
      <w:r>
        <w:rPr>
          <w:rFonts w:hint="eastAsia" w:ascii="宋体" w:hAnsi="宋体" w:eastAsia="宋体" w:cs="宋体"/>
          <w:szCs w:val="21"/>
        </w:rPr>
        <w:t>甲方</w:t>
      </w:r>
      <w:r>
        <w:rPr>
          <w:rFonts w:hint="eastAsia" w:ascii="宋体" w:hAnsi="宋体" w:eastAsia="宋体" w:cs="宋体"/>
          <w:szCs w:val="21"/>
          <w:lang w:eastAsia="zh-Hans"/>
        </w:rPr>
        <w:t>的增值税专用发票信息如下：</w:t>
      </w:r>
    </w:p>
    <w:p>
      <w:pPr>
        <w:pStyle w:val="12"/>
        <w:spacing w:line="360" w:lineRule="auto"/>
        <w:jc w:val="left"/>
        <w:rPr>
          <w:rFonts w:hint="eastAsia" w:ascii="宋体" w:hAnsi="宋体" w:eastAsia="宋体" w:cs="宋体"/>
          <w:szCs w:val="21"/>
          <w:lang w:eastAsia="zh-Hans"/>
        </w:rPr>
      </w:pPr>
      <w:r>
        <w:rPr>
          <w:rFonts w:hint="eastAsia" w:ascii="宋体" w:hAnsi="宋体" w:eastAsia="宋体" w:cs="宋体"/>
          <w:szCs w:val="21"/>
          <w:lang w:eastAsia="zh-Hans"/>
        </w:rPr>
        <w:t>名称：</w:t>
      </w:r>
    </w:p>
    <w:p>
      <w:pPr>
        <w:pStyle w:val="12"/>
        <w:spacing w:line="360" w:lineRule="auto"/>
        <w:jc w:val="left"/>
        <w:rPr>
          <w:rFonts w:hint="eastAsia" w:ascii="宋体" w:hAnsi="宋体" w:eastAsia="宋体" w:cs="宋体"/>
          <w:szCs w:val="21"/>
          <w:lang w:eastAsia="zh-Hans"/>
        </w:rPr>
      </w:pPr>
      <w:r>
        <w:rPr>
          <w:rFonts w:hint="eastAsia" w:ascii="宋体" w:hAnsi="宋体" w:eastAsia="宋体" w:cs="宋体"/>
          <w:szCs w:val="21"/>
          <w:lang w:eastAsia="zh-Hans"/>
        </w:rPr>
        <w:t>纳税人识别号：</w:t>
      </w:r>
    </w:p>
    <w:p>
      <w:pPr>
        <w:pStyle w:val="12"/>
        <w:spacing w:line="360" w:lineRule="auto"/>
        <w:jc w:val="left"/>
        <w:rPr>
          <w:rFonts w:hint="eastAsia" w:ascii="宋体" w:hAnsi="宋体" w:eastAsia="宋体" w:cs="宋体"/>
          <w:szCs w:val="21"/>
          <w:lang w:eastAsia="zh-Hans"/>
        </w:rPr>
      </w:pPr>
      <w:r>
        <w:rPr>
          <w:rFonts w:hint="eastAsia" w:ascii="宋体" w:hAnsi="宋体" w:eastAsia="宋体" w:cs="宋体"/>
          <w:szCs w:val="21"/>
          <w:lang w:eastAsia="zh-Hans"/>
        </w:rPr>
        <w:t>地址、号码：</w:t>
      </w:r>
    </w:p>
    <w:p>
      <w:pPr>
        <w:pStyle w:val="12"/>
        <w:spacing w:line="360" w:lineRule="auto"/>
        <w:jc w:val="left"/>
        <w:rPr>
          <w:rFonts w:hint="eastAsia" w:ascii="宋体" w:hAnsi="宋体" w:eastAsia="宋体" w:cs="宋体"/>
          <w:szCs w:val="21"/>
          <w:lang w:eastAsia="zh-Hans"/>
        </w:rPr>
      </w:pPr>
      <w:r>
        <w:rPr>
          <w:rFonts w:hint="eastAsia" w:ascii="宋体" w:hAnsi="宋体" w:eastAsia="宋体" w:cs="宋体"/>
          <w:szCs w:val="21"/>
          <w:lang w:eastAsia="zh-Hans"/>
        </w:rPr>
        <w:t>开户行及账号：</w:t>
      </w:r>
    </w:p>
    <w:p>
      <w:pPr>
        <w:pStyle w:val="12"/>
        <w:spacing w:line="360" w:lineRule="auto"/>
        <w:jc w:val="left"/>
        <w:rPr>
          <w:rFonts w:hint="eastAsia" w:ascii="宋体" w:hAnsi="宋体" w:eastAsia="宋体" w:cs="宋体"/>
          <w:szCs w:val="21"/>
          <w:lang w:eastAsia="zh-Hans"/>
        </w:rPr>
      </w:pPr>
      <w:r>
        <w:rPr>
          <w:rFonts w:hint="eastAsia" w:ascii="宋体" w:hAnsi="宋体" w:eastAsia="宋体" w:cs="宋体"/>
          <w:szCs w:val="21"/>
        </w:rPr>
        <w:t>乙方</w:t>
      </w:r>
      <w:r>
        <w:rPr>
          <w:rFonts w:hint="eastAsia" w:ascii="宋体" w:hAnsi="宋体" w:eastAsia="宋体" w:cs="宋体"/>
          <w:szCs w:val="21"/>
          <w:lang w:eastAsia="zh-Hans"/>
        </w:rPr>
        <w:t>银行信息如下：</w:t>
      </w:r>
    </w:p>
    <w:p>
      <w:pPr>
        <w:pStyle w:val="12"/>
        <w:spacing w:line="360" w:lineRule="auto"/>
        <w:jc w:val="left"/>
        <w:rPr>
          <w:rFonts w:hint="eastAsia" w:ascii="宋体" w:hAnsi="宋体" w:eastAsia="宋体" w:cs="宋体"/>
          <w:szCs w:val="21"/>
          <w:lang w:eastAsia="zh-Hans"/>
        </w:rPr>
      </w:pPr>
      <w:r>
        <w:rPr>
          <w:rFonts w:hint="eastAsia" w:ascii="宋体" w:hAnsi="宋体" w:eastAsia="宋体" w:cs="宋体"/>
          <w:szCs w:val="21"/>
          <w:lang w:eastAsia="zh-Hans"/>
        </w:rPr>
        <w:t>开户行：</w:t>
      </w:r>
    </w:p>
    <w:p>
      <w:pPr>
        <w:pStyle w:val="12"/>
        <w:spacing w:line="360" w:lineRule="auto"/>
        <w:jc w:val="left"/>
        <w:rPr>
          <w:rFonts w:hint="eastAsia" w:ascii="宋体" w:hAnsi="宋体" w:eastAsia="宋体" w:cs="宋体"/>
          <w:szCs w:val="21"/>
          <w:lang w:eastAsia="zh-Hans"/>
        </w:rPr>
      </w:pPr>
      <w:r>
        <w:rPr>
          <w:rFonts w:hint="eastAsia" w:ascii="宋体" w:hAnsi="宋体" w:eastAsia="宋体" w:cs="宋体"/>
          <w:szCs w:val="21"/>
          <w:lang w:eastAsia="zh-Hans"/>
        </w:rPr>
        <w:t>开户行账号：</w:t>
      </w:r>
    </w:p>
    <w:p>
      <w:pPr>
        <w:pStyle w:val="12"/>
        <w:spacing w:line="360" w:lineRule="auto"/>
        <w:jc w:val="left"/>
        <w:rPr>
          <w:rFonts w:hint="eastAsia" w:ascii="宋体" w:hAnsi="宋体" w:eastAsia="宋体" w:cs="宋体"/>
          <w:szCs w:val="21"/>
          <w:lang w:eastAsia="zh-Hans"/>
        </w:rPr>
      </w:pPr>
      <w:r>
        <w:rPr>
          <w:rFonts w:hint="eastAsia" w:ascii="宋体" w:hAnsi="宋体" w:eastAsia="宋体" w:cs="宋体"/>
          <w:szCs w:val="21"/>
          <w:lang w:eastAsia="zh-Hans"/>
        </w:rPr>
        <w:t>地址：</w:t>
      </w:r>
    </w:p>
    <w:p>
      <w:pPr>
        <w:pStyle w:val="12"/>
        <w:spacing w:line="360" w:lineRule="auto"/>
        <w:jc w:val="left"/>
        <w:rPr>
          <w:rFonts w:hint="eastAsia" w:ascii="宋体" w:hAnsi="宋体" w:eastAsia="宋体" w:cs="宋体"/>
          <w:szCs w:val="21"/>
          <w:lang w:eastAsia="zh-Hans"/>
        </w:rPr>
      </w:pPr>
      <w:r>
        <w:rPr>
          <w:rFonts w:hint="eastAsia" w:ascii="宋体" w:hAnsi="宋体" w:eastAsia="宋体" w:cs="宋体"/>
          <w:szCs w:val="21"/>
          <w:lang w:eastAsia="zh-Hans"/>
        </w:rPr>
        <w:t>收款单位全称：</w:t>
      </w:r>
    </w:p>
    <w:p>
      <w:pPr>
        <w:numPr>
          <w:ilvl w:val="0"/>
          <w:numId w:val="9"/>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合同总价款包含乙方在履行本合同约定的全部工作内容所产生的所有费用、成本和利润，具体包括但不限于顾问的所有服务费、公司的系统使用费用、顾问在服务执行过程中的编制的、提供的各种文件资料的纸张费、印刷费、晒图费及送达文件产生的物流费用等、团队人员的办公设备费用、培训费、工作成果涉及的知识产权、团队人员的工资、奖金、福利及其他相关劳动法规定的费用、项目执行期内的指定的顾问人员境内外的交通、住宿、通讯、膳食费用、公司应缴纳的税收（国家相关部门规定的税率增减变动除外）和相关费用、以及利润、保险等完成合同咨询服务工作所需的一切费用。</w:t>
      </w:r>
    </w:p>
    <w:p>
      <w:pPr>
        <w:numPr>
          <w:ilvl w:val="0"/>
          <w:numId w:val="9"/>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本合同所约定合同期限届满前1个月，根据项目需要，双方可就续签合同具体条款进行协商，经协商一致，另行签订补充协议。否则，合同期满，本合同自行终止。</w:t>
      </w:r>
    </w:p>
    <w:p>
      <w:pPr>
        <w:snapToGrid w:val="0"/>
        <w:spacing w:line="360" w:lineRule="auto"/>
        <w:ind w:firstLine="460"/>
        <w:jc w:val="left"/>
        <w:rPr>
          <w:rFonts w:hint="eastAsia" w:ascii="宋体" w:hAnsi="宋体" w:eastAsia="宋体" w:cs="宋体"/>
          <w:b/>
          <w:bCs/>
          <w:szCs w:val="21"/>
        </w:rPr>
      </w:pPr>
      <w:bookmarkStart w:id="11" w:name="_Toc19084_WPSOffice_Level2"/>
      <w:bookmarkStart w:id="12" w:name="_Toc216520212"/>
      <w:bookmarkStart w:id="13" w:name="_Toc232999028"/>
      <w:r>
        <w:rPr>
          <w:rFonts w:hint="eastAsia" w:ascii="宋体" w:hAnsi="宋体" w:eastAsia="宋体" w:cs="宋体"/>
          <w:b/>
          <w:bCs/>
          <w:szCs w:val="21"/>
        </w:rPr>
        <w:t>五、权利义务</w:t>
      </w:r>
      <w:bookmarkEnd w:id="11"/>
    </w:p>
    <w:p>
      <w:pPr>
        <w:numPr>
          <w:ilvl w:val="0"/>
          <w:numId w:val="10"/>
        </w:numPr>
        <w:snapToGrid w:val="0"/>
        <w:spacing w:line="360" w:lineRule="auto"/>
        <w:jc w:val="left"/>
        <w:rPr>
          <w:rFonts w:hint="eastAsia" w:ascii="宋体" w:hAnsi="宋体" w:eastAsia="宋体" w:cs="宋体"/>
          <w:szCs w:val="21"/>
        </w:rPr>
      </w:pPr>
      <w:r>
        <w:rPr>
          <w:rFonts w:hint="eastAsia" w:ascii="宋体" w:hAnsi="宋体" w:eastAsia="宋体" w:cs="宋体"/>
          <w:szCs w:val="21"/>
        </w:rPr>
        <w:t>甲方权利及义务</w:t>
      </w:r>
    </w:p>
    <w:p>
      <w:pPr>
        <w:numPr>
          <w:ilvl w:val="0"/>
          <w:numId w:val="11"/>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双方合作期间，甲方应积极配合乙方，及时提供甲方所持有的有关项目的各类图片和文字资料，并应对上述资料的准确性和完整性负责；</w:t>
      </w:r>
    </w:p>
    <w:p>
      <w:pPr>
        <w:numPr>
          <w:ilvl w:val="0"/>
          <w:numId w:val="11"/>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甲方有权对乙方所提交的工作成果提出修改意见和建议，乙方据此在甲方指定期限内进行修改、调整完毕，直至甲方认可后方可定稿；</w:t>
      </w:r>
    </w:p>
    <w:p>
      <w:pPr>
        <w:numPr>
          <w:ilvl w:val="0"/>
          <w:numId w:val="11"/>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甲方应及时在双方商定的工作时间内审定乙方的工作成果，并监督乙方工作的进度、质量等，指导乙方工作，并最终定稿；若由于乙方原因使服务工作的进度、质量受到影响，甲方有权单方解除合同，并对乙方不承担任何责任。甲方未在规定或商定工作时间内对乙方提交的工作成果进行审定的，并不视为甲方对乙方工作成果的认可，乙方应及时督促甲方进行意见反馈，否则需承担逾期交付相关工作成果的违约责任；</w:t>
      </w:r>
    </w:p>
    <w:p>
      <w:pPr>
        <w:numPr>
          <w:ilvl w:val="0"/>
          <w:numId w:val="11"/>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如因乙方原因不能按照计划</w:t>
      </w:r>
      <w:r>
        <w:rPr>
          <w:rFonts w:hint="eastAsia" w:ascii="宋体" w:hAnsi="宋体" w:eastAsia="宋体" w:cs="宋体"/>
          <w:szCs w:val="21"/>
          <w:lang w:eastAsia="zh-Hans"/>
        </w:rPr>
        <w:t>应用相关内容</w:t>
      </w:r>
      <w:r>
        <w:rPr>
          <w:rFonts w:hint="eastAsia" w:ascii="宋体" w:hAnsi="宋体" w:eastAsia="宋体" w:cs="宋体"/>
          <w:szCs w:val="21"/>
        </w:rPr>
        <w:t>的（包括出现错版、错时、错稿等情况），每发生一次，甲方有权要求乙方承担当阶段服务费的10％作为违约赔偿金，该违约金不足以弥补甲方损失的，甲方有权追偿；如属乙方原因发生三次以上上述错误的，或者造成对甲方项目负面影响或引发诉讼或投诉等事件的，甲方有权解除本合同，同时乙方向甲方承担合同总价款30%的违约金。</w:t>
      </w:r>
    </w:p>
    <w:p>
      <w:pPr>
        <w:numPr>
          <w:ilvl w:val="0"/>
          <w:numId w:val="11"/>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甲方在提出各种正式建议与意见时，应采用电子邮件或书面方式，以增进沟通之效率及未来之查证；</w:t>
      </w:r>
    </w:p>
    <w:p>
      <w:pPr>
        <w:numPr>
          <w:ilvl w:val="0"/>
          <w:numId w:val="11"/>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按甲方书面确认的进度和计划完成工作，向甲方提交工作成果后，由甲方对乙方符合要求的工作成果进行确认并出具成果确认函。乙方根据确认函及本合同规定的条件向甲方提请付款申请后，甲方应向乙方支付服务费；</w:t>
      </w:r>
    </w:p>
    <w:p>
      <w:pPr>
        <w:numPr>
          <w:ilvl w:val="0"/>
          <w:numId w:val="11"/>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依据本协议所完成的工作成果的知识产权归甲方所有，乙方向甲方提供的一切策划、创意、设计等工作成果，一经甲方审核、书面确认并采用，其使用权、著作权（版权）、载体所有权等权利归甲方所有。甲方有权用于</w:t>
      </w:r>
      <w:r>
        <w:rPr>
          <w:rFonts w:hint="eastAsia" w:ascii="宋体" w:hAnsi="宋体" w:eastAsia="宋体" w:cs="宋体"/>
          <w:szCs w:val="21"/>
          <w:lang w:eastAsia="zh-Hans"/>
        </w:rPr>
        <w:t>品牌</w:t>
      </w:r>
      <w:r>
        <w:rPr>
          <w:rFonts w:hint="eastAsia" w:ascii="宋体" w:hAnsi="宋体" w:eastAsia="宋体" w:cs="宋体"/>
          <w:szCs w:val="21"/>
        </w:rPr>
        <w:t>发布、对外宣传以及再转让等，而无须向乙方支付任何费用；</w:t>
      </w:r>
    </w:p>
    <w:p>
      <w:pPr>
        <w:numPr>
          <w:ilvl w:val="0"/>
          <w:numId w:val="11"/>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乙方工作人员出现全部或部分丧失履行服务能力的情况，或甲方认为乙方工作人员在服务过程中，其服务质量或专业能力不能满足甲方需求的，甲方有权通知乙方限期整改或更换工作人员。</w:t>
      </w:r>
    </w:p>
    <w:p>
      <w:pPr>
        <w:numPr>
          <w:ilvl w:val="0"/>
          <w:numId w:val="10"/>
        </w:numPr>
        <w:snapToGrid w:val="0"/>
        <w:spacing w:line="360" w:lineRule="auto"/>
        <w:jc w:val="left"/>
        <w:rPr>
          <w:rFonts w:hint="eastAsia" w:ascii="宋体" w:hAnsi="宋体" w:eastAsia="宋体" w:cs="宋体"/>
          <w:szCs w:val="21"/>
        </w:rPr>
      </w:pPr>
      <w:r>
        <w:rPr>
          <w:rFonts w:hint="eastAsia" w:ascii="宋体" w:hAnsi="宋体" w:eastAsia="宋体" w:cs="宋体"/>
          <w:szCs w:val="21"/>
        </w:rPr>
        <w:t>乙方权利及义务</w:t>
      </w:r>
    </w:p>
    <w:p>
      <w:pPr>
        <w:numPr>
          <w:ilvl w:val="0"/>
          <w:numId w:val="12"/>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乙方应尽职尽责为甲方提供项目开业筹备顾问服务，并根据双方确认的</w:t>
      </w:r>
      <w:r>
        <w:rPr>
          <w:rFonts w:hint="eastAsia" w:ascii="宋体" w:hAnsi="宋体" w:eastAsia="宋体" w:cs="宋体"/>
          <w:szCs w:val="21"/>
          <w:lang w:eastAsia="zh-Hans"/>
        </w:rPr>
        <w:t>合同任务需求，</w:t>
      </w:r>
      <w:r>
        <w:rPr>
          <w:rFonts w:hint="eastAsia" w:ascii="宋体" w:hAnsi="宋体" w:eastAsia="宋体" w:cs="宋体"/>
          <w:szCs w:val="21"/>
        </w:rPr>
        <w:t>按时、保质保量完成甲方要求的各项任务，所有</w:t>
      </w:r>
      <w:r>
        <w:rPr>
          <w:rFonts w:hint="eastAsia" w:ascii="宋体" w:hAnsi="宋体" w:eastAsia="宋体" w:cs="宋体"/>
          <w:szCs w:val="21"/>
          <w:lang w:eastAsia="zh-Hans"/>
        </w:rPr>
        <w:t>涉及</w:t>
      </w:r>
      <w:r>
        <w:rPr>
          <w:rFonts w:hint="eastAsia" w:ascii="宋体" w:hAnsi="宋体" w:eastAsia="宋体" w:cs="宋体"/>
          <w:szCs w:val="21"/>
        </w:rPr>
        <w:t>安全及保密等的</w:t>
      </w:r>
      <w:r>
        <w:rPr>
          <w:rFonts w:hint="eastAsia" w:ascii="宋体" w:hAnsi="宋体" w:eastAsia="宋体" w:cs="宋体"/>
          <w:szCs w:val="21"/>
          <w:lang w:eastAsia="zh-Hans"/>
        </w:rPr>
        <w:t>内容</w:t>
      </w:r>
      <w:r>
        <w:rPr>
          <w:rFonts w:hint="eastAsia" w:ascii="宋体" w:hAnsi="宋体" w:eastAsia="宋体" w:cs="宋体"/>
          <w:szCs w:val="21"/>
        </w:rPr>
        <w:t>需甲方同意并书面确认后才能发布或实施；如因乙方因素造成损失的，乙方应承担相应责任；</w:t>
      </w:r>
    </w:p>
    <w:p>
      <w:pPr>
        <w:numPr>
          <w:ilvl w:val="0"/>
          <w:numId w:val="12"/>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乙方应按本合同约定或甲方要求提前向甲方提交需由甲方配合提供的资料清单，在甲方向乙方提供相关资料的同时，乙方需妥善保管。如果出现重要文件泄漏或丢失，乙方应赔偿甲方造成的损失并承担法律责任。</w:t>
      </w:r>
    </w:p>
    <w:p>
      <w:pPr>
        <w:numPr>
          <w:ilvl w:val="0"/>
          <w:numId w:val="12"/>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经甲方书面确认后的作品，原则上不得进行修改。若因特殊原因需修改，双方应协商解决，若因甲方原因延误时间造成损失，乙方不承担相关责任；</w:t>
      </w:r>
    </w:p>
    <w:p>
      <w:pPr>
        <w:numPr>
          <w:ilvl w:val="0"/>
          <w:numId w:val="12"/>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未经甲方同意，乙方不得将本合同项下全部或部分工作转让或另行委托给</w:t>
      </w:r>
      <w:r>
        <w:rPr>
          <w:rFonts w:hint="eastAsia" w:ascii="宋体" w:hAnsi="宋体" w:eastAsia="宋体" w:cs="宋体"/>
          <w:szCs w:val="21"/>
          <w:lang w:eastAsia="zh-Hans"/>
        </w:rPr>
        <w:t>其他</w:t>
      </w:r>
      <w:r>
        <w:rPr>
          <w:rFonts w:hint="eastAsia" w:ascii="宋体" w:hAnsi="宋体" w:eastAsia="宋体" w:cs="宋体"/>
          <w:szCs w:val="21"/>
        </w:rPr>
        <w:t>第三方或与第三方合作。否则，甲方有权解除合同，对于甲方已支付的价款，乙方应予以返还。同时乙方应向甲方支付本合同总价款30%的违约金；</w:t>
      </w:r>
    </w:p>
    <w:p>
      <w:pPr>
        <w:numPr>
          <w:ilvl w:val="0"/>
          <w:numId w:val="12"/>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在本合同终止时，乙方须将所有创作物料（即包括但不限于印刷及打样、报纸及其他媒体的输出内容以及项目图片设计稿、画稿、制版等）交回甲方；</w:t>
      </w:r>
    </w:p>
    <w:p>
      <w:pPr>
        <w:numPr>
          <w:ilvl w:val="0"/>
          <w:numId w:val="12"/>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对其工作人员在合同履行期间的一切行为负责，期间发生的一切安全事故责任、其他人身损害意外及因此发生的人身损害赔偿和其他费用由乙方自行承担。若因乙方工作人员的行为导致甲方支付赔偿或其他费用，乙方应当全部偿还给甲方；</w:t>
      </w:r>
    </w:p>
    <w:p>
      <w:pPr>
        <w:numPr>
          <w:ilvl w:val="0"/>
          <w:numId w:val="12"/>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乙方在完成本项目过程中，不得损害其他任何第三方的知识产权等合法权益，否则由此造成的全部责任由乙方承担；</w:t>
      </w:r>
    </w:p>
    <w:p>
      <w:pPr>
        <w:snapToGrid w:val="0"/>
        <w:spacing w:line="360" w:lineRule="auto"/>
        <w:ind w:firstLine="460"/>
        <w:jc w:val="left"/>
        <w:rPr>
          <w:rFonts w:hint="eastAsia" w:ascii="宋体" w:hAnsi="宋体" w:eastAsia="宋体" w:cs="宋体"/>
          <w:b/>
          <w:bCs/>
          <w:szCs w:val="21"/>
        </w:rPr>
      </w:pPr>
      <w:bookmarkStart w:id="14" w:name="_Toc6732_WPSOffice_Level2"/>
      <w:r>
        <w:rPr>
          <w:rFonts w:hint="eastAsia" w:ascii="宋体" w:hAnsi="宋体" w:eastAsia="宋体" w:cs="宋体"/>
          <w:b/>
          <w:bCs/>
          <w:szCs w:val="21"/>
        </w:rPr>
        <w:t>六、项目变更</w:t>
      </w:r>
      <w:bookmarkEnd w:id="12"/>
      <w:bookmarkEnd w:id="13"/>
      <w:bookmarkEnd w:id="14"/>
    </w:p>
    <w:p>
      <w:pPr>
        <w:numPr>
          <w:ilvl w:val="0"/>
          <w:numId w:val="13"/>
        </w:numPr>
        <w:snapToGrid w:val="0"/>
        <w:spacing w:line="360" w:lineRule="auto"/>
        <w:ind w:firstLineChars="200"/>
        <w:jc w:val="left"/>
        <w:rPr>
          <w:rFonts w:hint="eastAsia" w:ascii="宋体" w:hAnsi="宋体" w:eastAsia="宋体" w:cs="宋体"/>
          <w:szCs w:val="21"/>
        </w:rPr>
      </w:pPr>
      <w:bookmarkStart w:id="15" w:name="_Toc216520213"/>
      <w:r>
        <w:rPr>
          <w:rFonts w:hint="eastAsia" w:ascii="宋体" w:hAnsi="宋体" w:eastAsia="宋体" w:cs="宋体"/>
          <w:szCs w:val="21"/>
        </w:rPr>
        <w:t>如甲方因本项目发生重大调整或出现停建、缓建等其它原因，甲方有权要求乙方暂时停止服务或解除合同。如甲方解除本合同，双方对乙方已完成合格的工作成果予以确认，以所在的阶段服务费为基准，结合该阶段的服务期限，作为费用结算依据。除此之外，甲方不再承担其他任何责任、赔偿等。</w:t>
      </w:r>
      <w:bookmarkEnd w:id="15"/>
    </w:p>
    <w:p>
      <w:pPr>
        <w:numPr>
          <w:ilvl w:val="0"/>
          <w:numId w:val="13"/>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乙方遇到不能按期完工的情况，应及时以书面形式将不能按时交付或按期完工的理由、延误时间通知甲方。甲方在收到乙方通知后，根据情况决定是否延长交付或完工时间。如同意延长，则乙方责任期也相应延长。</w:t>
      </w:r>
    </w:p>
    <w:p>
      <w:pPr>
        <w:numPr>
          <w:ilvl w:val="0"/>
          <w:numId w:val="13"/>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非因乙方责任造成项目进度推迟或延误，无法按照合同约定的日期完成相应的项目，双方经过协商可以进一步约定完成的日期，乙方的责任期也随之顺延，双方互不因此承担责任。</w:t>
      </w:r>
    </w:p>
    <w:p>
      <w:pPr>
        <w:snapToGrid w:val="0"/>
        <w:spacing w:line="360" w:lineRule="auto"/>
        <w:ind w:firstLine="460"/>
        <w:jc w:val="left"/>
        <w:rPr>
          <w:rFonts w:hint="eastAsia" w:ascii="宋体" w:hAnsi="宋体" w:eastAsia="宋体" w:cs="宋体"/>
          <w:b/>
          <w:bCs/>
          <w:szCs w:val="21"/>
        </w:rPr>
      </w:pPr>
      <w:bookmarkStart w:id="16" w:name="_Toc216520215"/>
      <w:bookmarkStart w:id="17" w:name="_Toc11377_WPSOffice_Level2"/>
      <w:bookmarkStart w:id="18" w:name="_Toc232999029"/>
      <w:r>
        <w:rPr>
          <w:rFonts w:hint="eastAsia" w:ascii="宋体" w:hAnsi="宋体" w:eastAsia="宋体" w:cs="宋体"/>
          <w:b/>
          <w:bCs/>
          <w:szCs w:val="21"/>
        </w:rPr>
        <w:t>七、所有权、知识产权和使用权</w:t>
      </w:r>
      <w:bookmarkEnd w:id="16"/>
      <w:bookmarkEnd w:id="17"/>
      <w:bookmarkEnd w:id="18"/>
    </w:p>
    <w:p>
      <w:pPr>
        <w:numPr>
          <w:ilvl w:val="0"/>
          <w:numId w:val="14"/>
        </w:numPr>
        <w:snapToGrid w:val="0"/>
        <w:spacing w:line="360" w:lineRule="auto"/>
        <w:ind w:firstLineChars="200"/>
        <w:jc w:val="left"/>
        <w:rPr>
          <w:rFonts w:hint="eastAsia" w:ascii="宋体" w:hAnsi="宋体" w:eastAsia="宋体" w:cs="宋体"/>
          <w:szCs w:val="21"/>
        </w:rPr>
      </w:pPr>
      <w:bookmarkStart w:id="19" w:name="_Toc216520219"/>
      <w:r>
        <w:rPr>
          <w:rFonts w:hint="eastAsia" w:ascii="宋体" w:hAnsi="宋体" w:eastAsia="宋体" w:cs="宋体"/>
          <w:szCs w:val="21"/>
        </w:rPr>
        <w:t>本合同项下完成的开业筹备顾问服务的所有权、知识产权以及与之相关的所有权利归甲方所有；本合同签署前双方已经拥有的知识产权权利，仍归各自所有。</w:t>
      </w:r>
    </w:p>
    <w:p>
      <w:pPr>
        <w:numPr>
          <w:ilvl w:val="0"/>
          <w:numId w:val="14"/>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乙方承诺并保证，在履行合同过程中所使用的或向甲方提交的相关作品及所使用的所有素材、材料、数据、资料、软件等未侵犯任何第三方的知识产权或其他合法权益，并保证其提供的服务成果（包括阶段性和最终性成果）不被任何第三方向甲方提出侵犯知识产权的主张、诉讼或者仲裁。如果甲方因使用乙方提交的成果被第三人提起诉讼、仲裁或权利主张的，乙方应承担全部责任，并赔偿由此给甲方造成的一切损失。包括但不限于上述索赔或责任所产生的诉讼费用、律师费用、鉴定评估费用、调查费用、和解金额或生效法律文书中规定的赔偿金额。</w:t>
      </w:r>
    </w:p>
    <w:p>
      <w:pPr>
        <w:numPr>
          <w:ilvl w:val="0"/>
          <w:numId w:val="14"/>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未经甲方书面同意，乙方不得将本合同项下制作完成的相关作品及任何数据、资料、软件向任何第三方披露、转让或授权任何第三方使用。如发生以上情况，甲方有权解除合同，乙方除应向甲方返还全部已支付的价款外，还应向甲方支付本合同总价款30%的违约金，同时，甲方保留要求乙方赔偿全部损失的权利。</w:t>
      </w:r>
    </w:p>
    <w:p>
      <w:pPr>
        <w:numPr>
          <w:ilvl w:val="0"/>
          <w:numId w:val="14"/>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乙方保证向甲方交付的各种调研报告、预算审查工作成果等均由乙方独立创作完成，且符合国家相关法律法规。乙方承诺并保证向甲方提供的策划、创意、设计、方案等服务和作品的内容，包括所使用的图片、标志、用语、音乐、肖像、表现形式等均合法取得，保证可用于甲方项目的使用和广告发布，乙方不得侵犯他人的知识产权、肖像权等权利，如有侵犯他人权利或违反相关规定的，由乙方承担全部责任、费用和行政处罚。若因此给甲方造成损失的，由乙方承担全部赔偿责任，包括但不限于：诉讼费、仲裁费、律师费、鉴定费、公证费、差旅费等，如甲方为继续使用而支付使用费的，该费用由乙方承担。</w:t>
      </w:r>
    </w:p>
    <w:p>
      <w:pPr>
        <w:numPr>
          <w:ilvl w:val="0"/>
          <w:numId w:val="14"/>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乙方应对本项目相关的合同、服务任务书及相关附件、服务成果及相关技术经济资料的著作权进行保护。</w:t>
      </w:r>
    </w:p>
    <w:p>
      <w:pPr>
        <w:numPr>
          <w:ilvl w:val="0"/>
          <w:numId w:val="14"/>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无论本合同因何原因终止（包括因合同解除而终止）或本合同存在任何争议，甲方支付本合同约定的阶段服务费或全部服务费后，乙方向甲方提交且甲方已经接受的服务成果的著作权归甲方单独享有。</w:t>
      </w:r>
    </w:p>
    <w:p>
      <w:pPr>
        <w:numPr>
          <w:ilvl w:val="0"/>
          <w:numId w:val="14"/>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本合同终止或解除后，甲方为继续完成本项目，有权根据需要单方面在乙方已向甲方提交但尚未形成成果的文件上进行修改，并形成新的成果，该成果著作权归甲方所有，甲方不因此构成对乙方的侵权且不承担任何费用。</w:t>
      </w:r>
    </w:p>
    <w:p>
      <w:pPr>
        <w:numPr>
          <w:ilvl w:val="0"/>
          <w:numId w:val="14"/>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本知识产权条款具有独立性，不受本合同的终止或解除的影响。</w:t>
      </w:r>
      <w:bookmarkEnd w:id="19"/>
    </w:p>
    <w:p>
      <w:pPr>
        <w:snapToGrid w:val="0"/>
        <w:spacing w:line="360" w:lineRule="auto"/>
        <w:ind w:firstLine="460"/>
        <w:jc w:val="left"/>
        <w:rPr>
          <w:rFonts w:hint="eastAsia" w:ascii="宋体" w:hAnsi="宋体" w:eastAsia="宋体" w:cs="宋体"/>
          <w:b/>
          <w:bCs/>
          <w:szCs w:val="21"/>
        </w:rPr>
      </w:pPr>
      <w:bookmarkStart w:id="20" w:name="_Toc216520222"/>
      <w:bookmarkStart w:id="21" w:name="_Toc232999030"/>
      <w:bookmarkStart w:id="22" w:name="_Toc13188_WPSOffice_Level2"/>
      <w:r>
        <w:rPr>
          <w:rFonts w:hint="eastAsia" w:ascii="宋体" w:hAnsi="宋体" w:eastAsia="宋体" w:cs="宋体"/>
          <w:b/>
          <w:bCs/>
          <w:szCs w:val="21"/>
        </w:rPr>
        <w:t>八、保密</w:t>
      </w:r>
      <w:bookmarkEnd w:id="20"/>
      <w:bookmarkEnd w:id="21"/>
      <w:r>
        <w:rPr>
          <w:rFonts w:hint="eastAsia" w:ascii="宋体" w:hAnsi="宋体" w:eastAsia="宋体" w:cs="宋体"/>
          <w:b/>
          <w:bCs/>
          <w:szCs w:val="21"/>
        </w:rPr>
        <w:t>条款</w:t>
      </w:r>
      <w:bookmarkEnd w:id="22"/>
    </w:p>
    <w:p>
      <w:pPr>
        <w:numPr>
          <w:ilvl w:val="0"/>
          <w:numId w:val="15"/>
        </w:numPr>
        <w:snapToGrid w:val="0"/>
        <w:spacing w:line="360" w:lineRule="auto"/>
        <w:jc w:val="left"/>
        <w:rPr>
          <w:rFonts w:hint="eastAsia" w:ascii="宋体" w:hAnsi="宋体" w:eastAsia="宋体" w:cs="宋体"/>
          <w:szCs w:val="21"/>
        </w:rPr>
      </w:pPr>
      <w:bookmarkStart w:id="23" w:name="_Toc216520223"/>
      <w:r>
        <w:rPr>
          <w:rFonts w:hint="eastAsia" w:ascii="宋体" w:hAnsi="宋体" w:eastAsia="宋体" w:cs="宋体"/>
          <w:szCs w:val="21"/>
        </w:rPr>
        <w:t>乙方在与甲方合作过程中所获得或知悉的关于甲方的信息，包括但不限于项目信息、技术图纸、资料、经营信息、人力资源、本合同所涉及的服务内容、服务成果等所有未向公众公开之信息为甲方的商业秘密。</w:t>
      </w:r>
      <w:bookmarkEnd w:id="23"/>
    </w:p>
    <w:p>
      <w:pPr>
        <w:numPr>
          <w:ilvl w:val="0"/>
          <w:numId w:val="15"/>
        </w:numPr>
        <w:snapToGrid w:val="0"/>
        <w:spacing w:line="360" w:lineRule="auto"/>
        <w:jc w:val="left"/>
        <w:rPr>
          <w:rFonts w:hint="eastAsia" w:ascii="宋体" w:hAnsi="宋体" w:eastAsia="宋体" w:cs="宋体"/>
          <w:szCs w:val="21"/>
        </w:rPr>
      </w:pPr>
      <w:bookmarkStart w:id="24" w:name="_Toc216520224"/>
      <w:r>
        <w:rPr>
          <w:rFonts w:hint="eastAsia" w:ascii="宋体" w:hAnsi="宋体" w:eastAsia="宋体" w:cs="宋体"/>
          <w:szCs w:val="21"/>
        </w:rPr>
        <w:t>未经甲方事先书面同意，乙方及其雇员不得将甲方商业秘密的内容复制、改编、分发、发布、外借、转让，向任何第三人披露或将甲方提供给乙方的信息、技术资料、图纸等商业秘密用于履行本合同之外的其他用途。否则，甲方有权解除合同，乙方除应向甲方返还全部已支付的价款外，还应向甲方支付本合同总价款30%的违约金，同时，甲方保留要求乙方赔偿全部损失的权利。</w:t>
      </w:r>
    </w:p>
    <w:p>
      <w:pPr>
        <w:numPr>
          <w:ilvl w:val="0"/>
          <w:numId w:val="15"/>
        </w:numPr>
        <w:snapToGrid w:val="0"/>
        <w:spacing w:line="360" w:lineRule="auto"/>
        <w:jc w:val="left"/>
        <w:rPr>
          <w:rFonts w:hint="eastAsia" w:ascii="宋体" w:hAnsi="宋体" w:eastAsia="宋体" w:cs="宋体"/>
          <w:szCs w:val="21"/>
        </w:rPr>
      </w:pPr>
      <w:r>
        <w:rPr>
          <w:rFonts w:hint="eastAsia" w:ascii="宋体" w:hAnsi="宋体" w:eastAsia="宋体" w:cs="宋体"/>
          <w:szCs w:val="21"/>
        </w:rPr>
        <w:t>乙方向履行本合同有关的雇员提供前述保密信息，也应限于履行合同的必需范围，且该雇员应接受至少与本合同同等严格的保密条款的约束。</w:t>
      </w:r>
    </w:p>
    <w:p>
      <w:pPr>
        <w:numPr>
          <w:ilvl w:val="0"/>
          <w:numId w:val="15"/>
        </w:numPr>
        <w:snapToGrid w:val="0"/>
        <w:spacing w:line="360" w:lineRule="auto"/>
        <w:jc w:val="left"/>
        <w:rPr>
          <w:rFonts w:hint="eastAsia" w:ascii="宋体" w:hAnsi="宋体" w:eastAsia="宋体" w:cs="宋体"/>
          <w:szCs w:val="21"/>
        </w:rPr>
      </w:pPr>
      <w:r>
        <w:rPr>
          <w:rFonts w:hint="eastAsia" w:ascii="宋体" w:hAnsi="宋体" w:eastAsia="宋体" w:cs="宋体"/>
          <w:szCs w:val="21"/>
        </w:rPr>
        <w:t>乙方服务完成后应返还甲方提供的所有材料原件及复印件，乙方并不得留存材料的电子文档。</w:t>
      </w:r>
      <w:bookmarkEnd w:id="24"/>
    </w:p>
    <w:p>
      <w:pPr>
        <w:numPr>
          <w:ilvl w:val="0"/>
          <w:numId w:val="15"/>
        </w:numPr>
        <w:snapToGrid w:val="0"/>
        <w:spacing w:line="360" w:lineRule="auto"/>
        <w:jc w:val="left"/>
        <w:rPr>
          <w:rFonts w:hint="eastAsia" w:ascii="宋体" w:hAnsi="宋体" w:eastAsia="宋体" w:cs="宋体"/>
          <w:szCs w:val="21"/>
        </w:rPr>
      </w:pPr>
      <w:bookmarkStart w:id="25" w:name="_Toc216520226"/>
      <w:r>
        <w:rPr>
          <w:rFonts w:hint="eastAsia" w:ascii="宋体" w:hAnsi="宋体" w:eastAsia="宋体" w:cs="宋体"/>
          <w:szCs w:val="21"/>
        </w:rPr>
        <w:t>上述保密义务不适用以下情况：</w:t>
      </w:r>
      <w:bookmarkEnd w:id="25"/>
    </w:p>
    <w:p>
      <w:pPr>
        <w:numPr>
          <w:ilvl w:val="0"/>
          <w:numId w:val="16"/>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获取的信息已向公众合法公开；</w:t>
      </w:r>
    </w:p>
    <w:p>
      <w:pPr>
        <w:numPr>
          <w:ilvl w:val="0"/>
          <w:numId w:val="16"/>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获得信息拥有方书面许可；</w:t>
      </w:r>
    </w:p>
    <w:p>
      <w:pPr>
        <w:numPr>
          <w:ilvl w:val="0"/>
          <w:numId w:val="16"/>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国家法律、法规规定的情形。</w:t>
      </w:r>
    </w:p>
    <w:p>
      <w:pPr>
        <w:numPr>
          <w:ilvl w:val="0"/>
          <w:numId w:val="15"/>
        </w:numPr>
        <w:snapToGrid w:val="0"/>
        <w:spacing w:line="360" w:lineRule="auto"/>
        <w:jc w:val="left"/>
        <w:rPr>
          <w:rFonts w:hint="eastAsia" w:ascii="宋体" w:hAnsi="宋体" w:eastAsia="宋体" w:cs="宋体"/>
          <w:szCs w:val="21"/>
        </w:rPr>
      </w:pPr>
      <w:r>
        <w:rPr>
          <w:rFonts w:hint="eastAsia" w:ascii="宋体" w:hAnsi="宋体" w:eastAsia="宋体" w:cs="宋体"/>
          <w:szCs w:val="21"/>
        </w:rPr>
        <w:t>无论本合同或本合同其他条款是否有效，本保密条款始终约束双方。</w:t>
      </w:r>
    </w:p>
    <w:p>
      <w:pPr>
        <w:numPr>
          <w:ilvl w:val="0"/>
          <w:numId w:val="15"/>
        </w:numPr>
        <w:snapToGrid w:val="0"/>
        <w:spacing w:line="360" w:lineRule="auto"/>
        <w:jc w:val="left"/>
        <w:rPr>
          <w:rFonts w:hint="eastAsia" w:ascii="宋体" w:hAnsi="宋体" w:eastAsia="宋体" w:cs="宋体"/>
          <w:szCs w:val="21"/>
        </w:rPr>
      </w:pPr>
      <w:r>
        <w:rPr>
          <w:rFonts w:hint="eastAsia" w:ascii="宋体" w:hAnsi="宋体" w:eastAsia="宋体" w:cs="宋体"/>
          <w:szCs w:val="21"/>
        </w:rPr>
        <w:t>本合同项下的保密期限为：自本合同签订之日起至保密信息由甲方依法公开披露成为公开信息之日止。</w:t>
      </w:r>
    </w:p>
    <w:p>
      <w:pPr>
        <w:snapToGrid w:val="0"/>
        <w:spacing w:line="360" w:lineRule="auto"/>
        <w:ind w:firstLine="460"/>
        <w:jc w:val="left"/>
        <w:rPr>
          <w:rFonts w:hint="eastAsia" w:ascii="宋体" w:hAnsi="宋体" w:eastAsia="宋体" w:cs="宋体"/>
          <w:b/>
          <w:bCs/>
          <w:szCs w:val="21"/>
        </w:rPr>
      </w:pPr>
      <w:bookmarkStart w:id="26" w:name="_Toc24758_WPSOffice_Level2"/>
      <w:bookmarkStart w:id="27" w:name="_Toc216520229"/>
      <w:bookmarkStart w:id="28" w:name="_Toc232999031"/>
      <w:r>
        <w:rPr>
          <w:rFonts w:hint="eastAsia" w:ascii="宋体" w:hAnsi="宋体" w:eastAsia="宋体" w:cs="宋体"/>
          <w:b/>
          <w:bCs/>
          <w:szCs w:val="21"/>
        </w:rPr>
        <w:t>九、不可抗力</w:t>
      </w:r>
      <w:bookmarkEnd w:id="26"/>
      <w:bookmarkEnd w:id="27"/>
      <w:bookmarkEnd w:id="28"/>
    </w:p>
    <w:p>
      <w:pPr>
        <w:numPr>
          <w:ilvl w:val="0"/>
          <w:numId w:val="17"/>
        </w:numPr>
        <w:snapToGrid w:val="0"/>
        <w:spacing w:line="360" w:lineRule="auto"/>
        <w:jc w:val="left"/>
        <w:rPr>
          <w:rFonts w:hint="eastAsia" w:ascii="宋体" w:hAnsi="宋体" w:eastAsia="宋体" w:cs="宋体"/>
          <w:szCs w:val="21"/>
        </w:rPr>
      </w:pPr>
      <w:r>
        <w:rPr>
          <w:rFonts w:hint="eastAsia" w:ascii="宋体" w:hAnsi="宋体" w:eastAsia="宋体" w:cs="宋体"/>
          <w:szCs w:val="21"/>
        </w:rPr>
        <w:t>本合同所称不可抗力是指自然灾害、战争、地震突发事件等不可预见、不可避免并不可克服的情况。不可抗力事件发生后，乙方应立即通知甲方，并在力所能及的条件下迅速采取措施，尽力减少损失，甲方应协助乙方采取措施。不可抗力事件结束后48小时内乙方向甲方通报受影响情况。如不可抗力事件持续发生，乙方应每隔7天向甲方报告一次受影响情况。不可抗力事件结束后14天内，乙方应向甲方提交正式报告及有关部门开具的证明材料。</w:t>
      </w:r>
    </w:p>
    <w:p>
      <w:pPr>
        <w:numPr>
          <w:ilvl w:val="0"/>
          <w:numId w:val="17"/>
        </w:numPr>
        <w:snapToGrid w:val="0"/>
        <w:spacing w:line="360" w:lineRule="auto"/>
        <w:jc w:val="left"/>
        <w:rPr>
          <w:rFonts w:hint="eastAsia" w:ascii="宋体" w:hAnsi="宋体" w:eastAsia="宋体" w:cs="宋体"/>
          <w:szCs w:val="21"/>
        </w:rPr>
      </w:pPr>
      <w:r>
        <w:rPr>
          <w:rFonts w:hint="eastAsia" w:ascii="宋体" w:hAnsi="宋体" w:eastAsia="宋体" w:cs="宋体"/>
          <w:szCs w:val="21"/>
        </w:rPr>
        <w:t>发生不可抗力，甲乙双方承担各自的损失。由于其中一方延迟履行合同义务后发生不可抗力的，不能免除责任。</w:t>
      </w:r>
    </w:p>
    <w:p>
      <w:pPr>
        <w:numPr>
          <w:ilvl w:val="0"/>
          <w:numId w:val="17"/>
        </w:numPr>
        <w:snapToGrid w:val="0"/>
        <w:spacing w:line="360" w:lineRule="auto"/>
        <w:jc w:val="left"/>
        <w:rPr>
          <w:rFonts w:hint="eastAsia" w:ascii="宋体" w:hAnsi="宋体" w:eastAsia="宋体" w:cs="宋体"/>
          <w:szCs w:val="21"/>
        </w:rPr>
      </w:pPr>
      <w:r>
        <w:rPr>
          <w:rFonts w:hint="eastAsia" w:ascii="宋体" w:hAnsi="宋体" w:eastAsia="宋体" w:cs="宋体"/>
          <w:szCs w:val="21"/>
        </w:rPr>
        <w:t>由于不可抗力，造成本合同不能继续履行，则由双方另行协商解决。</w:t>
      </w:r>
    </w:p>
    <w:p>
      <w:pPr>
        <w:numPr>
          <w:ilvl w:val="0"/>
          <w:numId w:val="18"/>
        </w:numPr>
        <w:snapToGrid w:val="0"/>
        <w:spacing w:line="360" w:lineRule="auto"/>
        <w:ind w:firstLine="421" w:firstLineChars="200"/>
        <w:jc w:val="left"/>
        <w:rPr>
          <w:rFonts w:hint="eastAsia" w:ascii="宋体" w:hAnsi="宋体" w:eastAsia="宋体" w:cs="宋体"/>
          <w:b/>
          <w:bCs/>
          <w:szCs w:val="21"/>
        </w:rPr>
      </w:pPr>
      <w:bookmarkStart w:id="29" w:name="_Toc216520232"/>
      <w:bookmarkStart w:id="30" w:name="_Toc24849_WPSOffice_Level2"/>
      <w:r>
        <w:rPr>
          <w:rFonts w:hint="eastAsia" w:ascii="宋体" w:hAnsi="宋体" w:eastAsia="宋体" w:cs="宋体"/>
          <w:b/>
          <w:bCs/>
          <w:szCs w:val="21"/>
        </w:rPr>
        <w:t>违约责任</w:t>
      </w:r>
      <w:bookmarkEnd w:id="29"/>
      <w:bookmarkEnd w:id="30"/>
    </w:p>
    <w:p>
      <w:pPr>
        <w:numPr>
          <w:ilvl w:val="0"/>
          <w:numId w:val="19"/>
        </w:numPr>
        <w:snapToGrid w:val="0"/>
        <w:spacing w:line="360" w:lineRule="auto"/>
        <w:jc w:val="left"/>
        <w:rPr>
          <w:rFonts w:hint="eastAsia" w:ascii="宋体" w:hAnsi="宋体" w:eastAsia="宋体" w:cs="宋体"/>
          <w:b/>
          <w:bCs/>
          <w:szCs w:val="21"/>
        </w:rPr>
      </w:pPr>
      <w:r>
        <w:rPr>
          <w:rFonts w:hint="eastAsia" w:ascii="宋体" w:hAnsi="宋体" w:eastAsia="宋体" w:cs="宋体"/>
          <w:szCs w:val="21"/>
        </w:rPr>
        <w:t>甲方违约责任</w:t>
      </w:r>
    </w:p>
    <w:p>
      <w:pPr>
        <w:numPr>
          <w:ilvl w:val="0"/>
          <w:numId w:val="20"/>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甲方单方解除合同。在合同履行期间，因甲方原因甲方要求解除合同，乙方未开始服务工作的，不退还甲方已付的</w:t>
      </w:r>
      <w:r>
        <w:rPr>
          <w:rFonts w:hint="eastAsia" w:ascii="宋体" w:hAnsi="宋体" w:eastAsia="宋体" w:cs="宋体"/>
          <w:szCs w:val="21"/>
          <w:lang w:eastAsia="zh-Hans"/>
        </w:rPr>
        <w:t>首期款</w:t>
      </w:r>
      <w:r>
        <w:rPr>
          <w:rFonts w:hint="eastAsia" w:ascii="宋体" w:hAnsi="宋体" w:eastAsia="宋体" w:cs="宋体"/>
          <w:szCs w:val="21"/>
        </w:rPr>
        <w:t>；已开始服务工作的，根据甲方书面确认的乙方工作量，不足当阶段一半工作量时，按该阶段服务费的50%支付；超过一半工作量时，按该阶段服务费的全额支付。但因不可抗力、法律法规规章政策变化、政府行为等原因以及乙方成果或服务质量不合要求、提交成果延误等违约原因造成甲方单方解除合同除外。</w:t>
      </w:r>
    </w:p>
    <w:p>
      <w:pPr>
        <w:numPr>
          <w:ilvl w:val="0"/>
          <w:numId w:val="20"/>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甲方延迟支付。甲方应按本合同规定的金额和时间向乙方支付服务费，每逾期一天，应支付当阶段逾期应付未付款千分之三的逾期违约金。逾期三十天以上时，乙方应书面通知甲方，如甲方接到通知后合理时间内仍未支付的，乙方有权解除合同。但因不可抗力、法律法规规章政策变化、政府行为等原因以及乙方完成成果或服务质量不合要求、提交设计成果延误等违约原因造成甲方延迟支付除外。</w:t>
      </w:r>
    </w:p>
    <w:p>
      <w:pPr>
        <w:numPr>
          <w:ilvl w:val="0"/>
          <w:numId w:val="19"/>
        </w:numPr>
        <w:snapToGrid w:val="0"/>
        <w:spacing w:line="360" w:lineRule="auto"/>
        <w:jc w:val="left"/>
        <w:rPr>
          <w:rFonts w:hint="eastAsia" w:ascii="宋体" w:hAnsi="宋体" w:eastAsia="宋体" w:cs="宋体"/>
          <w:szCs w:val="21"/>
        </w:rPr>
      </w:pPr>
      <w:r>
        <w:rPr>
          <w:rFonts w:hint="eastAsia" w:ascii="宋体" w:hAnsi="宋体" w:eastAsia="宋体" w:cs="宋体"/>
          <w:szCs w:val="21"/>
        </w:rPr>
        <w:t>乙方违约责任</w:t>
      </w:r>
    </w:p>
    <w:p>
      <w:pPr>
        <w:numPr>
          <w:ilvl w:val="0"/>
          <w:numId w:val="21"/>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乙方单方解除合同。乙方单方面要求解除合同，乙方应</w:t>
      </w:r>
      <w:r>
        <w:rPr>
          <w:rFonts w:hint="eastAsia" w:ascii="宋体" w:hAnsi="宋体" w:eastAsia="宋体" w:cs="宋体"/>
          <w:szCs w:val="21"/>
          <w:lang w:eastAsia="zh-Hans"/>
        </w:rPr>
        <w:t>向甲方退还已支付的服务费用，并向</w:t>
      </w:r>
      <w:r>
        <w:rPr>
          <w:rFonts w:hint="eastAsia" w:ascii="宋体" w:hAnsi="宋体" w:eastAsia="宋体" w:cs="宋体"/>
          <w:szCs w:val="21"/>
        </w:rPr>
        <w:t>甲方</w:t>
      </w:r>
      <w:r>
        <w:rPr>
          <w:rFonts w:hint="eastAsia" w:ascii="宋体" w:hAnsi="宋体" w:eastAsia="宋体" w:cs="宋体"/>
          <w:szCs w:val="21"/>
          <w:lang w:eastAsia="zh-Hans"/>
        </w:rPr>
        <w:t>支付合同总价30%的违约金</w:t>
      </w:r>
      <w:r>
        <w:rPr>
          <w:rFonts w:hint="eastAsia" w:ascii="宋体" w:hAnsi="宋体" w:eastAsia="宋体" w:cs="宋体"/>
          <w:szCs w:val="21"/>
        </w:rPr>
        <w:t>，造成甲方损失的还应按实际损失承担赔偿责任。</w:t>
      </w:r>
    </w:p>
    <w:p>
      <w:pPr>
        <w:numPr>
          <w:ilvl w:val="0"/>
          <w:numId w:val="21"/>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服务成果或服务质量不合要求。由于乙方完成的服务成果、服务质量或服务配合等达不到本合同</w:t>
      </w:r>
      <w:r>
        <w:rPr>
          <w:rStyle w:val="10"/>
          <w:rFonts w:hint="eastAsia" w:ascii="宋体" w:hAnsi="宋体" w:eastAsia="宋体" w:cs="宋体"/>
        </w:rPr>
        <w:t>约定</w:t>
      </w:r>
      <w:r>
        <w:rPr>
          <w:rFonts w:hint="eastAsia" w:ascii="宋体" w:hAnsi="宋体" w:eastAsia="宋体" w:cs="宋体"/>
          <w:szCs w:val="21"/>
        </w:rPr>
        <w:t>服务内容及甲方的要求，乙方应无条件按甲方要求修改、完善。由于乙方沟通、理解及其它原因，造成服务成果无法满足甲方要求（包括政府及甲方上级单位），乙方向甲方提交的服务成果三次未通过甲方、甲方上级单位或政府相关部门审核确认的，甲方有权在任何阶段单方解除本合同。合同解除后，对于甲方已书面确认的任一阶段工作成果，应按该阶段设计费80%支付给乙方，同时甲方取得该服务成果的所有权、使用权及排他的知识产权。对于未经甲方书面确认的工作内容及成果，甲方不予支付任何费用。除此之外，乙方应</w:t>
      </w:r>
      <w:r>
        <w:rPr>
          <w:rFonts w:hint="eastAsia" w:ascii="宋体" w:hAnsi="宋体" w:eastAsia="宋体" w:cs="宋体"/>
          <w:szCs w:val="21"/>
          <w:lang w:eastAsia="zh-Hans"/>
        </w:rPr>
        <w:t>向甲方支付合同总金额的30%作为违约金，如违约金不足以弥补甲方因此遭受的损失，</w:t>
      </w:r>
      <w:bookmarkStart w:id="31" w:name="_Hlk146735408"/>
      <w:r>
        <w:rPr>
          <w:rFonts w:hint="eastAsia" w:ascii="宋体" w:hAnsi="宋体" w:eastAsia="宋体" w:cs="宋体"/>
          <w:szCs w:val="21"/>
          <w:lang w:eastAsia="zh-Hans"/>
        </w:rPr>
        <w:t>乙方还应当就甲方的损失承担赔偿责任</w:t>
      </w:r>
      <w:bookmarkEnd w:id="31"/>
      <w:r>
        <w:rPr>
          <w:rFonts w:hint="eastAsia" w:ascii="宋体" w:hAnsi="宋体" w:eastAsia="宋体" w:cs="宋体"/>
          <w:szCs w:val="21"/>
          <w:lang w:eastAsia="zh-Hans"/>
        </w:rPr>
        <w:t>。</w:t>
      </w:r>
    </w:p>
    <w:p>
      <w:pPr>
        <w:numPr>
          <w:ilvl w:val="0"/>
          <w:numId w:val="21"/>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提交服务成果延误。乙方延误服务成果交付时间的，每延误一日，乙方应向甲方支付本项目当阶段设计费千分之三的违约金，若累计延误十五天以上的，甲方有权拒付本项目服务费，并行使单方解除权。合同解除的，乙方应退还所有甲方已支付的服务费，</w:t>
      </w:r>
      <w:r>
        <w:rPr>
          <w:rFonts w:hint="eastAsia" w:ascii="宋体" w:hAnsi="宋体" w:eastAsia="宋体" w:cs="宋体"/>
          <w:szCs w:val="21"/>
          <w:lang w:eastAsia="zh-Hans"/>
        </w:rPr>
        <w:t>并承担合同总价30%的违约金，如违约金不足以弥补由此给甲方造成的损失，乙方还应当就甲方的损失承担赔偿责任（本合同项下的损失包括但不限于：鉴定费、差旅费、评估费、律师费、保全费、担保费及甲方聘请第三方完成相关成果所产生的费用等）</w:t>
      </w:r>
      <w:r>
        <w:rPr>
          <w:rFonts w:hint="eastAsia" w:ascii="宋体" w:hAnsi="宋体" w:eastAsia="宋体" w:cs="宋体"/>
          <w:szCs w:val="21"/>
        </w:rPr>
        <w:t>。</w:t>
      </w:r>
    </w:p>
    <w:p>
      <w:pPr>
        <w:numPr>
          <w:ilvl w:val="0"/>
          <w:numId w:val="21"/>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乙方转让工作。未经甲方书面同意，乙方不得将本合同约定的委托内容全部或部分转让给第三方实施，否则甲方有权解除合同，乙方应向甲方返还全部已付费用，并承担合同价款30%的违约金。</w:t>
      </w:r>
    </w:p>
    <w:p>
      <w:pPr>
        <w:numPr>
          <w:ilvl w:val="0"/>
          <w:numId w:val="19"/>
        </w:numPr>
        <w:snapToGrid w:val="0"/>
        <w:spacing w:line="360" w:lineRule="auto"/>
        <w:jc w:val="left"/>
        <w:rPr>
          <w:rFonts w:hint="eastAsia" w:ascii="宋体" w:hAnsi="宋体" w:eastAsia="宋体" w:cs="宋体"/>
          <w:szCs w:val="21"/>
        </w:rPr>
      </w:pPr>
      <w:r>
        <w:rPr>
          <w:rFonts w:hint="eastAsia" w:ascii="宋体" w:hAnsi="宋体" w:eastAsia="宋体" w:cs="宋体"/>
          <w:szCs w:val="21"/>
        </w:rPr>
        <w:t>乙方更换项目负责人及主要服务人员</w:t>
      </w:r>
    </w:p>
    <w:p>
      <w:pPr>
        <w:numPr>
          <w:ilvl w:val="0"/>
          <w:numId w:val="22"/>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除当事人生病住院治疗超过14天以上（应提供县区以上级别医院的证明）或调离乙方单位的原因外，乙方擅自变更项目负责人或主要服务人员的，乙方应向甲方支付违约金5万元/人/次。乙方支付违约金后仍应按照甲方要求纠正。</w:t>
      </w:r>
    </w:p>
    <w:p>
      <w:pPr>
        <w:numPr>
          <w:ilvl w:val="0"/>
          <w:numId w:val="22"/>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因乙方违约需支付违约金时，甲方有权从乙方服务费中直接扣除，乙方对此没有异议，不足部分甲方有权追偿。</w:t>
      </w:r>
    </w:p>
    <w:p>
      <w:pPr>
        <w:numPr>
          <w:ilvl w:val="0"/>
          <w:numId w:val="19"/>
        </w:numPr>
        <w:snapToGrid w:val="0"/>
        <w:spacing w:line="360" w:lineRule="auto"/>
        <w:jc w:val="left"/>
        <w:rPr>
          <w:rFonts w:hint="eastAsia" w:ascii="宋体" w:hAnsi="宋体" w:eastAsia="宋体" w:cs="宋体"/>
          <w:szCs w:val="21"/>
        </w:rPr>
      </w:pPr>
      <w:r>
        <w:rPr>
          <w:rFonts w:hint="eastAsia" w:ascii="宋体" w:hAnsi="宋体" w:eastAsia="宋体" w:cs="宋体"/>
          <w:szCs w:val="21"/>
        </w:rPr>
        <w:t>本合同履行期间，发生下述情形时，甲方有权解除本合同，乙方除应退还甲方已支付的全部款项外,还应在合同解除通知发出之日起10日内向甲方支付合同总价款30%的违约金。乙方应同时将已完成的项目成果及相关工程文件移交给甲方，并将全部有关资料退还甲方：</w:t>
      </w:r>
    </w:p>
    <w:p>
      <w:pPr>
        <w:numPr>
          <w:ilvl w:val="0"/>
          <w:numId w:val="23"/>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乙方未能按合同约定的日期(含协商延缓的日期)提交成果，延误时间超过15天的；</w:t>
      </w:r>
    </w:p>
    <w:p>
      <w:pPr>
        <w:numPr>
          <w:ilvl w:val="0"/>
          <w:numId w:val="23"/>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因乙方工作的错误或遗漏造成最终成品质量不符合本合同要求，且乙方未按甲方要求进行修改或重新制作的；</w:t>
      </w:r>
    </w:p>
    <w:p>
      <w:pPr>
        <w:numPr>
          <w:ilvl w:val="0"/>
          <w:numId w:val="22"/>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乙方虽如期提交最终成品，但最终成品连续三次未能通过甲方验收的；</w:t>
      </w:r>
    </w:p>
    <w:p>
      <w:pPr>
        <w:numPr>
          <w:ilvl w:val="0"/>
          <w:numId w:val="22"/>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未经甲方书面同意，乙方擅自将本合同项目与任何第三方合作，或将本合同制作内容的全部或部分擅自转包或分包给任何第三方的；</w:t>
      </w:r>
    </w:p>
    <w:p>
      <w:pPr>
        <w:numPr>
          <w:ilvl w:val="0"/>
          <w:numId w:val="22"/>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乙方工作人员出现全部或部分丧失履行委托服务能力的情况，或甲方认为乙方工作人员在服务过程中，其服务质量或专业能力不能满足甲方需求的，甲方有权通知乙方限期整改或更换工作人员，期限届满乙方并未进行改善的。</w:t>
      </w:r>
    </w:p>
    <w:p>
      <w:pPr>
        <w:numPr>
          <w:ilvl w:val="0"/>
          <w:numId w:val="19"/>
        </w:numPr>
        <w:snapToGrid w:val="0"/>
        <w:spacing w:line="360" w:lineRule="auto"/>
        <w:jc w:val="left"/>
        <w:rPr>
          <w:rFonts w:hint="eastAsia" w:ascii="宋体" w:hAnsi="宋体" w:eastAsia="宋体" w:cs="宋体"/>
          <w:snapToGrid/>
          <w:spacing w:val="0"/>
          <w:kern w:val="2"/>
          <w:sz w:val="21"/>
          <w:szCs w:val="21"/>
          <w:lang w:val="en-US" w:eastAsia="zh-CN" w:bidi="ar-SA"/>
        </w:rPr>
      </w:pPr>
      <w:r>
        <w:rPr>
          <w:rFonts w:hint="eastAsia" w:ascii="宋体" w:hAnsi="宋体" w:eastAsia="宋体" w:cs="宋体"/>
          <w:szCs w:val="21"/>
          <w:lang w:val="en-US" w:eastAsia="zh-CN"/>
        </w:rPr>
        <w:t>乙方及其关联方严禁同时承接开业筹备顾问与运营品牌服务工作，且不得通过任何形式（包括但不限于联合体、分包、顾问身份等）同时实质性地参与或控制该两项服务。</w:t>
      </w:r>
      <w:r>
        <w:rPr>
          <w:rFonts w:hint="eastAsia" w:ascii="宋体" w:hAnsi="宋体" w:eastAsia="宋体" w:cs="宋体"/>
          <w:snapToGrid/>
          <w:spacing w:val="0"/>
          <w:kern w:val="2"/>
          <w:sz w:val="21"/>
          <w:szCs w:val="21"/>
          <w:lang w:val="en-US" w:eastAsia="zh-CN" w:bidi="ar-SA"/>
        </w:rPr>
        <w:t>若投标人违反本条款规定，在合同签订后发现乙方违反了本条款规定，甲方有权单方面解除合同，乙方应承担由此给甲方造成的一切损失，并可能被列入甲方供应商黑名单。</w:t>
      </w:r>
    </w:p>
    <w:p>
      <w:pPr>
        <w:pStyle w:val="2"/>
        <w:rPr>
          <w:rFonts w:hint="eastAsia"/>
        </w:rPr>
      </w:pPr>
    </w:p>
    <w:p>
      <w:pPr>
        <w:snapToGrid w:val="0"/>
        <w:spacing w:line="360" w:lineRule="auto"/>
        <w:ind w:firstLine="460"/>
        <w:jc w:val="left"/>
        <w:rPr>
          <w:rFonts w:hint="eastAsia" w:ascii="宋体" w:hAnsi="宋体" w:eastAsia="宋体" w:cs="宋体"/>
          <w:b/>
          <w:bCs/>
          <w:szCs w:val="21"/>
        </w:rPr>
      </w:pPr>
      <w:bookmarkStart w:id="32" w:name="_Toc6810_WPSOffice_Level2"/>
      <w:r>
        <w:rPr>
          <w:rFonts w:hint="eastAsia" w:ascii="宋体" w:hAnsi="宋体" w:eastAsia="宋体" w:cs="宋体"/>
          <w:b/>
          <w:bCs/>
          <w:szCs w:val="21"/>
        </w:rPr>
        <w:t>十一、争议解决方式</w:t>
      </w:r>
      <w:bookmarkEnd w:id="32"/>
    </w:p>
    <w:p>
      <w:pPr>
        <w:numPr>
          <w:ilvl w:val="0"/>
          <w:numId w:val="24"/>
        </w:num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因本合同的履行或合同本身发生的争议或纠纷，双方应协商解决。协商不成，任一方应向甲方所在地人民法院起诉。如发生诉讼，则由此产生的包括但不限于诉讼费、保全费、律师费、鉴定费、公证费等均由违约方来承担。</w:t>
      </w:r>
    </w:p>
    <w:p>
      <w:pPr>
        <w:numPr>
          <w:ilvl w:val="0"/>
          <w:numId w:val="24"/>
        </w:numPr>
        <w:snapToGrid w:val="0"/>
        <w:spacing w:line="360" w:lineRule="auto"/>
        <w:ind w:left="0" w:leftChars="0" w:firstLine="420" w:firstLineChars="200"/>
        <w:jc w:val="left"/>
        <w:rPr>
          <w:rFonts w:hint="eastAsia" w:ascii="宋体" w:hAnsi="宋体" w:eastAsia="宋体" w:cs="宋体"/>
          <w:szCs w:val="21"/>
        </w:rPr>
      </w:pPr>
      <w:r>
        <w:rPr>
          <w:rFonts w:hint="eastAsia" w:ascii="宋体" w:hAnsi="宋体" w:eastAsia="宋体" w:cs="宋体"/>
          <w:szCs w:val="21"/>
        </w:rPr>
        <w:t>除提交诉讼的争议事项外，合同约定的其余工作应照常进行。</w:t>
      </w:r>
    </w:p>
    <w:p>
      <w:pPr>
        <w:snapToGrid w:val="0"/>
        <w:spacing w:line="360" w:lineRule="auto"/>
        <w:ind w:firstLine="460"/>
        <w:jc w:val="left"/>
        <w:rPr>
          <w:rFonts w:hint="eastAsia" w:ascii="宋体" w:hAnsi="宋体" w:eastAsia="宋体" w:cs="宋体"/>
          <w:b/>
          <w:bCs/>
          <w:szCs w:val="21"/>
        </w:rPr>
      </w:pPr>
      <w:bookmarkStart w:id="33" w:name="_Toc1760_WPSOffice_Level2"/>
      <w:r>
        <w:rPr>
          <w:rFonts w:hint="eastAsia" w:ascii="宋体" w:hAnsi="宋体" w:eastAsia="宋体" w:cs="宋体"/>
          <w:b/>
          <w:bCs/>
          <w:szCs w:val="21"/>
        </w:rPr>
        <w:t>十二、交付及接收方式</w:t>
      </w:r>
      <w:bookmarkEnd w:id="33"/>
    </w:p>
    <w:p>
      <w:pPr>
        <w:numPr>
          <w:ilvl w:val="0"/>
          <w:numId w:val="25"/>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甲方委派***（电话：；邮箱：）为本合同联络人，负责本合同履行过程中的对接、协调工作。如甲方在本合同履行过程中更换项目联络人，需提前书面通知乙方。</w:t>
      </w:r>
    </w:p>
    <w:p>
      <w:pPr>
        <w:numPr>
          <w:ilvl w:val="0"/>
          <w:numId w:val="25"/>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乙方委派（电话：；邮箱：）为本合同联络人，负责本合同履行过程中的对接、协调工作。如乙方在本合同履行过程中更换项目联络人，需提前书面通知甲方。</w:t>
      </w:r>
    </w:p>
    <w:p>
      <w:pPr>
        <w:numPr>
          <w:ilvl w:val="0"/>
          <w:numId w:val="25"/>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本合同由乙方在其公司完成设计工作并交付，所有设计成果乙方以电子邮件、拷贝或邮寄的方式交付给甲方。</w:t>
      </w:r>
    </w:p>
    <w:p>
      <w:pPr>
        <w:numPr>
          <w:ilvl w:val="0"/>
          <w:numId w:val="25"/>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乙方完成各阶段工作任务后，应书面通知甲方对工作成果进行接收，乙方每次交付后甲方签署《资料（成果）签收表》。</w:t>
      </w:r>
    </w:p>
    <w:p>
      <w:pPr>
        <w:numPr>
          <w:ilvl w:val="0"/>
          <w:numId w:val="25"/>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乙方交付制作成果后，甲方在五个工作日内书面回复乙方修改意见，或签字确认乙方提交的制作成果达到合同要求；若按约定时间未做出答复，则制作工期及成果交付时间相应顺延。</w:t>
      </w:r>
    </w:p>
    <w:p>
      <w:pPr>
        <w:numPr>
          <w:ilvl w:val="0"/>
          <w:numId w:val="25"/>
        </w:numPr>
        <w:snapToGrid w:val="0"/>
        <w:spacing w:line="360" w:lineRule="auto"/>
        <w:ind w:firstLineChars="200"/>
        <w:jc w:val="left"/>
        <w:rPr>
          <w:rFonts w:hint="eastAsia" w:ascii="宋体" w:hAnsi="宋体" w:eastAsia="宋体" w:cs="宋体"/>
          <w:szCs w:val="21"/>
        </w:rPr>
      </w:pPr>
      <w:r>
        <w:rPr>
          <w:rFonts w:hint="eastAsia" w:ascii="宋体" w:hAnsi="宋体" w:eastAsia="宋体" w:cs="宋体"/>
          <w:szCs w:val="21"/>
        </w:rPr>
        <w:t>乙方收到甲方书面回复修改意见后，须在五个工作日内进行回复，如需进行修改明确修订所需时间、修改内容以及是否顺延服务期限，如未能按约定时限内修改或修改不符合甲方要求的，乙方按照本合同约定承担相应的违约责任。</w:t>
      </w:r>
    </w:p>
    <w:p>
      <w:pPr>
        <w:snapToGrid w:val="0"/>
        <w:spacing w:line="360" w:lineRule="auto"/>
        <w:ind w:firstLine="460"/>
        <w:jc w:val="left"/>
        <w:rPr>
          <w:rFonts w:hint="eastAsia" w:ascii="宋体" w:hAnsi="宋体" w:eastAsia="宋体" w:cs="宋体"/>
          <w:b/>
          <w:bCs/>
          <w:szCs w:val="21"/>
        </w:rPr>
      </w:pPr>
      <w:bookmarkStart w:id="34" w:name="_Toc23900_WPSOffice_Level2"/>
      <w:bookmarkStart w:id="35" w:name="_Toc232999032"/>
      <w:r>
        <w:rPr>
          <w:rFonts w:hint="eastAsia" w:ascii="宋体" w:hAnsi="宋体" w:eastAsia="宋体" w:cs="宋体"/>
          <w:b/>
          <w:bCs/>
          <w:szCs w:val="21"/>
        </w:rPr>
        <w:t>十三、其他</w:t>
      </w:r>
      <w:bookmarkEnd w:id="34"/>
      <w:bookmarkEnd w:id="35"/>
    </w:p>
    <w:p>
      <w:pPr>
        <w:numPr>
          <w:ilvl w:val="0"/>
          <w:numId w:val="26"/>
        </w:numPr>
        <w:snapToGrid w:val="0"/>
        <w:spacing w:line="360" w:lineRule="auto"/>
        <w:jc w:val="left"/>
        <w:rPr>
          <w:rFonts w:hint="eastAsia" w:ascii="宋体" w:hAnsi="宋体" w:eastAsia="宋体" w:cs="宋体"/>
          <w:szCs w:val="21"/>
        </w:rPr>
      </w:pPr>
      <w:r>
        <w:rPr>
          <w:rFonts w:hint="eastAsia" w:ascii="宋体" w:hAnsi="宋体" w:eastAsia="宋体" w:cs="宋体"/>
          <w:szCs w:val="21"/>
        </w:rPr>
        <w:t>本合同附件（如有）为合同不可分割的组成部分，与本合同具有同等法律效力。双方来往的传真、电报、会议纪要等，均可视为合同的组成部分，与本合同具有同等法律效力。若附件与合同正文有任何冲突，以合同正文为准。</w:t>
      </w:r>
    </w:p>
    <w:p>
      <w:pPr>
        <w:numPr>
          <w:ilvl w:val="0"/>
          <w:numId w:val="26"/>
        </w:numPr>
        <w:snapToGrid w:val="0"/>
        <w:spacing w:line="360" w:lineRule="auto"/>
        <w:jc w:val="left"/>
        <w:rPr>
          <w:rFonts w:hint="eastAsia" w:ascii="宋体" w:hAnsi="宋体" w:eastAsia="宋体" w:cs="宋体"/>
          <w:szCs w:val="21"/>
        </w:rPr>
      </w:pPr>
      <w:r>
        <w:rPr>
          <w:rFonts w:hint="eastAsia" w:ascii="宋体" w:hAnsi="宋体" w:eastAsia="宋体" w:cs="宋体"/>
          <w:szCs w:val="21"/>
        </w:rPr>
        <w:t>本合同各条标题仅为提示之用，应以条文内容确定各方的权利义务。</w:t>
      </w:r>
    </w:p>
    <w:p>
      <w:pPr>
        <w:numPr>
          <w:ilvl w:val="0"/>
          <w:numId w:val="26"/>
        </w:numPr>
        <w:snapToGrid w:val="0"/>
        <w:spacing w:line="360" w:lineRule="auto"/>
        <w:jc w:val="left"/>
        <w:rPr>
          <w:rFonts w:hint="eastAsia" w:ascii="宋体" w:hAnsi="宋体" w:eastAsia="宋体" w:cs="宋体"/>
          <w:szCs w:val="21"/>
        </w:rPr>
      </w:pPr>
      <w:r>
        <w:rPr>
          <w:rFonts w:hint="eastAsia" w:ascii="宋体" w:hAnsi="宋体" w:eastAsia="宋体" w:cs="宋体"/>
          <w:szCs w:val="21"/>
        </w:rPr>
        <w:t>本合同未尽事宜，由双方协商签订补充协议进行约定。补充协议应以书面形式作成，经双方法定代表人或其授权代表签字、盖章后与本合同具有同等法律效力。</w:t>
      </w:r>
    </w:p>
    <w:p>
      <w:pPr>
        <w:numPr>
          <w:ilvl w:val="0"/>
          <w:numId w:val="26"/>
        </w:numPr>
        <w:snapToGrid w:val="0"/>
        <w:spacing w:line="360" w:lineRule="auto"/>
        <w:jc w:val="left"/>
        <w:rPr>
          <w:rFonts w:hint="eastAsia" w:ascii="宋体" w:hAnsi="宋体" w:eastAsia="宋体" w:cs="宋体"/>
          <w:szCs w:val="21"/>
        </w:rPr>
      </w:pPr>
      <w:r>
        <w:rPr>
          <w:rFonts w:hint="eastAsia" w:ascii="宋体" w:hAnsi="宋体" w:eastAsia="宋体" w:cs="宋体"/>
          <w:szCs w:val="21"/>
        </w:rPr>
        <w:t>如果本合同的任何条款在任何时候变成不合法、无效或不可强制执行而不从根本上影响本合同的效力时，本合同的其他条款不受影响。</w:t>
      </w:r>
    </w:p>
    <w:p>
      <w:pPr>
        <w:numPr>
          <w:ilvl w:val="0"/>
          <w:numId w:val="26"/>
        </w:numPr>
        <w:snapToGrid w:val="0"/>
        <w:spacing w:line="360" w:lineRule="auto"/>
        <w:jc w:val="left"/>
        <w:rPr>
          <w:rFonts w:hint="eastAsia" w:ascii="宋体" w:hAnsi="宋体" w:eastAsia="宋体" w:cs="宋体"/>
          <w:szCs w:val="21"/>
        </w:rPr>
      </w:pPr>
      <w:r>
        <w:rPr>
          <w:rFonts w:hint="eastAsia" w:ascii="宋体" w:hAnsi="宋体" w:eastAsia="宋体" w:cs="宋体"/>
          <w:szCs w:val="21"/>
        </w:rPr>
        <w:t>未得到对方的书面许可，一方均不得以广告或在公共场合使用或</w:t>
      </w:r>
      <w:r>
        <w:rPr>
          <w:rFonts w:hint="eastAsia" w:ascii="宋体" w:hAnsi="宋体" w:cs="宋体"/>
          <w:szCs w:val="21"/>
          <w:lang w:eastAsia="zh-CN"/>
        </w:rPr>
        <w:t>模仿</w:t>
      </w:r>
      <w:bookmarkStart w:id="38" w:name="_GoBack"/>
      <w:bookmarkEnd w:id="38"/>
      <w:r>
        <w:rPr>
          <w:rFonts w:hint="eastAsia" w:ascii="宋体" w:hAnsi="宋体" w:eastAsia="宋体" w:cs="宋体"/>
          <w:szCs w:val="21"/>
        </w:rPr>
        <w:t>对方的商业名称、</w:t>
      </w:r>
      <w:r>
        <w:rPr>
          <w:rFonts w:hint="eastAsia" w:ascii="宋体" w:hAnsi="宋体" w:eastAsia="宋体" w:cs="宋体"/>
          <w:szCs w:val="21"/>
          <w:lang w:eastAsia="zh-Hans"/>
        </w:rPr>
        <w:t>文案、</w:t>
      </w:r>
      <w:r>
        <w:rPr>
          <w:rFonts w:hint="eastAsia" w:ascii="宋体" w:hAnsi="宋体" w:eastAsia="宋体" w:cs="宋体"/>
          <w:szCs w:val="21"/>
        </w:rPr>
        <w:t>商标、图案、服务标志、符号、代码、型号或缩写，任何一方均不得声称对对方的商业名称、</w:t>
      </w:r>
      <w:r>
        <w:rPr>
          <w:rFonts w:hint="eastAsia" w:ascii="宋体" w:hAnsi="宋体" w:eastAsia="宋体" w:cs="宋体"/>
          <w:szCs w:val="21"/>
          <w:lang w:eastAsia="zh-Hans"/>
        </w:rPr>
        <w:t>文案、</w:t>
      </w:r>
      <w:r>
        <w:rPr>
          <w:rFonts w:hint="eastAsia" w:ascii="宋体" w:hAnsi="宋体" w:eastAsia="宋体" w:cs="宋体"/>
          <w:szCs w:val="21"/>
        </w:rPr>
        <w:t>商标、图案、服务标志、符号、代码、型号或缩写拥有所有权。</w:t>
      </w:r>
    </w:p>
    <w:p>
      <w:pPr>
        <w:numPr>
          <w:ilvl w:val="0"/>
          <w:numId w:val="26"/>
        </w:numPr>
        <w:snapToGrid w:val="0"/>
        <w:spacing w:line="360" w:lineRule="auto"/>
        <w:jc w:val="left"/>
        <w:rPr>
          <w:rFonts w:hint="eastAsia" w:ascii="宋体" w:hAnsi="宋体" w:eastAsia="宋体" w:cs="宋体"/>
          <w:szCs w:val="21"/>
        </w:rPr>
      </w:pPr>
      <w:r>
        <w:rPr>
          <w:rFonts w:hint="eastAsia" w:ascii="宋体" w:hAnsi="宋体" w:eastAsia="宋体" w:cs="宋体"/>
          <w:szCs w:val="21"/>
        </w:rPr>
        <w:t>本合同的任何内容不应被视为或解释为双方之间具有合资、合伙、代理关系。</w:t>
      </w:r>
    </w:p>
    <w:p>
      <w:pPr>
        <w:numPr>
          <w:ilvl w:val="0"/>
          <w:numId w:val="26"/>
        </w:numPr>
        <w:snapToGrid w:val="0"/>
        <w:spacing w:line="360" w:lineRule="auto"/>
        <w:jc w:val="left"/>
        <w:rPr>
          <w:rFonts w:hint="eastAsia" w:ascii="宋体" w:hAnsi="宋体" w:eastAsia="宋体" w:cs="宋体"/>
          <w:szCs w:val="21"/>
        </w:rPr>
      </w:pPr>
      <w:r>
        <w:rPr>
          <w:rFonts w:hint="eastAsia" w:ascii="宋体" w:hAnsi="宋体" w:eastAsia="宋体" w:cs="宋体"/>
          <w:szCs w:val="21"/>
        </w:rPr>
        <w:t>甲乙双方因履行本合同或与本合同有关的一切通知都必须按照本合同中的地址，以书面形式或双方确认的传真、电子邮件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寄出之日起【五】日后即视为已经送达对方。</w:t>
      </w:r>
      <w:bookmarkStart w:id="36" w:name="_Hlk200324509"/>
    </w:p>
    <w:p>
      <w:pPr>
        <w:numPr>
          <w:ilvl w:val="0"/>
          <w:numId w:val="26"/>
        </w:numPr>
        <w:snapToGrid w:val="0"/>
        <w:spacing w:line="360" w:lineRule="auto"/>
        <w:jc w:val="left"/>
        <w:rPr>
          <w:rFonts w:hint="eastAsia" w:ascii="宋体" w:hAnsi="宋体" w:eastAsia="宋体" w:cs="宋体"/>
          <w:szCs w:val="21"/>
        </w:rPr>
      </w:pPr>
      <w:r>
        <w:rPr>
          <w:rFonts w:hint="eastAsia" w:ascii="宋体" w:hAnsi="宋体" w:eastAsia="宋体" w:cs="宋体"/>
          <w:szCs w:val="21"/>
        </w:rPr>
        <w:t>本合同自双方法定代表人或其授权代表签字、盖章之日起生效，有效期至双方合同义务全部履行完毕时止。</w:t>
      </w:r>
    </w:p>
    <w:p>
      <w:pPr>
        <w:numPr>
          <w:ilvl w:val="0"/>
          <w:numId w:val="26"/>
        </w:numPr>
        <w:snapToGrid w:val="0"/>
        <w:spacing w:line="360" w:lineRule="auto"/>
        <w:jc w:val="left"/>
        <w:rPr>
          <w:rFonts w:hint="eastAsia" w:ascii="宋体" w:hAnsi="宋体" w:eastAsia="宋体" w:cs="宋体"/>
          <w:szCs w:val="21"/>
        </w:rPr>
      </w:pPr>
      <w:r>
        <w:rPr>
          <w:rFonts w:hint="eastAsia" w:ascii="宋体" w:hAnsi="宋体" w:eastAsia="宋体" w:cs="宋体"/>
          <w:szCs w:val="21"/>
        </w:rPr>
        <w:t>本合同正本一式</w:t>
      </w:r>
      <w:r>
        <w:rPr>
          <w:rFonts w:hint="eastAsia" w:ascii="宋体" w:hAnsi="宋体" w:eastAsia="宋体" w:cs="宋体"/>
          <w:szCs w:val="21"/>
          <w:u w:val="single"/>
        </w:rPr>
        <w:t>肆</w:t>
      </w:r>
      <w:r>
        <w:rPr>
          <w:rFonts w:hint="eastAsia" w:ascii="宋体" w:hAnsi="宋体" w:eastAsia="宋体" w:cs="宋体"/>
          <w:szCs w:val="21"/>
        </w:rPr>
        <w:t>份，甲乙双方各执</w:t>
      </w:r>
      <w:r>
        <w:rPr>
          <w:rFonts w:hint="eastAsia" w:ascii="宋体" w:hAnsi="宋体" w:eastAsia="宋体" w:cs="宋体"/>
          <w:szCs w:val="21"/>
          <w:u w:val="single"/>
        </w:rPr>
        <w:t>贰</w:t>
      </w:r>
      <w:r>
        <w:rPr>
          <w:rFonts w:hint="eastAsia" w:ascii="宋体" w:hAnsi="宋体" w:eastAsia="宋体" w:cs="宋体"/>
          <w:szCs w:val="21"/>
        </w:rPr>
        <w:t>份，经双方签字盖章后生效。</w:t>
      </w:r>
    </w:p>
    <w:p>
      <w:pPr>
        <w:numPr>
          <w:ilvl w:val="0"/>
          <w:numId w:val="26"/>
        </w:numPr>
        <w:snapToGrid w:val="0"/>
        <w:spacing w:line="360" w:lineRule="auto"/>
        <w:jc w:val="left"/>
        <w:rPr>
          <w:rFonts w:hint="eastAsia" w:ascii="宋体" w:hAnsi="宋体" w:eastAsia="宋体" w:cs="宋体"/>
          <w:szCs w:val="21"/>
        </w:rPr>
      </w:pPr>
      <w:r>
        <w:rPr>
          <w:rFonts w:hint="eastAsia" w:ascii="宋体" w:hAnsi="宋体" w:eastAsia="宋体" w:cs="宋体"/>
          <w:szCs w:val="21"/>
          <w:lang w:eastAsia="zh-Hans"/>
        </w:rPr>
        <w:t>本合同包含附件，</w:t>
      </w:r>
      <w:r>
        <w:rPr>
          <w:rFonts w:hint="eastAsia" w:ascii="宋体" w:hAnsi="宋体" w:eastAsia="宋体" w:cs="宋体"/>
          <w:szCs w:val="21"/>
        </w:rPr>
        <w:t>本合同与本合同附件具有同等法律效力。</w:t>
      </w:r>
    </w:p>
    <w:bookmarkEnd w:id="36"/>
    <w:p>
      <w:pPr>
        <w:snapToGrid w:val="0"/>
        <w:spacing w:line="360" w:lineRule="auto"/>
        <w:ind w:firstLine="460"/>
        <w:jc w:val="left"/>
        <w:rPr>
          <w:rFonts w:hint="eastAsia" w:ascii="宋体" w:hAnsi="宋体" w:eastAsia="宋体" w:cs="宋体"/>
          <w:b/>
          <w:bCs/>
          <w:szCs w:val="21"/>
        </w:rPr>
      </w:pPr>
      <w:bookmarkStart w:id="37" w:name="_Toc5679_WPSOffice_Level2"/>
      <w:r>
        <w:rPr>
          <w:rFonts w:hint="eastAsia" w:ascii="宋体" w:hAnsi="宋体" w:eastAsia="宋体" w:cs="宋体"/>
          <w:b/>
          <w:bCs/>
          <w:szCs w:val="21"/>
        </w:rPr>
        <w:t>十四、合同附件</w:t>
      </w:r>
      <w:bookmarkEnd w:id="37"/>
    </w:p>
    <w:p>
      <w:pPr>
        <w:spacing w:line="360" w:lineRule="auto"/>
        <w:contextualSpacing/>
        <w:jc w:val="left"/>
        <w:rPr>
          <w:rFonts w:hint="eastAsia" w:ascii="宋体" w:hAnsi="宋体" w:eastAsia="宋体" w:cs="宋体"/>
          <w:szCs w:val="21"/>
        </w:rPr>
      </w:pPr>
      <w:r>
        <w:rPr>
          <w:rFonts w:hint="eastAsia" w:ascii="宋体" w:hAnsi="宋体" w:eastAsia="宋体" w:cs="宋体"/>
          <w:szCs w:val="21"/>
        </w:rPr>
        <w:t>附件：</w:t>
      </w:r>
    </w:p>
    <w:p>
      <w:pPr>
        <w:pStyle w:val="2"/>
        <w:spacing w:line="360" w:lineRule="auto"/>
        <w:ind w:left="856" w:hanging="436"/>
        <w:rPr>
          <w:rFonts w:hint="eastAsia" w:ascii="宋体" w:hAnsi="宋体" w:eastAsia="宋体" w:cs="宋体"/>
          <w:sz w:val="21"/>
          <w:szCs w:val="21"/>
        </w:rPr>
      </w:pPr>
    </w:p>
    <w:p>
      <w:pPr>
        <w:pStyle w:val="4"/>
        <w:spacing w:line="360" w:lineRule="auto"/>
        <w:jc w:val="left"/>
        <w:rPr>
          <w:rFonts w:hint="eastAsia" w:ascii="宋体" w:hAnsi="宋体" w:eastAsia="宋体" w:cs="宋体"/>
          <w:sz w:val="21"/>
          <w:szCs w:val="21"/>
        </w:rPr>
      </w:pPr>
    </w:p>
    <w:p>
      <w:pPr>
        <w:widowControl/>
        <w:spacing w:line="360" w:lineRule="auto"/>
        <w:jc w:val="left"/>
        <w:rPr>
          <w:rFonts w:hint="eastAsia" w:ascii="宋体" w:hAnsi="宋体" w:eastAsia="宋体" w:cs="宋体"/>
          <w:szCs w:val="21"/>
        </w:rPr>
      </w:pPr>
    </w:p>
    <w:p>
      <w:pPr>
        <w:spacing w:line="360" w:lineRule="auto"/>
        <w:contextualSpacing/>
        <w:jc w:val="left"/>
        <w:rPr>
          <w:rFonts w:hint="eastAsia" w:ascii="宋体" w:hAnsi="宋体" w:eastAsia="宋体" w:cs="宋体"/>
          <w:szCs w:val="21"/>
          <w:lang w:eastAsia="zh-Hans"/>
        </w:rPr>
      </w:pPr>
      <w:r>
        <w:rPr>
          <w:rFonts w:hint="eastAsia" w:ascii="宋体" w:hAnsi="宋体" w:eastAsia="宋体" w:cs="宋体"/>
          <w:szCs w:val="21"/>
        </w:rPr>
        <w:t>（以下</w:t>
      </w:r>
      <w:r>
        <w:rPr>
          <w:rFonts w:hint="eastAsia" w:ascii="宋体" w:hAnsi="宋体" w:eastAsia="宋体" w:cs="宋体"/>
          <w:szCs w:val="21"/>
          <w:lang w:eastAsia="zh-Hans"/>
        </w:rPr>
        <w:t>正文，为签字盖章页）</w:t>
      </w:r>
    </w:p>
    <w:p>
      <w:pPr>
        <w:pStyle w:val="2"/>
        <w:spacing w:line="360" w:lineRule="auto"/>
        <w:ind w:left="856" w:hanging="436"/>
        <w:rPr>
          <w:rFonts w:hint="eastAsia" w:ascii="宋体" w:hAnsi="宋体" w:eastAsia="宋体" w:cs="宋体"/>
          <w:sz w:val="21"/>
          <w:szCs w:val="21"/>
        </w:rPr>
      </w:pPr>
    </w:p>
    <w:p>
      <w:pPr>
        <w:spacing w:line="360" w:lineRule="auto"/>
        <w:contextualSpacing/>
        <w:jc w:val="left"/>
        <w:rPr>
          <w:rFonts w:hint="eastAsia" w:ascii="宋体" w:hAnsi="宋体" w:eastAsia="宋体" w:cs="宋体"/>
          <w:szCs w:val="21"/>
        </w:rPr>
      </w:pPr>
    </w:p>
    <w:p>
      <w:pPr>
        <w:spacing w:line="360" w:lineRule="auto"/>
        <w:contextualSpacing/>
        <w:jc w:val="left"/>
        <w:rPr>
          <w:rFonts w:hint="eastAsia" w:ascii="宋体" w:hAnsi="宋体" w:eastAsia="宋体" w:cs="宋体"/>
          <w:b/>
          <w:bCs/>
          <w:szCs w:val="21"/>
        </w:rPr>
      </w:pPr>
      <w:r>
        <w:rPr>
          <w:rFonts w:hint="eastAsia" w:ascii="宋体" w:hAnsi="宋体" w:eastAsia="宋体" w:cs="宋体"/>
          <w:b/>
          <w:bCs/>
          <w:szCs w:val="21"/>
        </w:rPr>
        <w:t>甲方：</w:t>
      </w:r>
    </w:p>
    <w:p>
      <w:pPr>
        <w:spacing w:line="360" w:lineRule="auto"/>
        <w:contextualSpacing/>
        <w:jc w:val="left"/>
        <w:rPr>
          <w:rFonts w:hint="eastAsia" w:ascii="宋体" w:hAnsi="宋体" w:eastAsia="宋体" w:cs="宋体"/>
          <w:b/>
          <w:bCs/>
          <w:szCs w:val="21"/>
        </w:rPr>
      </w:pPr>
      <w:r>
        <w:rPr>
          <w:rFonts w:hint="eastAsia" w:ascii="宋体" w:hAnsi="宋体" w:eastAsia="宋体" w:cs="宋体"/>
          <w:b/>
          <w:bCs/>
          <w:szCs w:val="21"/>
        </w:rPr>
        <w:t>乙方：</w:t>
      </w:r>
    </w:p>
    <w:p>
      <w:pPr>
        <w:spacing w:line="360" w:lineRule="auto"/>
        <w:contextualSpacing/>
        <w:jc w:val="left"/>
        <w:rPr>
          <w:rFonts w:hint="eastAsia" w:ascii="宋体" w:hAnsi="宋体" w:eastAsia="宋体" w:cs="宋体"/>
          <w:b/>
          <w:bCs/>
          <w:szCs w:val="21"/>
        </w:rPr>
      </w:pPr>
    </w:p>
    <w:p>
      <w:pPr>
        <w:spacing w:line="360" w:lineRule="auto"/>
        <w:contextualSpacing/>
        <w:jc w:val="left"/>
        <w:rPr>
          <w:rFonts w:hint="eastAsia" w:ascii="宋体" w:hAnsi="宋体" w:eastAsia="宋体" w:cs="宋体"/>
          <w:b/>
          <w:bCs/>
          <w:szCs w:val="21"/>
        </w:rPr>
      </w:pPr>
      <w:r>
        <w:rPr>
          <w:rFonts w:hint="eastAsia" w:ascii="宋体" w:hAnsi="宋体" w:eastAsia="宋体" w:cs="宋体"/>
          <w:b/>
          <w:bCs/>
          <w:szCs w:val="21"/>
        </w:rPr>
        <w:t>法人代表签字（加盖公章）：</w:t>
      </w:r>
    </w:p>
    <w:p>
      <w:pPr>
        <w:spacing w:line="360" w:lineRule="auto"/>
        <w:contextualSpacing/>
        <w:jc w:val="left"/>
        <w:rPr>
          <w:rFonts w:hint="eastAsia" w:ascii="宋体" w:hAnsi="宋体" w:eastAsia="宋体" w:cs="宋体"/>
          <w:b/>
          <w:bCs/>
          <w:szCs w:val="21"/>
        </w:rPr>
      </w:pPr>
    </w:p>
    <w:p>
      <w:pPr>
        <w:spacing w:line="360" w:lineRule="auto"/>
        <w:contextualSpacing/>
        <w:jc w:val="left"/>
        <w:rPr>
          <w:rFonts w:hint="eastAsia" w:ascii="宋体" w:hAnsi="宋体" w:eastAsia="宋体" w:cs="宋体"/>
          <w:b/>
          <w:bCs/>
          <w:szCs w:val="21"/>
        </w:rPr>
      </w:pPr>
      <w:r>
        <w:rPr>
          <w:rFonts w:hint="eastAsia" w:ascii="宋体" w:hAnsi="宋体" w:eastAsia="宋体" w:cs="宋体"/>
          <w:b/>
          <w:bCs/>
          <w:szCs w:val="21"/>
        </w:rPr>
        <w:t>法人代表签字（加盖公章）：</w:t>
      </w:r>
    </w:p>
    <w:p>
      <w:pPr>
        <w:spacing w:line="360" w:lineRule="auto"/>
        <w:contextualSpacing/>
        <w:jc w:val="left"/>
        <w:rPr>
          <w:rFonts w:hint="eastAsia" w:ascii="宋体" w:hAnsi="宋体" w:eastAsia="宋体" w:cs="宋体"/>
          <w:b/>
          <w:bCs/>
          <w:szCs w:val="21"/>
        </w:rPr>
      </w:pPr>
    </w:p>
    <w:p>
      <w:pPr>
        <w:spacing w:line="360" w:lineRule="auto"/>
        <w:contextualSpacing/>
        <w:jc w:val="left"/>
        <w:rPr>
          <w:rFonts w:hint="eastAsia" w:ascii="宋体" w:hAnsi="宋体" w:eastAsia="宋体" w:cs="宋体"/>
          <w:b/>
          <w:bCs/>
          <w:szCs w:val="21"/>
        </w:rPr>
      </w:pPr>
      <w:r>
        <w:rPr>
          <w:rFonts w:hint="eastAsia" w:ascii="宋体" w:hAnsi="宋体" w:eastAsia="宋体" w:cs="宋体"/>
          <w:b/>
          <w:bCs/>
          <w:szCs w:val="21"/>
        </w:rPr>
        <w:t>授权代表签字：授权代表签字：</w:t>
      </w:r>
    </w:p>
    <w:p>
      <w:pPr>
        <w:spacing w:line="360" w:lineRule="auto"/>
        <w:contextualSpacing/>
        <w:jc w:val="left"/>
        <w:rPr>
          <w:rFonts w:hint="eastAsia" w:ascii="宋体" w:hAnsi="宋体" w:eastAsia="宋体" w:cs="宋体"/>
          <w:b/>
          <w:bCs/>
          <w:szCs w:val="21"/>
        </w:rPr>
      </w:pPr>
    </w:p>
    <w:p>
      <w:pPr>
        <w:spacing w:line="360" w:lineRule="auto"/>
        <w:contextualSpacing/>
        <w:jc w:val="left"/>
        <w:rPr>
          <w:rFonts w:hint="eastAsia" w:ascii="宋体" w:hAnsi="宋体" w:eastAsia="宋体" w:cs="宋体"/>
          <w:b/>
          <w:bCs/>
          <w:szCs w:val="21"/>
        </w:rPr>
      </w:pPr>
      <w:r>
        <w:rPr>
          <w:rFonts w:hint="eastAsia" w:ascii="宋体" w:hAnsi="宋体" w:eastAsia="宋体" w:cs="宋体"/>
          <w:b/>
          <w:bCs/>
          <w:szCs w:val="21"/>
        </w:rPr>
        <w:t>日期：_____年____月____日</w:t>
      </w:r>
    </w:p>
    <w:p>
      <w:pPr>
        <w:widowControl/>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pStyle w:val="6"/>
        <w:pageBreakBefore w:val="0"/>
        <w:kinsoku/>
        <w:wordWrap/>
        <w:overflowPunct/>
        <w:topLinePunct w:val="0"/>
        <w:autoSpaceDE/>
        <w:autoSpaceDN/>
        <w:bidi w:val="0"/>
        <w:spacing w:line="560" w:lineRule="exact"/>
        <w:ind w:left="0"/>
        <w:jc w:val="both"/>
        <w:textAlignment w:val="auto"/>
        <w:rPr>
          <w:rFonts w:hint="eastAsia" w:ascii="仿宋_GB2312" w:hAnsi="仿宋_GB2312" w:eastAsia="仿宋_GB2312"/>
          <w:b w:val="0"/>
          <w:bCs w:val="0"/>
          <w:sz w:val="32"/>
          <w:szCs w:val="32"/>
        </w:rPr>
      </w:pPr>
    </w:p>
    <w:p>
      <w:pPr>
        <w:pStyle w:val="6"/>
        <w:pageBreakBefore w:val="0"/>
        <w:kinsoku/>
        <w:wordWrap/>
        <w:overflowPunct/>
        <w:topLinePunct w:val="0"/>
        <w:autoSpaceDE/>
        <w:autoSpaceDN/>
        <w:bidi w:val="0"/>
        <w:spacing w:line="560" w:lineRule="exact"/>
        <w:ind w:left="0"/>
        <w:jc w:val="both"/>
        <w:textAlignment w:val="auto"/>
        <w:rPr>
          <w:rFonts w:hint="eastAsia" w:ascii="仿宋_GB2312" w:hAnsi="仿宋_GB2312" w:eastAsia="仿宋_GB2312"/>
          <w:b w:val="0"/>
          <w:bCs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0384A"/>
    <w:multiLevelType w:val="singleLevel"/>
    <w:tmpl w:val="8FF0384A"/>
    <w:lvl w:ilvl="0" w:tentative="0">
      <w:start w:val="1"/>
      <w:numFmt w:val="chineseCounting"/>
      <w:suff w:val="nothing"/>
      <w:lvlText w:val="（%1）"/>
      <w:lvlJc w:val="left"/>
      <w:pPr>
        <w:ind w:left="0" w:firstLine="420"/>
      </w:pPr>
      <w:rPr>
        <w:rFonts w:hint="eastAsia"/>
        <w:b w:val="0"/>
        <w:bCs w:val="0"/>
      </w:rPr>
    </w:lvl>
  </w:abstractNum>
  <w:abstractNum w:abstractNumId="1">
    <w:nsid w:val="9EC911B2"/>
    <w:multiLevelType w:val="singleLevel"/>
    <w:tmpl w:val="9EC911B2"/>
    <w:lvl w:ilvl="0" w:tentative="0">
      <w:start w:val="1"/>
      <w:numFmt w:val="chineseCounting"/>
      <w:suff w:val="nothing"/>
      <w:lvlText w:val="%1、"/>
      <w:lvlJc w:val="left"/>
      <w:pPr>
        <w:ind w:left="0" w:firstLine="420"/>
      </w:pPr>
      <w:rPr>
        <w:rFonts w:hint="eastAsia" w:ascii="黑体" w:hAnsi="黑体" w:eastAsia="黑体" w:cs="黑体"/>
        <w:sz w:val="21"/>
        <w:szCs w:val="21"/>
      </w:rPr>
    </w:lvl>
  </w:abstractNum>
  <w:abstractNum w:abstractNumId="2">
    <w:nsid w:val="AAC6C3E0"/>
    <w:multiLevelType w:val="singleLevel"/>
    <w:tmpl w:val="AAC6C3E0"/>
    <w:lvl w:ilvl="0" w:tentative="0">
      <w:start w:val="1"/>
      <w:numFmt w:val="chineseCounting"/>
      <w:suff w:val="nothing"/>
      <w:lvlText w:val="（%1）"/>
      <w:lvlJc w:val="left"/>
      <w:pPr>
        <w:ind w:left="0" w:firstLine="420"/>
      </w:pPr>
      <w:rPr>
        <w:rFonts w:hint="eastAsia"/>
      </w:rPr>
    </w:lvl>
  </w:abstractNum>
  <w:abstractNum w:abstractNumId="3">
    <w:nsid w:val="AB8E9EA0"/>
    <w:multiLevelType w:val="singleLevel"/>
    <w:tmpl w:val="AB8E9EA0"/>
    <w:lvl w:ilvl="0" w:tentative="0">
      <w:start w:val="1"/>
      <w:numFmt w:val="chineseCounting"/>
      <w:suff w:val="nothing"/>
      <w:lvlText w:val="（%1）"/>
      <w:lvlJc w:val="left"/>
      <w:pPr>
        <w:ind w:left="0" w:firstLine="420"/>
      </w:pPr>
      <w:rPr>
        <w:rFonts w:hint="eastAsia"/>
      </w:rPr>
    </w:lvl>
  </w:abstractNum>
  <w:abstractNum w:abstractNumId="4">
    <w:nsid w:val="BAFC23D1"/>
    <w:multiLevelType w:val="singleLevel"/>
    <w:tmpl w:val="BAFC23D1"/>
    <w:lvl w:ilvl="0" w:tentative="0">
      <w:start w:val="1"/>
      <w:numFmt w:val="decimal"/>
      <w:suff w:val="nothing"/>
      <w:lvlText w:val="%1．"/>
      <w:lvlJc w:val="left"/>
      <w:pPr>
        <w:ind w:left="0" w:firstLine="400"/>
      </w:pPr>
      <w:rPr>
        <w:rFonts w:hint="default"/>
      </w:rPr>
    </w:lvl>
  </w:abstractNum>
  <w:abstractNum w:abstractNumId="5">
    <w:nsid w:val="C9A888B7"/>
    <w:multiLevelType w:val="singleLevel"/>
    <w:tmpl w:val="C9A888B7"/>
    <w:lvl w:ilvl="0" w:tentative="0">
      <w:start w:val="1"/>
      <w:numFmt w:val="decimal"/>
      <w:suff w:val="nothing"/>
      <w:lvlText w:val="%1．"/>
      <w:lvlJc w:val="left"/>
      <w:pPr>
        <w:ind w:left="0" w:firstLine="400"/>
      </w:pPr>
      <w:rPr>
        <w:rFonts w:hint="default"/>
      </w:rPr>
    </w:lvl>
  </w:abstractNum>
  <w:abstractNum w:abstractNumId="6">
    <w:nsid w:val="E822034B"/>
    <w:multiLevelType w:val="singleLevel"/>
    <w:tmpl w:val="E822034B"/>
    <w:lvl w:ilvl="0" w:tentative="0">
      <w:start w:val="1"/>
      <w:numFmt w:val="decimal"/>
      <w:suff w:val="nothing"/>
      <w:lvlText w:val="%1．"/>
      <w:lvlJc w:val="left"/>
      <w:pPr>
        <w:ind w:left="0" w:firstLine="400"/>
      </w:pPr>
      <w:rPr>
        <w:rFonts w:hint="default"/>
      </w:rPr>
    </w:lvl>
  </w:abstractNum>
  <w:abstractNum w:abstractNumId="7">
    <w:nsid w:val="EC07CC2F"/>
    <w:multiLevelType w:val="singleLevel"/>
    <w:tmpl w:val="EC07CC2F"/>
    <w:lvl w:ilvl="0" w:tentative="0">
      <w:start w:val="1"/>
      <w:numFmt w:val="chineseCounting"/>
      <w:suff w:val="nothing"/>
      <w:lvlText w:val="（%1）"/>
      <w:lvlJc w:val="left"/>
      <w:pPr>
        <w:ind w:left="0" w:firstLine="420"/>
      </w:pPr>
      <w:rPr>
        <w:rFonts w:hint="eastAsia"/>
      </w:rPr>
    </w:lvl>
  </w:abstractNum>
  <w:abstractNum w:abstractNumId="8">
    <w:nsid w:val="F103C2B8"/>
    <w:multiLevelType w:val="singleLevel"/>
    <w:tmpl w:val="F103C2B8"/>
    <w:lvl w:ilvl="0" w:tentative="0">
      <w:start w:val="1"/>
      <w:numFmt w:val="decimal"/>
      <w:suff w:val="nothing"/>
      <w:lvlText w:val="%1．"/>
      <w:lvlJc w:val="left"/>
      <w:pPr>
        <w:ind w:left="0" w:firstLine="400"/>
      </w:pPr>
      <w:rPr>
        <w:rFonts w:hint="default"/>
      </w:rPr>
    </w:lvl>
  </w:abstractNum>
  <w:abstractNum w:abstractNumId="9">
    <w:nsid w:val="F9E9F6B8"/>
    <w:multiLevelType w:val="singleLevel"/>
    <w:tmpl w:val="F9E9F6B8"/>
    <w:lvl w:ilvl="0" w:tentative="0">
      <w:start w:val="1"/>
      <w:numFmt w:val="decimal"/>
      <w:suff w:val="nothing"/>
      <w:lvlText w:val="%1．"/>
      <w:lvlJc w:val="left"/>
      <w:pPr>
        <w:ind w:left="0" w:firstLine="400"/>
      </w:pPr>
      <w:rPr>
        <w:rFonts w:hint="default"/>
      </w:rPr>
    </w:lvl>
  </w:abstractNum>
  <w:abstractNum w:abstractNumId="10">
    <w:nsid w:val="013A491F"/>
    <w:multiLevelType w:val="singleLevel"/>
    <w:tmpl w:val="013A491F"/>
    <w:lvl w:ilvl="0" w:tentative="0">
      <w:start w:val="1"/>
      <w:numFmt w:val="chineseCounting"/>
      <w:suff w:val="nothing"/>
      <w:lvlText w:val="（%1）"/>
      <w:lvlJc w:val="left"/>
      <w:pPr>
        <w:ind w:left="0" w:firstLine="420"/>
      </w:pPr>
      <w:rPr>
        <w:rFonts w:hint="eastAsia"/>
        <w:sz w:val="21"/>
        <w:szCs w:val="21"/>
      </w:rPr>
    </w:lvl>
  </w:abstractNum>
  <w:abstractNum w:abstractNumId="11">
    <w:nsid w:val="09E1C3D9"/>
    <w:multiLevelType w:val="singleLevel"/>
    <w:tmpl w:val="09E1C3D9"/>
    <w:lvl w:ilvl="0" w:tentative="0">
      <w:start w:val="1"/>
      <w:numFmt w:val="chineseCounting"/>
      <w:suff w:val="nothing"/>
      <w:lvlText w:val="（%1）"/>
      <w:lvlJc w:val="left"/>
      <w:pPr>
        <w:ind w:left="-420" w:firstLine="420"/>
      </w:pPr>
      <w:rPr>
        <w:rFonts w:hint="eastAsia"/>
        <w:lang w:val="en-US"/>
      </w:rPr>
    </w:lvl>
  </w:abstractNum>
  <w:abstractNum w:abstractNumId="12">
    <w:nsid w:val="0A77D6CF"/>
    <w:multiLevelType w:val="singleLevel"/>
    <w:tmpl w:val="0A77D6CF"/>
    <w:lvl w:ilvl="0" w:tentative="0">
      <w:start w:val="1"/>
      <w:numFmt w:val="decimal"/>
      <w:suff w:val="nothing"/>
      <w:lvlText w:val="%1．"/>
      <w:lvlJc w:val="left"/>
      <w:pPr>
        <w:ind w:left="0" w:firstLine="400"/>
      </w:pPr>
      <w:rPr>
        <w:rFonts w:hint="default"/>
      </w:rPr>
    </w:lvl>
  </w:abstractNum>
  <w:abstractNum w:abstractNumId="13">
    <w:nsid w:val="0AAD764B"/>
    <w:multiLevelType w:val="singleLevel"/>
    <w:tmpl w:val="0AAD764B"/>
    <w:lvl w:ilvl="0" w:tentative="0">
      <w:start w:val="10"/>
      <w:numFmt w:val="chineseCounting"/>
      <w:suff w:val="nothing"/>
      <w:lvlText w:val="%1、"/>
      <w:lvlJc w:val="left"/>
      <w:rPr>
        <w:rFonts w:hint="eastAsia"/>
      </w:rPr>
    </w:lvl>
  </w:abstractNum>
  <w:abstractNum w:abstractNumId="14">
    <w:nsid w:val="0B1A9F95"/>
    <w:multiLevelType w:val="singleLevel"/>
    <w:tmpl w:val="0B1A9F95"/>
    <w:lvl w:ilvl="0" w:tentative="0">
      <w:start w:val="1"/>
      <w:numFmt w:val="decimal"/>
      <w:suff w:val="nothing"/>
      <w:lvlText w:val="%1．"/>
      <w:lvlJc w:val="left"/>
      <w:pPr>
        <w:ind w:left="0" w:firstLine="400"/>
      </w:pPr>
      <w:rPr>
        <w:rFonts w:hint="default" w:ascii="宋体" w:hAnsi="宋体" w:eastAsia="宋体" w:cs="宋体"/>
        <w:sz w:val="21"/>
        <w:szCs w:val="21"/>
      </w:rPr>
    </w:lvl>
  </w:abstractNum>
  <w:abstractNum w:abstractNumId="15">
    <w:nsid w:val="18658703"/>
    <w:multiLevelType w:val="singleLevel"/>
    <w:tmpl w:val="18658703"/>
    <w:lvl w:ilvl="0" w:tentative="0">
      <w:start w:val="1"/>
      <w:numFmt w:val="chineseCounting"/>
      <w:suff w:val="nothing"/>
      <w:lvlText w:val="（%1）"/>
      <w:lvlJc w:val="left"/>
      <w:pPr>
        <w:ind w:left="0" w:firstLine="420"/>
      </w:pPr>
      <w:rPr>
        <w:rFonts w:hint="eastAsia"/>
      </w:rPr>
    </w:lvl>
  </w:abstractNum>
  <w:abstractNum w:abstractNumId="16">
    <w:nsid w:val="18A506F6"/>
    <w:multiLevelType w:val="singleLevel"/>
    <w:tmpl w:val="18A506F6"/>
    <w:lvl w:ilvl="0" w:tentative="0">
      <w:start w:val="1"/>
      <w:numFmt w:val="chineseCounting"/>
      <w:suff w:val="nothing"/>
      <w:lvlText w:val="（%1）"/>
      <w:lvlJc w:val="left"/>
      <w:pPr>
        <w:ind w:left="0" w:firstLine="420"/>
      </w:pPr>
      <w:rPr>
        <w:rFonts w:hint="eastAsia"/>
      </w:rPr>
    </w:lvl>
  </w:abstractNum>
  <w:abstractNum w:abstractNumId="17">
    <w:nsid w:val="1D290899"/>
    <w:multiLevelType w:val="singleLevel"/>
    <w:tmpl w:val="1D290899"/>
    <w:lvl w:ilvl="0" w:tentative="0">
      <w:start w:val="1"/>
      <w:numFmt w:val="decimal"/>
      <w:suff w:val="nothing"/>
      <w:lvlText w:val="%1．"/>
      <w:lvlJc w:val="left"/>
      <w:pPr>
        <w:ind w:left="0" w:firstLine="400"/>
      </w:pPr>
      <w:rPr>
        <w:rFonts w:hint="default"/>
      </w:rPr>
    </w:lvl>
  </w:abstractNum>
  <w:abstractNum w:abstractNumId="18">
    <w:nsid w:val="1F7F7E1B"/>
    <w:multiLevelType w:val="singleLevel"/>
    <w:tmpl w:val="1F7F7E1B"/>
    <w:lvl w:ilvl="0" w:tentative="0">
      <w:start w:val="1"/>
      <w:numFmt w:val="chineseCounting"/>
      <w:suff w:val="nothing"/>
      <w:lvlText w:val="（%1）"/>
      <w:lvlJc w:val="left"/>
      <w:pPr>
        <w:ind w:left="0" w:firstLine="420"/>
      </w:pPr>
      <w:rPr>
        <w:rFonts w:hint="eastAsia"/>
      </w:rPr>
    </w:lvl>
  </w:abstractNum>
  <w:abstractNum w:abstractNumId="19">
    <w:nsid w:val="210DE1CD"/>
    <w:multiLevelType w:val="singleLevel"/>
    <w:tmpl w:val="210DE1CD"/>
    <w:lvl w:ilvl="0" w:tentative="0">
      <w:start w:val="1"/>
      <w:numFmt w:val="decimal"/>
      <w:suff w:val="nothing"/>
      <w:lvlText w:val="%1．"/>
      <w:lvlJc w:val="left"/>
      <w:pPr>
        <w:ind w:left="0" w:firstLine="400"/>
      </w:pPr>
      <w:rPr>
        <w:rFonts w:hint="default"/>
      </w:rPr>
    </w:lvl>
  </w:abstractNum>
  <w:abstractNum w:abstractNumId="20">
    <w:nsid w:val="2A9583D7"/>
    <w:multiLevelType w:val="singleLevel"/>
    <w:tmpl w:val="2A9583D7"/>
    <w:lvl w:ilvl="0" w:tentative="0">
      <w:start w:val="1"/>
      <w:numFmt w:val="chineseCounting"/>
      <w:suff w:val="nothing"/>
      <w:lvlText w:val="（%1）"/>
      <w:lvlJc w:val="left"/>
      <w:pPr>
        <w:ind w:left="0" w:firstLine="420"/>
      </w:pPr>
      <w:rPr>
        <w:rFonts w:hint="eastAsia"/>
      </w:rPr>
    </w:lvl>
  </w:abstractNum>
  <w:abstractNum w:abstractNumId="21">
    <w:nsid w:val="3DFB43D5"/>
    <w:multiLevelType w:val="singleLevel"/>
    <w:tmpl w:val="3DFB43D5"/>
    <w:lvl w:ilvl="0" w:tentative="0">
      <w:start w:val="1"/>
      <w:numFmt w:val="decimal"/>
      <w:suff w:val="nothing"/>
      <w:lvlText w:val="%1．"/>
      <w:lvlJc w:val="left"/>
      <w:pPr>
        <w:ind w:left="0" w:firstLine="400"/>
      </w:pPr>
      <w:rPr>
        <w:rFonts w:hint="default"/>
      </w:rPr>
    </w:lvl>
  </w:abstractNum>
  <w:abstractNum w:abstractNumId="22">
    <w:nsid w:val="54E43289"/>
    <w:multiLevelType w:val="singleLevel"/>
    <w:tmpl w:val="54E43289"/>
    <w:lvl w:ilvl="0" w:tentative="0">
      <w:start w:val="1"/>
      <w:numFmt w:val="chineseCounting"/>
      <w:suff w:val="nothing"/>
      <w:lvlText w:val="（%1）"/>
      <w:lvlJc w:val="left"/>
      <w:pPr>
        <w:ind w:left="0" w:firstLine="420"/>
      </w:pPr>
      <w:rPr>
        <w:rFonts w:hint="eastAsia"/>
      </w:rPr>
    </w:lvl>
  </w:abstractNum>
  <w:abstractNum w:abstractNumId="23">
    <w:nsid w:val="5C361807"/>
    <w:multiLevelType w:val="singleLevel"/>
    <w:tmpl w:val="5C361807"/>
    <w:lvl w:ilvl="0" w:tentative="0">
      <w:start w:val="1"/>
      <w:numFmt w:val="decimal"/>
      <w:suff w:val="nothing"/>
      <w:lvlText w:val="%1．"/>
      <w:lvlJc w:val="left"/>
      <w:pPr>
        <w:ind w:left="0" w:firstLine="400"/>
      </w:pPr>
      <w:rPr>
        <w:rFonts w:hint="default"/>
      </w:rPr>
    </w:lvl>
  </w:abstractNum>
  <w:abstractNum w:abstractNumId="24">
    <w:nsid w:val="67FB5A5C"/>
    <w:multiLevelType w:val="singleLevel"/>
    <w:tmpl w:val="67FB5A5C"/>
    <w:lvl w:ilvl="0" w:tentative="0">
      <w:start w:val="1"/>
      <w:numFmt w:val="chineseCounting"/>
      <w:suff w:val="nothing"/>
      <w:lvlText w:val="（%1）"/>
      <w:lvlJc w:val="left"/>
      <w:pPr>
        <w:ind w:left="0" w:firstLine="420"/>
      </w:pPr>
      <w:rPr>
        <w:rFonts w:hint="eastAsia"/>
      </w:rPr>
    </w:lvl>
  </w:abstractNum>
  <w:abstractNum w:abstractNumId="25">
    <w:nsid w:val="7DECB1E0"/>
    <w:multiLevelType w:val="singleLevel"/>
    <w:tmpl w:val="7DECB1E0"/>
    <w:lvl w:ilvl="0" w:tentative="0">
      <w:start w:val="1"/>
      <w:numFmt w:val="decimal"/>
      <w:suff w:val="nothing"/>
      <w:lvlText w:val="%1．"/>
      <w:lvlJc w:val="left"/>
      <w:pPr>
        <w:ind w:left="0" w:firstLine="400"/>
      </w:pPr>
      <w:rPr>
        <w:rFonts w:hint="default"/>
      </w:rPr>
    </w:lvl>
  </w:abstractNum>
  <w:num w:numId="1">
    <w:abstractNumId w:val="1"/>
  </w:num>
  <w:num w:numId="2">
    <w:abstractNumId w:val="10"/>
  </w:num>
  <w:num w:numId="3">
    <w:abstractNumId w:val="14"/>
  </w:num>
  <w:num w:numId="4">
    <w:abstractNumId w:val="9"/>
  </w:num>
  <w:num w:numId="5">
    <w:abstractNumId w:val="17"/>
  </w:num>
  <w:num w:numId="6">
    <w:abstractNumId w:val="5"/>
  </w:num>
  <w:num w:numId="7">
    <w:abstractNumId w:val="6"/>
  </w:num>
  <w:num w:numId="8">
    <w:abstractNumId w:val="22"/>
  </w:num>
  <w:num w:numId="9">
    <w:abstractNumId w:val="16"/>
  </w:num>
  <w:num w:numId="10">
    <w:abstractNumId w:val="20"/>
  </w:num>
  <w:num w:numId="11">
    <w:abstractNumId w:val="19"/>
  </w:num>
  <w:num w:numId="12">
    <w:abstractNumId w:val="4"/>
  </w:num>
  <w:num w:numId="13">
    <w:abstractNumId w:val="7"/>
  </w:num>
  <w:num w:numId="14">
    <w:abstractNumId w:val="24"/>
  </w:num>
  <w:num w:numId="15">
    <w:abstractNumId w:val="3"/>
  </w:num>
  <w:num w:numId="16">
    <w:abstractNumId w:val="23"/>
  </w:num>
  <w:num w:numId="17">
    <w:abstractNumId w:val="15"/>
  </w:num>
  <w:num w:numId="18">
    <w:abstractNumId w:val="13"/>
  </w:num>
  <w:num w:numId="19">
    <w:abstractNumId w:val="0"/>
  </w:num>
  <w:num w:numId="20">
    <w:abstractNumId w:val="8"/>
  </w:num>
  <w:num w:numId="21">
    <w:abstractNumId w:val="21"/>
  </w:num>
  <w:num w:numId="22">
    <w:abstractNumId w:val="12"/>
  </w:num>
  <w:num w:numId="23">
    <w:abstractNumId w:val="25"/>
  </w:num>
  <w:num w:numId="24">
    <w:abstractNumId w:val="2"/>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FFFA65F"/>
    <w:rsid w:val="6EAF2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2"/>
    <w:basedOn w:val="3"/>
    <w:next w:val="4"/>
    <w:qFormat/>
    <w:uiPriority w:val="0"/>
    <w:pPr>
      <w:widowControl/>
      <w:adjustRightInd w:val="0"/>
      <w:snapToGrid w:val="0"/>
      <w:spacing w:line="300" w:lineRule="auto"/>
      <w:ind w:left="924" w:leftChars="200" w:hanging="504" w:hangingChars="200"/>
      <w:jc w:val="left"/>
      <w:textAlignment w:val="baseline"/>
    </w:pPr>
    <w:rPr>
      <w:rFonts w:ascii="宋体" w:hAnsi="宋体" w:cs="宋体"/>
      <w:snapToGrid w:val="0"/>
      <w:spacing w:val="4"/>
      <w:kern w:val="0"/>
      <w:sz w:val="24"/>
    </w:rPr>
  </w:style>
  <w:style w:type="paragraph" w:styleId="3">
    <w:name w:val="Normal Indent"/>
    <w:basedOn w:val="1"/>
    <w:qFormat/>
    <w:uiPriority w:val="0"/>
    <w:pPr>
      <w:ind w:firstLine="420" w:firstLineChars="200"/>
    </w:pPr>
  </w:style>
  <w:style w:type="paragraph" w:styleId="5">
    <w:name w:val="index 8"/>
    <w:basedOn w:val="1"/>
    <w:next w:val="1"/>
    <w:qFormat/>
    <w:uiPriority w:val="0"/>
    <w:pPr>
      <w:ind w:left="1400" w:leftChars="1400"/>
    </w:pPr>
  </w:style>
  <w:style w:type="paragraph" w:styleId="6">
    <w:name w:val="Plain Text"/>
    <w:basedOn w:val="1"/>
    <w:next w:val="5"/>
    <w:qFormat/>
    <w:uiPriority w:val="99"/>
    <w:rPr>
      <w:rFonts w:ascii="宋体" w:hAnsi="Courier New"/>
      <w:szCs w:val="21"/>
    </w:rPr>
  </w:style>
  <w:style w:type="paragraph" w:styleId="7">
    <w:name w:val="Normal (Web)"/>
    <w:basedOn w:val="1"/>
    <w:qFormat/>
    <w:uiPriority w:val="0"/>
    <w:pPr>
      <w:widowControl/>
      <w:spacing w:before="100" w:beforeAutospacing="1" w:after="100" w:afterAutospacing="1" w:line="240" w:lineRule="auto"/>
      <w:ind w:left="0"/>
      <w:jc w:val="left"/>
    </w:pPr>
    <w:rPr>
      <w:rFonts w:ascii="宋体" w:hAnsi="宋体"/>
      <w:kern w:val="0"/>
      <w:sz w:val="24"/>
    </w:rPr>
  </w:style>
  <w:style w:type="character" w:styleId="10">
    <w:name w:val="annotation reference"/>
    <w:basedOn w:val="9"/>
    <w:semiHidden/>
    <w:qFormat/>
    <w:uiPriority w:val="0"/>
    <w:rPr>
      <w:sz w:val="21"/>
      <w:szCs w:val="21"/>
    </w:rPr>
  </w:style>
  <w:style w:type="paragraph" w:styleId="11">
    <w:name w:val="List Paragraph"/>
    <w:basedOn w:val="1"/>
    <w:qFormat/>
    <w:uiPriority w:val="34"/>
    <w:pPr>
      <w:ind w:firstLine="420" w:firstLineChars="200"/>
    </w:pPr>
  </w:style>
  <w:style w:type="paragraph" w:customStyle="1" w:styleId="12">
    <w:name w:val="列表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huawei</cp:lastModifiedBy>
  <dcterms:modified xsi:type="dcterms:W3CDTF">2025-06-16T15:37:37Z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