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jc w:val="both"/>
        <w:textAlignment w:val="auto"/>
        <w:rPr>
          <w:rFonts w:hint="eastAsia" w:ascii="仿宋_GB2312" w:hAnsi="Times New Roman" w:eastAsia="仿宋_GB2312" w:cs="Times New Roman"/>
          <w:b w:val="0"/>
          <w:bCs w:val="0"/>
          <w:sz w:val="30"/>
          <w:szCs w:val="30"/>
        </w:rPr>
      </w:pPr>
      <w:r>
        <w:rPr>
          <w:rFonts w:hint="eastAsia" w:ascii="仿宋_GB2312" w:hAnsi="Times New Roman" w:eastAsia="仿宋_GB2312" w:cs="Times New Roman"/>
          <w:b w:val="0"/>
          <w:bCs w:val="0"/>
          <w:sz w:val="30"/>
          <w:szCs w:val="30"/>
        </w:rPr>
        <w:t>附件</w:t>
      </w:r>
      <w:r>
        <w:rPr>
          <w:rFonts w:hint="eastAsia" w:ascii="仿宋_GB2312" w:hAnsi="Times New Roman" w:eastAsia="仿宋_GB2312" w:cs="Times New Roman"/>
          <w:b w:val="0"/>
          <w:bCs w:val="0"/>
          <w:sz w:val="30"/>
          <w:szCs w:val="30"/>
          <w:lang w:val="en-US" w:eastAsia="zh-CN"/>
        </w:rPr>
        <w:t>3</w:t>
      </w:r>
      <w:r>
        <w:rPr>
          <w:rFonts w:hint="eastAsia" w:ascii="仿宋_GB2312" w:hAnsi="Times New Roman" w:eastAsia="仿宋_GB2312" w:cs="Times New Roman"/>
          <w:b w:val="0"/>
          <w:bCs w:val="0"/>
          <w:sz w:val="30"/>
          <w:szCs w:val="30"/>
        </w:rPr>
        <w:t>：综合评审表</w:t>
      </w:r>
    </w:p>
    <w:tbl>
      <w:tblPr>
        <w:tblStyle w:val="7"/>
        <w:tblW w:w="48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579"/>
        <w:gridCol w:w="4320"/>
        <w:gridCol w:w="813"/>
        <w:gridCol w:w="813"/>
        <w:gridCol w:w="417"/>
        <w:gridCol w:w="503"/>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tblHeader/>
        </w:trPr>
        <w:tc>
          <w:tcPr>
            <w:tcW w:w="19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bookmarkStart w:id="0" w:name="_Hlk17297611"/>
            <w:r>
              <w:rPr>
                <w:rFonts w:hint="eastAsia" w:ascii="宋体" w:hAnsi="宋体" w:eastAsia="宋体" w:cs="宋体"/>
                <w:b/>
                <w:color w:val="auto"/>
                <w:sz w:val="21"/>
                <w:szCs w:val="21"/>
              </w:rPr>
              <w:t>序号</w:t>
            </w:r>
          </w:p>
        </w:tc>
        <w:tc>
          <w:tcPr>
            <w:tcW w:w="34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项目</w:t>
            </w:r>
          </w:p>
        </w:tc>
        <w:tc>
          <w:tcPr>
            <w:tcW w:w="259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评审标准</w:t>
            </w:r>
          </w:p>
        </w:tc>
        <w:tc>
          <w:tcPr>
            <w:tcW w:w="48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证明</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材料</w:t>
            </w:r>
          </w:p>
        </w:tc>
        <w:tc>
          <w:tcPr>
            <w:tcW w:w="48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单位</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A</w:t>
            </w:r>
          </w:p>
        </w:tc>
        <w:tc>
          <w:tcPr>
            <w:tcW w:w="30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单位</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B</w:t>
            </w:r>
          </w:p>
        </w:tc>
        <w:tc>
          <w:tcPr>
            <w:tcW w:w="32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单位</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0" w:hRule="atLeast"/>
        </w:trPr>
        <w:tc>
          <w:tcPr>
            <w:tcW w:w="19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p>
        </w:tc>
        <w:tc>
          <w:tcPr>
            <w:tcW w:w="348" w:type="pct"/>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同类业绩情况</w:t>
            </w:r>
          </w:p>
        </w:tc>
        <w:tc>
          <w:tcPr>
            <w:tcW w:w="2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1" w:firstLineChars="200"/>
              <w:jc w:val="both"/>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投标人</w:t>
            </w:r>
            <w:r>
              <w:rPr>
                <w:rFonts w:hint="eastAsia" w:ascii="宋体" w:hAnsi="宋体" w:eastAsia="宋体" w:cs="宋体"/>
                <w:b/>
                <w:bCs/>
                <w:color w:val="auto"/>
                <w:kern w:val="0"/>
                <w:sz w:val="21"/>
                <w:szCs w:val="21"/>
              </w:rPr>
              <w:t>近</w:t>
            </w:r>
            <w:r>
              <w:rPr>
                <w:rFonts w:hint="eastAsia" w:ascii="宋体" w:hAnsi="宋体" w:eastAsia="宋体" w:cs="宋体"/>
                <w:b/>
                <w:bCs/>
                <w:color w:val="auto"/>
                <w:kern w:val="0"/>
                <w:sz w:val="21"/>
                <w:szCs w:val="21"/>
                <w:lang w:val="en-US" w:eastAsia="zh-CN"/>
              </w:rPr>
              <w:t>5</w:t>
            </w:r>
            <w:r>
              <w:rPr>
                <w:rFonts w:hint="eastAsia" w:ascii="宋体" w:hAnsi="宋体" w:eastAsia="宋体" w:cs="宋体"/>
                <w:b/>
                <w:bCs/>
                <w:color w:val="auto"/>
                <w:kern w:val="0"/>
                <w:sz w:val="21"/>
                <w:szCs w:val="21"/>
              </w:rPr>
              <w:t>年（</w:t>
            </w:r>
            <w:r>
              <w:rPr>
                <w:rFonts w:hint="eastAsia" w:ascii="宋体" w:hAnsi="宋体" w:eastAsia="宋体" w:cs="宋体"/>
                <w:b/>
                <w:bCs/>
                <w:color w:val="auto"/>
                <w:kern w:val="0"/>
                <w:sz w:val="21"/>
                <w:szCs w:val="21"/>
                <w:lang w:val="en-US" w:eastAsia="zh-CN"/>
              </w:rPr>
              <w:t>自招标文件发布之日起倒算</w:t>
            </w:r>
            <w:r>
              <w:rPr>
                <w:rFonts w:hint="eastAsia" w:ascii="宋体" w:hAnsi="宋体" w:eastAsia="宋体" w:cs="宋体"/>
                <w:b/>
                <w:bCs/>
                <w:color w:val="auto"/>
                <w:kern w:val="0"/>
                <w:sz w:val="21"/>
                <w:szCs w:val="21"/>
              </w:rPr>
              <w:t>）</w:t>
            </w:r>
            <w:r>
              <w:rPr>
                <w:rFonts w:hint="eastAsia" w:ascii="宋体" w:hAnsi="宋体" w:eastAsia="宋体" w:cs="宋体"/>
                <w:b/>
                <w:bCs/>
                <w:color w:val="auto"/>
                <w:kern w:val="0"/>
                <w:sz w:val="21"/>
                <w:szCs w:val="21"/>
                <w:lang w:val="en-US" w:eastAsia="zh-CN"/>
              </w:rPr>
              <w:t>内在国内提供酒店顾问咨询服务案例</w:t>
            </w:r>
            <w:r>
              <w:rPr>
                <w:rFonts w:hint="eastAsia" w:ascii="宋体" w:hAnsi="宋体" w:eastAsia="宋体" w:cs="宋体"/>
                <w:b/>
                <w:bCs/>
                <w:color w:val="auto"/>
                <w:kern w:val="0"/>
                <w:sz w:val="21"/>
                <w:szCs w:val="21"/>
              </w:rPr>
              <w:t>，</w:t>
            </w:r>
            <w:r>
              <w:rPr>
                <w:rFonts w:hint="eastAsia" w:ascii="宋体" w:hAnsi="宋体" w:eastAsia="宋体" w:cs="宋体"/>
                <w:b/>
                <w:bCs/>
                <w:color w:val="auto"/>
                <w:kern w:val="0"/>
                <w:sz w:val="21"/>
                <w:szCs w:val="21"/>
                <w:lang w:val="en-US" w:eastAsia="zh-CN"/>
              </w:rPr>
              <w:t>其中：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酒店项目开业筹备顾问服务、酒店项目全过程顾问服务或预算审查咨询服务的项目案例1个得2分，满分10分。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rPr>
              <w:t>说明：</w:t>
            </w:r>
            <w:r>
              <w:rPr>
                <w:rFonts w:hint="eastAsia" w:ascii="宋体" w:hAnsi="宋体" w:eastAsia="宋体" w:cs="宋体"/>
                <w:b w:val="0"/>
                <w:bCs w:val="0"/>
                <w:color w:val="auto"/>
                <w:kern w:val="0"/>
                <w:sz w:val="21"/>
                <w:szCs w:val="21"/>
              </w:rPr>
              <w:t>案例的服务内容需提供合同</w:t>
            </w:r>
            <w:r>
              <w:rPr>
                <w:rFonts w:hint="eastAsia" w:ascii="宋体" w:hAnsi="宋体" w:eastAsia="宋体" w:cs="宋体"/>
                <w:b w:val="0"/>
                <w:bCs w:val="0"/>
                <w:color w:val="auto"/>
                <w:kern w:val="0"/>
                <w:sz w:val="21"/>
                <w:szCs w:val="21"/>
                <w:lang w:val="en-US" w:eastAsia="zh-CN"/>
              </w:rPr>
              <w:t>封面、首页、服务内容页、合同签署盖章页等关键页面扫描件；</w:t>
            </w:r>
            <w:r>
              <w:rPr>
                <w:rFonts w:hint="eastAsia" w:ascii="宋体" w:hAnsi="宋体" w:eastAsia="宋体" w:cs="宋体"/>
                <w:b w:val="0"/>
                <w:bCs w:val="0"/>
                <w:color w:val="auto"/>
                <w:kern w:val="0"/>
                <w:sz w:val="21"/>
                <w:szCs w:val="21"/>
              </w:rPr>
              <w:t>同一项目不重复计分。</w:t>
            </w:r>
          </w:p>
        </w:tc>
        <w:tc>
          <w:tcPr>
            <w:tcW w:w="4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提供相应合同文件，并加盖公章</w:t>
            </w:r>
          </w:p>
        </w:tc>
        <w:tc>
          <w:tcPr>
            <w:tcW w:w="48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0分</w:t>
            </w:r>
          </w:p>
        </w:tc>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30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32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1" w:hRule="atLeast"/>
        </w:trPr>
        <w:tc>
          <w:tcPr>
            <w:tcW w:w="19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p>
        </w:tc>
        <w:tc>
          <w:tcPr>
            <w:tcW w:w="348" w:type="pct"/>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团队成员配置评分</w:t>
            </w:r>
          </w:p>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bCs/>
                <w:color w:val="auto"/>
                <w:sz w:val="21"/>
                <w:szCs w:val="21"/>
              </w:rPr>
            </w:pPr>
          </w:p>
        </w:tc>
        <w:tc>
          <w:tcPr>
            <w:tcW w:w="2599" w:type="pct"/>
            <w:noWrap w:val="0"/>
            <w:vAlign w:val="center"/>
          </w:tcPr>
          <w:p>
            <w:pPr>
              <w:numPr>
                <w:ilvl w:val="0"/>
                <w:numId w:val="1"/>
              </w:numPr>
              <w:ind w:left="0" w:leftChars="0" w:firstLine="421" w:firstLineChars="200"/>
              <w:rPr>
                <w:rFonts w:hint="eastAsia"/>
                <w:color w:val="auto"/>
                <w:lang w:val="en-US" w:eastAsia="zh-CN"/>
              </w:rPr>
            </w:pPr>
            <w:r>
              <w:rPr>
                <w:rFonts w:hint="eastAsia"/>
                <w:b/>
                <w:bCs/>
                <w:color w:val="auto"/>
                <w:lang w:val="en-US" w:eastAsia="zh-CN"/>
              </w:rPr>
              <w:t>拟派项目负责人近5年(自招标文件发布之日起倒算)内在国内提供酒店</w:t>
            </w:r>
            <w:r>
              <w:rPr>
                <w:rFonts w:hint="eastAsia" w:ascii="宋体" w:hAnsi="宋体" w:eastAsia="宋体" w:cs="宋体"/>
                <w:b/>
                <w:bCs/>
                <w:color w:val="auto"/>
                <w:kern w:val="0"/>
                <w:sz w:val="21"/>
                <w:szCs w:val="21"/>
                <w:lang w:val="en-US" w:eastAsia="zh-CN"/>
              </w:rPr>
              <w:t>顾问</w:t>
            </w:r>
            <w:r>
              <w:rPr>
                <w:rFonts w:hint="eastAsia"/>
                <w:b/>
                <w:bCs/>
                <w:color w:val="auto"/>
                <w:lang w:val="en-US" w:eastAsia="zh-CN"/>
              </w:rPr>
              <w:t>咨询服务案例，满分10分。其中：</w:t>
            </w:r>
          </w:p>
          <w:p>
            <w:pPr>
              <w:numPr>
                <w:ilvl w:val="0"/>
                <w:numId w:val="0"/>
              </w:numPr>
              <w:ind w:firstLine="420" w:firstLineChars="200"/>
              <w:rPr>
                <w:rFonts w:hint="eastAsia"/>
                <w:color w:val="auto"/>
                <w:lang w:val="en-US" w:eastAsia="zh-CN"/>
              </w:rPr>
            </w:pPr>
            <w:r>
              <w:rPr>
                <w:rFonts w:hint="eastAsia" w:ascii="宋体" w:hAnsi="宋体" w:eastAsia="宋体" w:cs="宋体"/>
                <w:color w:val="auto"/>
                <w:kern w:val="0"/>
                <w:sz w:val="21"/>
                <w:szCs w:val="21"/>
                <w:lang w:val="en-US" w:eastAsia="zh-CN"/>
              </w:rPr>
              <w:t>酒店项目开业筹备顾问服务、酒店项目全过程顾问服务或预算审查咨询服务</w:t>
            </w:r>
            <w:r>
              <w:rPr>
                <w:rFonts w:hint="eastAsia"/>
                <w:color w:val="auto"/>
                <w:lang w:val="en-US" w:eastAsia="zh-CN"/>
              </w:rPr>
              <w:t>案例≥3个，则每个酒店管理咨询服务案例得2分，最高10分;</w:t>
            </w:r>
          </w:p>
          <w:p>
            <w:pPr>
              <w:rPr>
                <w:rFonts w:hint="eastAsia"/>
                <w:color w:val="auto"/>
                <w:lang w:val="en-US" w:eastAsia="zh-CN"/>
              </w:rPr>
            </w:pPr>
            <w:r>
              <w:rPr>
                <w:rFonts w:hint="eastAsia"/>
                <w:b/>
                <w:bCs/>
                <w:color w:val="auto"/>
                <w:lang w:val="en-US" w:eastAsia="zh-CN"/>
              </w:rPr>
              <w:t>说明：</w:t>
            </w:r>
            <w:r>
              <w:rPr>
                <w:rFonts w:hint="eastAsia"/>
                <w:color w:val="auto"/>
                <w:lang w:val="en-US" w:eastAsia="zh-CN"/>
              </w:rPr>
              <w:t>(1)需提供合同封面、首页、服务内容页、合同签署盖章页并体现项目负责人/指定对接人等关键页扫描件；(2)同一份合同内有两个或以上酒店项目案例的，可按酒店品牌名计算。</w:t>
            </w:r>
          </w:p>
          <w:p>
            <w:pPr>
              <w:numPr>
                <w:ilvl w:val="0"/>
                <w:numId w:val="1"/>
              </w:numPr>
              <w:ind w:left="0" w:leftChars="0" w:firstLine="421" w:firstLineChars="200"/>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拟派项目服务团队成员应有酒店类、管理类、财务类本科（含）以上学历，且均有四星级（含）以上档次酒店提供类似顾问服务经验，</w:t>
            </w:r>
            <w:r>
              <w:rPr>
                <w:rFonts w:hint="eastAsia"/>
                <w:b/>
                <w:bCs/>
                <w:color w:val="auto"/>
                <w:lang w:val="en-US" w:eastAsia="zh-CN"/>
              </w:rPr>
              <w:t>满分5分</w:t>
            </w:r>
            <w:r>
              <w:rPr>
                <w:rFonts w:hint="eastAsia" w:ascii="Times New Roman" w:hAnsi="Times New Roman" w:eastAsia="宋体" w:cs="Times New Roman"/>
                <w:b/>
                <w:bCs/>
                <w:color w:val="auto"/>
                <w:lang w:val="en-US" w:eastAsia="zh-CN"/>
              </w:rPr>
              <w:t>：</w:t>
            </w:r>
          </w:p>
          <w:p>
            <w:pPr>
              <w:ind w:firstLine="420" w:firstLineChars="200"/>
              <w:rPr>
                <w:rFonts w:hint="eastAsia" w:eastAsia="宋体" w:cs="Times New Roman"/>
                <w:color w:val="auto"/>
                <w:lang w:val="en-US" w:eastAsia="zh-CN"/>
              </w:rPr>
            </w:pPr>
            <w:r>
              <w:rPr>
                <w:rFonts w:hint="eastAsia" w:eastAsia="宋体" w:cs="Times New Roman"/>
                <w:color w:val="auto"/>
                <w:lang w:val="en-US" w:eastAsia="zh-CN"/>
              </w:rPr>
              <w:t>（1）项目团队人员≥5人且完全满足以上专业类别的得2分，部分满足或全不满足的不得分；</w:t>
            </w:r>
          </w:p>
          <w:p>
            <w:pPr>
              <w:ind w:firstLine="420" w:firstLineChars="200"/>
              <w:rPr>
                <w:rFonts w:hint="eastAsia" w:eastAsia="宋体" w:cs="Times New Roman"/>
                <w:color w:val="auto"/>
                <w:lang w:val="en-US" w:eastAsia="zh-CN"/>
              </w:rPr>
            </w:pPr>
            <w:r>
              <w:rPr>
                <w:rFonts w:hint="eastAsia" w:eastAsia="宋体" w:cs="Times New Roman"/>
                <w:color w:val="auto"/>
                <w:lang w:val="en-US" w:eastAsia="zh-CN"/>
              </w:rPr>
              <w:t>（2）项目团队人员从事本行业工作≥8年的，每位成员计1分，该项最高得3分。</w:t>
            </w:r>
          </w:p>
          <w:p>
            <w:pPr>
              <w:rPr>
                <w:rFonts w:hint="eastAsia" w:ascii="宋体" w:hAnsi="宋体" w:eastAsia="宋体" w:cs="宋体"/>
                <w:color w:val="auto"/>
                <w:kern w:val="0"/>
                <w:sz w:val="21"/>
                <w:szCs w:val="21"/>
              </w:rPr>
            </w:pPr>
            <w:r>
              <w:rPr>
                <w:rFonts w:hint="eastAsia" w:eastAsia="宋体" w:cs="Times New Roman"/>
                <w:color w:val="auto"/>
                <w:lang w:val="en-US" w:eastAsia="zh-CN"/>
              </w:rPr>
              <w:t>说明：提供项目团队人员简历及相关证明文件，包括但不限于学历/毕业证书、近三个月的社保证明（</w:t>
            </w:r>
            <w:r>
              <w:rPr>
                <w:rFonts w:hint="eastAsia" w:ascii="Times New Roman" w:hAnsi="Times New Roman" w:eastAsia="宋体" w:cs="Times New Roman"/>
                <w:color w:val="auto"/>
                <w:lang w:val="en-US" w:eastAsia="zh-CN"/>
              </w:rPr>
              <w:t>自招标文件发布之日起倒算</w:t>
            </w:r>
            <w:r>
              <w:rPr>
                <w:rFonts w:hint="eastAsia" w:eastAsia="宋体" w:cs="Times New Roman"/>
                <w:color w:val="auto"/>
                <w:lang w:val="en-US" w:eastAsia="zh-CN"/>
              </w:rPr>
              <w:t>），不允许外聘或返聘。</w:t>
            </w:r>
          </w:p>
        </w:tc>
        <w:tc>
          <w:tcPr>
            <w:tcW w:w="4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提供拟派遣人员学历证书、专业证书（如相关专业毕业证、从业证明等）复印件、从业时间等资料加盖公章</w:t>
            </w:r>
          </w:p>
        </w:tc>
        <w:tc>
          <w:tcPr>
            <w:tcW w:w="48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w:t>
            </w:r>
          </w:p>
        </w:tc>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30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32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0" w:hRule="atLeast"/>
        </w:trPr>
        <w:tc>
          <w:tcPr>
            <w:tcW w:w="19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w:t>
            </w:r>
          </w:p>
        </w:tc>
        <w:tc>
          <w:tcPr>
            <w:tcW w:w="348" w:type="pct"/>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响应文件编制质量</w:t>
            </w:r>
          </w:p>
        </w:tc>
        <w:tc>
          <w:tcPr>
            <w:tcW w:w="2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Chars="100"/>
              <w:jc w:val="both"/>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1、响应文件有缺漏项或出现前后不一致但未导致实质性偏离；</w:t>
            </w:r>
          </w:p>
          <w:p>
            <w:pPr>
              <w:keepNext w:val="0"/>
              <w:keepLines w:val="0"/>
              <w:pageBreakBefore w:val="0"/>
              <w:widowControl w:val="0"/>
              <w:kinsoku/>
              <w:wordWrap/>
              <w:overflowPunct/>
              <w:topLinePunct w:val="0"/>
              <w:autoSpaceDE/>
              <w:autoSpaceDN/>
              <w:bidi w:val="0"/>
              <w:adjustRightInd/>
              <w:snapToGrid/>
              <w:spacing w:line="240" w:lineRule="auto"/>
              <w:ind w:leftChars="100"/>
              <w:jc w:val="both"/>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2、响应文件资料扫描不清晰的；</w:t>
            </w:r>
          </w:p>
          <w:p>
            <w:pPr>
              <w:keepNext w:val="0"/>
              <w:keepLines w:val="0"/>
              <w:pageBreakBefore w:val="0"/>
              <w:widowControl w:val="0"/>
              <w:kinsoku/>
              <w:wordWrap/>
              <w:overflowPunct/>
              <w:topLinePunct w:val="0"/>
              <w:autoSpaceDE/>
              <w:autoSpaceDN/>
              <w:bidi w:val="0"/>
              <w:adjustRightInd/>
              <w:snapToGrid/>
              <w:spacing w:line="240" w:lineRule="auto"/>
              <w:ind w:leftChars="100"/>
              <w:jc w:val="both"/>
              <w:textAlignment w:val="auto"/>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3、响应文件未按节点编排的</w:t>
            </w:r>
            <w:r>
              <w:rPr>
                <w:rFonts w:hint="eastAsia" w:ascii="宋体" w:hAnsi="宋体" w:eastAsia="宋体" w:cs="宋体"/>
                <w:color w:val="auto"/>
                <w:kern w:val="0"/>
                <w:sz w:val="21"/>
                <w:szCs w:val="21"/>
                <w:lang w:eastAsia="zh-CN" w:bidi="ar"/>
              </w:rPr>
              <w:t>；</w:t>
            </w:r>
          </w:p>
          <w:p>
            <w:pPr>
              <w:pStyle w:val="6"/>
              <w:keepNext w:val="0"/>
              <w:keepLines w:val="0"/>
              <w:pageBreakBefore w:val="0"/>
              <w:widowControl w:val="0"/>
              <w:kinsoku/>
              <w:wordWrap/>
              <w:overflowPunct/>
              <w:topLinePunct w:val="0"/>
              <w:autoSpaceDE/>
              <w:autoSpaceDN/>
              <w:bidi w:val="0"/>
              <w:adjustRightInd/>
              <w:snapToGrid/>
              <w:spacing w:line="240" w:lineRule="auto"/>
              <w:ind w:left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4、响应文件未能涵盖整体任务书工作要求的。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lang w:bidi="ar"/>
              </w:rPr>
            </w:pPr>
            <w:r>
              <w:rPr>
                <w:rFonts w:hint="eastAsia" w:ascii="宋体" w:hAnsi="宋体" w:eastAsia="宋体" w:cs="宋体"/>
                <w:b/>
                <w:bCs/>
                <w:color w:val="auto"/>
                <w:kern w:val="0"/>
                <w:sz w:val="21"/>
                <w:szCs w:val="21"/>
                <w:lang w:bidi="ar"/>
              </w:rPr>
              <w:t>以上情况每出现一种扣</w:t>
            </w:r>
            <w:r>
              <w:rPr>
                <w:rFonts w:hint="eastAsia" w:ascii="宋体" w:hAnsi="宋体" w:eastAsia="宋体" w:cs="宋体"/>
                <w:b/>
                <w:bCs/>
                <w:color w:val="auto"/>
                <w:kern w:val="0"/>
                <w:sz w:val="21"/>
                <w:szCs w:val="21"/>
                <w:lang w:val="en-US" w:eastAsia="zh-CN" w:bidi="ar"/>
              </w:rPr>
              <w:t>5</w:t>
            </w:r>
            <w:r>
              <w:rPr>
                <w:rFonts w:hint="eastAsia" w:ascii="宋体" w:hAnsi="宋体" w:eastAsia="宋体" w:cs="宋体"/>
                <w:b/>
                <w:bCs/>
                <w:color w:val="auto"/>
                <w:kern w:val="0"/>
                <w:sz w:val="21"/>
                <w:szCs w:val="21"/>
                <w:lang w:bidi="ar"/>
              </w:rPr>
              <w:t>分，最低0分。无上述情况本项得</w:t>
            </w:r>
            <w:r>
              <w:rPr>
                <w:rFonts w:hint="eastAsia" w:ascii="宋体" w:hAnsi="宋体" w:eastAsia="宋体" w:cs="宋体"/>
                <w:b/>
                <w:bCs/>
                <w:color w:val="auto"/>
                <w:kern w:val="0"/>
                <w:sz w:val="21"/>
                <w:szCs w:val="21"/>
                <w:lang w:val="en-US" w:eastAsia="zh-CN" w:bidi="ar"/>
              </w:rPr>
              <w:t>10</w:t>
            </w:r>
            <w:r>
              <w:rPr>
                <w:rFonts w:hint="eastAsia" w:ascii="宋体" w:hAnsi="宋体" w:eastAsia="宋体" w:cs="宋体"/>
                <w:b/>
                <w:bCs/>
                <w:color w:val="auto"/>
                <w:kern w:val="0"/>
                <w:sz w:val="21"/>
                <w:szCs w:val="21"/>
                <w:lang w:bidi="ar"/>
              </w:rPr>
              <w:t>分。</w:t>
            </w:r>
          </w:p>
        </w:tc>
        <w:tc>
          <w:tcPr>
            <w:tcW w:w="4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提供完整投标文件，专家评审</w:t>
            </w:r>
          </w:p>
        </w:tc>
        <w:tc>
          <w:tcPr>
            <w:tcW w:w="488" w:type="pct"/>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10分</w:t>
            </w:r>
          </w:p>
        </w:tc>
        <w:tc>
          <w:tcPr>
            <w:tcW w:w="250" w:type="pct"/>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302" w:type="pct"/>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321" w:type="pct"/>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1" w:hRule="atLeast"/>
        </w:trPr>
        <w:tc>
          <w:tcPr>
            <w:tcW w:w="19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4</w:t>
            </w:r>
          </w:p>
        </w:tc>
        <w:tc>
          <w:tcPr>
            <w:tcW w:w="348" w:type="pct"/>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技术服务方案评审</w:t>
            </w:r>
          </w:p>
        </w:tc>
        <w:tc>
          <w:tcPr>
            <w:tcW w:w="2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1" w:firstLineChars="200"/>
              <w:jc w:val="both"/>
              <w:textAlignment w:val="auto"/>
              <w:rPr>
                <w:rFonts w:hint="eastAsia"/>
              </w:rPr>
            </w:pPr>
            <w:r>
              <w:rPr>
                <w:rFonts w:hint="eastAsia"/>
                <w:b/>
                <w:bCs/>
              </w:rPr>
              <w:t>对本项目工作内容的理解是否全面、准确进行横向比较评分：评优得</w:t>
            </w:r>
            <w:r>
              <w:rPr>
                <w:rFonts w:hint="eastAsia"/>
                <w:b/>
                <w:bCs/>
                <w:lang w:val="en-US" w:eastAsia="zh-CN"/>
              </w:rPr>
              <w:t>28</w:t>
            </w:r>
            <w:r>
              <w:rPr>
                <w:rFonts w:hint="eastAsia"/>
                <w:b/>
                <w:bCs/>
              </w:rPr>
              <w:t>～</w:t>
            </w:r>
            <w:r>
              <w:rPr>
                <w:rFonts w:hint="eastAsia"/>
                <w:b/>
                <w:bCs/>
                <w:lang w:val="en-US" w:eastAsia="zh-CN"/>
              </w:rPr>
              <w:t>35</w:t>
            </w:r>
            <w:r>
              <w:rPr>
                <w:rFonts w:hint="eastAsia"/>
                <w:b/>
                <w:bCs/>
              </w:rPr>
              <w:t>分，良得</w:t>
            </w:r>
            <w:r>
              <w:rPr>
                <w:rFonts w:hint="eastAsia"/>
                <w:b/>
                <w:bCs/>
                <w:lang w:val="en-US" w:eastAsia="zh-CN"/>
              </w:rPr>
              <w:t>19</w:t>
            </w:r>
            <w:r>
              <w:rPr>
                <w:rFonts w:hint="eastAsia"/>
                <w:b/>
                <w:bCs/>
              </w:rPr>
              <w:t>～</w:t>
            </w:r>
            <w:r>
              <w:rPr>
                <w:rFonts w:hint="eastAsia"/>
                <w:b/>
                <w:bCs/>
                <w:lang w:val="en-US" w:eastAsia="zh-CN"/>
              </w:rPr>
              <w:t>27</w:t>
            </w:r>
            <w:r>
              <w:rPr>
                <w:rFonts w:hint="eastAsia"/>
                <w:b/>
                <w:bCs/>
              </w:rPr>
              <w:t>分，中得</w:t>
            </w:r>
            <w:r>
              <w:rPr>
                <w:rFonts w:hint="eastAsia"/>
                <w:b/>
                <w:bCs/>
                <w:lang w:val="en-US" w:eastAsia="zh-CN"/>
              </w:rPr>
              <w:t>10</w:t>
            </w:r>
            <w:r>
              <w:rPr>
                <w:rFonts w:hint="eastAsia"/>
                <w:b/>
                <w:bCs/>
              </w:rPr>
              <w:t>～</w:t>
            </w:r>
            <w:r>
              <w:rPr>
                <w:rFonts w:hint="eastAsia"/>
                <w:b/>
                <w:bCs/>
                <w:lang w:val="en-US" w:eastAsia="zh-CN"/>
              </w:rPr>
              <w:t>18</w:t>
            </w:r>
            <w:r>
              <w:rPr>
                <w:rFonts w:hint="eastAsia"/>
                <w:b/>
                <w:bCs/>
              </w:rPr>
              <w:t>分，差得0～</w:t>
            </w:r>
            <w:r>
              <w:rPr>
                <w:rFonts w:hint="eastAsia"/>
                <w:b/>
                <w:bCs/>
                <w:lang w:val="en-US" w:eastAsia="zh-CN"/>
              </w:rPr>
              <w:t>9</w:t>
            </w:r>
            <w:r>
              <w:rPr>
                <w:rFonts w:hint="eastAsia"/>
                <w:b/>
                <w:bCs/>
              </w:rPr>
              <w:t>分。</w:t>
            </w:r>
          </w:p>
          <w:p>
            <w:pPr>
              <w:pStyle w:val="6"/>
              <w:spacing w:line="240" w:lineRule="auto"/>
              <w:jc w:val="both"/>
              <w:rPr>
                <w:rFonts w:hint="eastAsia"/>
                <w:b/>
                <w:bCs/>
              </w:rPr>
            </w:pPr>
            <w:r>
              <w:rPr>
                <w:rFonts w:hint="eastAsia"/>
                <w:b/>
                <w:bCs/>
              </w:rPr>
              <w:t>打分参考：</w:t>
            </w:r>
          </w:p>
          <w:p>
            <w:pPr>
              <w:pStyle w:val="6"/>
              <w:numPr>
                <w:ilvl w:val="0"/>
                <w:numId w:val="2"/>
              </w:numPr>
              <w:spacing w:line="240" w:lineRule="auto"/>
              <w:jc w:val="both"/>
              <w:rPr>
                <w:rFonts w:hint="eastAsia"/>
                <w:lang w:val="en-US" w:eastAsia="zh-CN"/>
              </w:rPr>
            </w:pPr>
            <w:r>
              <w:rPr>
                <w:rFonts w:hint="eastAsia"/>
                <w:b/>
                <w:bCs/>
              </w:rPr>
              <w:t>顾问服务</w:t>
            </w:r>
            <w:r>
              <w:rPr>
                <w:rFonts w:hint="eastAsia"/>
                <w:b/>
                <w:bCs/>
                <w:lang w:val="en-US" w:eastAsia="zh-CN"/>
              </w:rPr>
              <w:t>内容的认识：</w:t>
            </w:r>
            <w:r>
              <w:rPr>
                <w:rFonts w:hint="eastAsia"/>
                <w:lang w:val="en-US" w:eastAsia="zh-CN"/>
              </w:rPr>
              <w:t>1.</w:t>
            </w:r>
            <w:r>
              <w:rPr>
                <w:rFonts w:hint="eastAsia"/>
              </w:rPr>
              <w:t>酒店开业筹备咨询服务的理解与认识；2.酒店开业采购咨询服务的理解与认识</w:t>
            </w:r>
            <w:r>
              <w:rPr>
                <w:rFonts w:hint="eastAsia"/>
                <w:lang w:eastAsia="zh-CN"/>
              </w:rPr>
              <w:t>；</w:t>
            </w:r>
            <w:r>
              <w:rPr>
                <w:rFonts w:hint="eastAsia"/>
              </w:rPr>
              <w:t>3.酒店开业筹备相关工作的建议与安排</w:t>
            </w:r>
            <w:r>
              <w:rPr>
                <w:rFonts w:hint="eastAsia"/>
                <w:lang w:eastAsia="zh-CN"/>
              </w:rPr>
              <w:t>；</w:t>
            </w:r>
            <w:r>
              <w:rPr>
                <w:rFonts w:hint="eastAsia"/>
                <w:lang w:val="en-US" w:eastAsia="zh-CN"/>
              </w:rPr>
              <w:t>4.</w:t>
            </w:r>
            <w:r>
              <w:rPr>
                <w:rFonts w:hint="eastAsia"/>
              </w:rPr>
              <w:t>对酒店开业采购预算审查流程的建议；</w:t>
            </w:r>
            <w:r>
              <w:rPr>
                <w:rFonts w:hint="eastAsia"/>
                <w:lang w:val="en-US" w:eastAsia="zh-CN"/>
              </w:rPr>
              <w:t>5.</w:t>
            </w:r>
            <w:r>
              <w:rPr>
                <w:rFonts w:hint="eastAsia"/>
              </w:rPr>
              <w:t>酒店开业预算风险点的把控及建议；</w:t>
            </w:r>
            <w:r>
              <w:rPr>
                <w:rFonts w:hint="eastAsia"/>
                <w:lang w:val="en-US" w:eastAsia="zh-CN"/>
              </w:rPr>
              <w:t>6.</w:t>
            </w:r>
            <w:r>
              <w:rPr>
                <w:rFonts w:hint="eastAsia"/>
              </w:rPr>
              <w:t>酒店开业采购风险点的把控及建议；</w:t>
            </w:r>
            <w:r>
              <w:rPr>
                <w:rFonts w:hint="eastAsia"/>
                <w:lang w:val="en-US" w:eastAsia="zh-CN"/>
              </w:rPr>
              <w:t>7.投标人为招标人在招标服务内容外提供额外的有价值的服务项目，且能满足招标人的需求。</w:t>
            </w:r>
          </w:p>
          <w:p>
            <w:pPr>
              <w:pStyle w:val="6"/>
              <w:numPr>
                <w:ilvl w:val="0"/>
                <w:numId w:val="0"/>
              </w:numPr>
              <w:spacing w:line="240" w:lineRule="auto"/>
              <w:jc w:val="both"/>
              <w:rPr>
                <w:rFonts w:hint="eastAsia"/>
                <w:b/>
                <w:bCs/>
              </w:rPr>
            </w:pPr>
            <w:r>
              <w:rPr>
                <w:rFonts w:hint="eastAsia"/>
                <w:b/>
                <w:bCs/>
              </w:rPr>
              <w:t>优</w:t>
            </w:r>
            <w:r>
              <w:rPr>
                <w:rFonts w:hint="eastAsia"/>
                <w:b/>
                <w:bCs/>
                <w:lang w:eastAsia="zh-CN"/>
              </w:rPr>
              <w:t>：</w:t>
            </w:r>
            <w:r>
              <w:rPr>
                <w:rFonts w:hint="eastAsia"/>
                <w:b/>
                <w:bCs/>
                <w:lang w:val="en-US" w:eastAsia="zh-CN"/>
              </w:rPr>
              <w:t>15</w:t>
            </w:r>
            <w:r>
              <w:rPr>
                <w:rFonts w:hint="eastAsia"/>
                <w:b/>
                <w:bCs/>
              </w:rPr>
              <w:t>-</w:t>
            </w:r>
            <w:r>
              <w:rPr>
                <w:rFonts w:hint="eastAsia"/>
                <w:b/>
                <w:bCs/>
                <w:lang w:val="en-US" w:eastAsia="zh-CN"/>
              </w:rPr>
              <w:t>11</w:t>
            </w:r>
            <w:r>
              <w:rPr>
                <w:rFonts w:hint="eastAsia"/>
                <w:b/>
                <w:bCs/>
              </w:rPr>
              <w:t>分，良</w:t>
            </w:r>
            <w:r>
              <w:rPr>
                <w:rFonts w:hint="eastAsia"/>
                <w:b/>
                <w:bCs/>
                <w:lang w:eastAsia="zh-CN"/>
              </w:rPr>
              <w:t>：</w:t>
            </w:r>
            <w:r>
              <w:rPr>
                <w:rFonts w:hint="eastAsia"/>
                <w:b/>
                <w:bCs/>
                <w:lang w:val="en-US" w:eastAsia="zh-CN"/>
              </w:rPr>
              <w:t>10</w:t>
            </w:r>
            <w:r>
              <w:rPr>
                <w:rFonts w:hint="eastAsia"/>
                <w:b/>
                <w:bCs/>
              </w:rPr>
              <w:t>-</w:t>
            </w:r>
            <w:r>
              <w:rPr>
                <w:rFonts w:hint="eastAsia"/>
                <w:b/>
                <w:bCs/>
                <w:lang w:val="en-US" w:eastAsia="zh-CN"/>
              </w:rPr>
              <w:t>6</w:t>
            </w:r>
            <w:r>
              <w:rPr>
                <w:rFonts w:hint="eastAsia"/>
                <w:b/>
                <w:bCs/>
              </w:rPr>
              <w:t>分，差</w:t>
            </w:r>
            <w:r>
              <w:rPr>
                <w:rFonts w:hint="eastAsia"/>
                <w:b/>
                <w:bCs/>
                <w:lang w:eastAsia="zh-CN"/>
              </w:rPr>
              <w:t>：</w:t>
            </w:r>
            <w:r>
              <w:rPr>
                <w:rFonts w:hint="eastAsia"/>
                <w:b/>
                <w:bCs/>
                <w:lang w:val="en-US" w:eastAsia="zh-CN"/>
              </w:rPr>
              <w:t>5</w:t>
            </w:r>
            <w:r>
              <w:rPr>
                <w:rFonts w:hint="eastAsia"/>
                <w:b/>
                <w:bCs/>
              </w:rPr>
              <w:t>-0分。</w:t>
            </w:r>
          </w:p>
          <w:p>
            <w:pPr>
              <w:pStyle w:val="6"/>
              <w:numPr>
                <w:ilvl w:val="0"/>
                <w:numId w:val="2"/>
              </w:numPr>
              <w:spacing w:line="240" w:lineRule="auto"/>
              <w:jc w:val="both"/>
              <w:rPr>
                <w:rFonts w:hint="eastAsia" w:ascii="宋体" w:hAnsi="宋体" w:eastAsia="宋体"/>
                <w:szCs w:val="21"/>
                <w:lang w:val="en-US" w:eastAsia="zh-CN"/>
              </w:rPr>
            </w:pPr>
            <w:r>
              <w:rPr>
                <w:rFonts w:hint="eastAsia" w:ascii="宋体" w:hAnsi="宋体" w:eastAsia="宋体"/>
                <w:b/>
                <w:bCs/>
                <w:szCs w:val="21"/>
                <w:lang w:val="en-US" w:eastAsia="zh-CN"/>
              </w:rPr>
              <w:t>服务方案重难点分析及解决方案：</w:t>
            </w:r>
            <w:r>
              <w:rPr>
                <w:rFonts w:hint="eastAsia" w:ascii="宋体" w:hAnsi="宋体" w:eastAsia="宋体"/>
                <w:szCs w:val="21"/>
                <w:lang w:val="en-US" w:eastAsia="zh-CN"/>
              </w:rPr>
              <w:t>1.重点难点分析是否充分突出，解决问题的理念是否具有较强的创新性、合理性；2.承诺的服务内容是否满足招标文件要求，且更加完整、全面；3.服务计划是否科学、合理，工作阶段安排及工作进度筹划是否合理；4.对本项目提供顾问服务的保障性、控制性措施是否到位。</w:t>
            </w:r>
          </w:p>
          <w:p>
            <w:pPr>
              <w:pStyle w:val="5"/>
              <w:ind w:left="0" w:leftChars="0" w:firstLine="0" w:firstLineChars="0"/>
              <w:jc w:val="both"/>
              <w:rPr>
                <w:rFonts w:hint="eastAsia"/>
              </w:rPr>
            </w:pPr>
            <w:r>
              <w:rPr>
                <w:rFonts w:hint="eastAsia" w:ascii="宋体" w:hAnsi="宋体" w:eastAsia="宋体"/>
                <w:b/>
                <w:bCs/>
                <w:szCs w:val="21"/>
                <w:lang w:val="en-US" w:eastAsia="zh-CN"/>
              </w:rPr>
              <w:t>优：20-18分；良：17-13分；差：12-0分。</w:t>
            </w:r>
          </w:p>
        </w:tc>
        <w:tc>
          <w:tcPr>
            <w:tcW w:w="4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w:t>
            </w:r>
            <w:r>
              <w:rPr>
                <w:rFonts w:hint="eastAsia" w:ascii="宋体" w:hAnsi="宋体" w:eastAsia="宋体" w:cs="宋体"/>
                <w:color w:val="auto"/>
                <w:sz w:val="21"/>
                <w:szCs w:val="21"/>
                <w:lang w:val="en-US" w:eastAsia="zh-CN"/>
              </w:rPr>
              <w:t>完整的</w:t>
            </w:r>
            <w:r>
              <w:rPr>
                <w:rFonts w:hint="eastAsia" w:ascii="宋体" w:hAnsi="宋体" w:eastAsia="宋体" w:cs="宋体"/>
                <w:color w:val="auto"/>
                <w:sz w:val="21"/>
                <w:szCs w:val="21"/>
              </w:rPr>
              <w:t>技术服务方案，并加盖公章</w:t>
            </w:r>
          </w:p>
        </w:tc>
        <w:tc>
          <w:tcPr>
            <w:tcW w:w="488" w:type="pct"/>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35</w:t>
            </w:r>
            <w:r>
              <w:rPr>
                <w:rFonts w:hint="eastAsia" w:ascii="宋体" w:hAnsi="宋体" w:eastAsia="宋体" w:cs="宋体"/>
                <w:color w:val="auto"/>
                <w:sz w:val="21"/>
                <w:szCs w:val="21"/>
              </w:rPr>
              <w:t>分</w:t>
            </w:r>
          </w:p>
        </w:tc>
        <w:tc>
          <w:tcPr>
            <w:tcW w:w="250" w:type="pct"/>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302" w:type="pct"/>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321" w:type="pct"/>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trPr>
        <w:tc>
          <w:tcPr>
            <w:tcW w:w="19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5</w:t>
            </w:r>
          </w:p>
        </w:tc>
        <w:tc>
          <w:tcPr>
            <w:tcW w:w="348" w:type="pct"/>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报价</w:t>
            </w:r>
          </w:p>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得分</w:t>
            </w:r>
          </w:p>
        </w:tc>
        <w:tc>
          <w:tcPr>
            <w:tcW w:w="2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1" w:firstLineChars="200"/>
              <w:jc w:val="both"/>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符合要求且最低的响应报价为基准价，其价格分为满分。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其他响应承包商的价格分统一按照 报价得分=(基准价/响应报价)×100×0.</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计算。</w:t>
            </w:r>
          </w:p>
        </w:tc>
        <w:tc>
          <w:tcPr>
            <w:tcW w:w="4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提供响应报价，并加盖公章</w:t>
            </w:r>
          </w:p>
        </w:tc>
        <w:tc>
          <w:tcPr>
            <w:tcW w:w="488" w:type="pct"/>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250" w:type="pct"/>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302" w:type="pct"/>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321" w:type="pct"/>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3636" w:type="pct"/>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合计</w:t>
            </w:r>
          </w:p>
        </w:tc>
        <w:tc>
          <w:tcPr>
            <w:tcW w:w="48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100分</w:t>
            </w:r>
          </w:p>
        </w:tc>
        <w:tc>
          <w:tcPr>
            <w:tcW w:w="250"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p>
        </w:tc>
        <w:tc>
          <w:tcPr>
            <w:tcW w:w="302"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p>
        </w:tc>
        <w:tc>
          <w:tcPr>
            <w:tcW w:w="321"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3636" w:type="pct"/>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拟推荐成交候选供应商（原则推荐评审综合得分最高的单位）</w:t>
            </w:r>
          </w:p>
        </w:tc>
        <w:tc>
          <w:tcPr>
            <w:tcW w:w="48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p>
        </w:tc>
        <w:tc>
          <w:tcPr>
            <w:tcW w:w="250"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p>
        </w:tc>
        <w:tc>
          <w:tcPr>
            <w:tcW w:w="302"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p>
        </w:tc>
        <w:tc>
          <w:tcPr>
            <w:tcW w:w="321"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p>
        </w:tc>
      </w:tr>
      <w:bookmarkEnd w:id="0"/>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备注：1.各项评审打分按照四舍五入，小数点后保留2位进行计算；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 xml:space="preserve">  2.若出现拟推荐成交候选供应商票数相同的情况，以未推荐上述单位的评审专家对并列第一的候选供应商既定打分排序作为最终选定依据。</w:t>
      </w:r>
    </w:p>
    <w:p>
      <w:pPr>
        <w:pageBreakBefore w:val="0"/>
        <w:kinsoku/>
        <w:wordWrap/>
        <w:overflowPunct/>
        <w:topLinePunct w:val="0"/>
        <w:autoSpaceDE/>
        <w:autoSpaceDN/>
        <w:bidi w:val="0"/>
        <w:spacing w:line="560" w:lineRule="exact"/>
        <w:jc w:val="both"/>
        <w:textAlignment w:val="auto"/>
        <w:rPr>
          <w:rFonts w:hint="eastAsia" w:ascii="仿宋_GB2312" w:eastAsia="仿宋_GB2312"/>
          <w:b/>
          <w:bCs/>
          <w:sz w:val="30"/>
          <w:szCs w:val="30"/>
        </w:rPr>
      </w:pPr>
    </w:p>
    <w:p>
      <w:pPr>
        <w:pageBreakBefore w:val="0"/>
        <w:kinsoku/>
        <w:wordWrap/>
        <w:overflowPunct/>
        <w:topLinePunct w:val="0"/>
        <w:autoSpaceDE/>
        <w:autoSpaceDN/>
        <w:bidi w:val="0"/>
        <w:spacing w:line="560" w:lineRule="exact"/>
        <w:jc w:val="both"/>
        <w:textAlignment w:val="auto"/>
        <w:rPr>
          <w:rFonts w:hint="eastAsia" w:ascii="仿宋_GB2312" w:eastAsia="仿宋_GB2312"/>
          <w:b/>
          <w:bCs/>
          <w:sz w:val="30"/>
          <w:szCs w:val="30"/>
        </w:rPr>
      </w:pPr>
    </w:p>
    <w:p>
      <w:pPr>
        <w:pageBreakBefore w:val="0"/>
        <w:kinsoku/>
        <w:wordWrap/>
        <w:overflowPunct/>
        <w:topLinePunct w:val="0"/>
        <w:autoSpaceDE/>
        <w:autoSpaceDN/>
        <w:bidi w:val="0"/>
        <w:spacing w:line="560" w:lineRule="exact"/>
        <w:jc w:val="both"/>
        <w:textAlignment w:val="auto"/>
        <w:rPr>
          <w:rFonts w:hint="eastAsia" w:ascii="仿宋_GB2312" w:eastAsia="仿宋_GB2312"/>
          <w:b/>
          <w:bCs/>
          <w:sz w:val="30"/>
          <w:szCs w:val="30"/>
        </w:rPr>
      </w:pPr>
    </w:p>
    <w:p>
      <w:pPr>
        <w:pageBreakBefore w:val="0"/>
        <w:kinsoku/>
        <w:wordWrap/>
        <w:overflowPunct/>
        <w:topLinePunct w:val="0"/>
        <w:autoSpaceDE/>
        <w:autoSpaceDN/>
        <w:bidi w:val="0"/>
        <w:spacing w:line="560" w:lineRule="exact"/>
        <w:jc w:val="both"/>
        <w:textAlignment w:val="auto"/>
        <w:rPr>
          <w:rFonts w:hint="eastAsia" w:ascii="仿宋_GB2312" w:eastAsia="仿宋_GB2312"/>
          <w:b/>
          <w:bCs/>
          <w:sz w:val="30"/>
          <w:szCs w:val="30"/>
        </w:rPr>
      </w:pPr>
    </w:p>
    <w:p>
      <w:pPr>
        <w:pStyle w:val="2"/>
        <w:rPr>
          <w:rFonts w:hint="eastAsia" w:ascii="仿宋_GB2312" w:eastAsia="仿宋_GB2312"/>
          <w:b/>
          <w:bCs/>
          <w:sz w:val="30"/>
          <w:szCs w:val="30"/>
        </w:rPr>
      </w:pPr>
    </w:p>
    <w:p>
      <w:pPr>
        <w:pStyle w:val="4"/>
        <w:rPr>
          <w:rFonts w:hint="eastAsia" w:ascii="仿宋_GB2312" w:eastAsia="仿宋_GB2312"/>
          <w:b w:val="0"/>
          <w:bCs w:val="0"/>
          <w:sz w:val="30"/>
          <w:szCs w:val="30"/>
        </w:rPr>
      </w:pPr>
    </w:p>
    <w:p>
      <w:pPr>
        <w:rPr>
          <w:rFonts w:hint="eastAsia" w:ascii="仿宋_GB2312" w:eastAsia="仿宋_GB2312"/>
          <w:b/>
          <w:bCs/>
          <w:sz w:val="30"/>
          <w:szCs w:val="30"/>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E4727"/>
    <w:multiLevelType w:val="singleLevel"/>
    <w:tmpl w:val="8D1E4727"/>
    <w:lvl w:ilvl="0" w:tentative="0">
      <w:start w:val="1"/>
      <w:numFmt w:val="decimal"/>
      <w:suff w:val="nothing"/>
      <w:lvlText w:val="%1．"/>
      <w:lvlJc w:val="left"/>
      <w:pPr>
        <w:ind w:left="0" w:firstLine="400"/>
      </w:pPr>
      <w:rPr>
        <w:rFonts w:hint="default"/>
      </w:rPr>
    </w:lvl>
  </w:abstractNum>
  <w:abstractNum w:abstractNumId="1">
    <w:nsid w:val="50FCED35"/>
    <w:multiLevelType w:val="singleLevel"/>
    <w:tmpl w:val="50FCED35"/>
    <w:lvl w:ilvl="0" w:tentative="0">
      <w:start w:val="1"/>
      <w:numFmt w:val="decimal"/>
      <w:suff w:val="nothing"/>
      <w:lvlText w:val="（%1）"/>
      <w:lvlJc w:val="left"/>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ECD0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2"/>
    <w:basedOn w:val="3"/>
    <w:next w:val="4"/>
    <w:qFormat/>
    <w:uiPriority w:val="0"/>
    <w:pPr>
      <w:widowControl/>
      <w:adjustRightInd w:val="0"/>
      <w:snapToGrid w:val="0"/>
      <w:spacing w:line="300" w:lineRule="auto"/>
      <w:ind w:left="924" w:leftChars="200" w:hanging="504" w:hangingChars="200"/>
      <w:jc w:val="left"/>
      <w:textAlignment w:val="baseline"/>
    </w:pPr>
    <w:rPr>
      <w:rFonts w:ascii="宋体" w:hAnsi="宋体" w:cs="宋体"/>
      <w:snapToGrid w:val="0"/>
      <w:spacing w:val="4"/>
      <w:kern w:val="0"/>
      <w:sz w:val="24"/>
    </w:rPr>
  </w:style>
  <w:style w:type="paragraph" w:styleId="3">
    <w:name w:val="Normal Indent"/>
    <w:basedOn w:val="1"/>
    <w:qFormat/>
    <w:uiPriority w:val="0"/>
    <w:pPr>
      <w:ind w:firstLine="420" w:firstLineChars="200"/>
    </w:pPr>
  </w:style>
  <w:style w:type="paragraph" w:styleId="5">
    <w:name w:val="index 8"/>
    <w:basedOn w:val="1"/>
    <w:next w:val="1"/>
    <w:qFormat/>
    <w:uiPriority w:val="0"/>
    <w:pPr>
      <w:ind w:left="1400" w:leftChars="1400"/>
    </w:pPr>
  </w:style>
  <w:style w:type="paragraph" w:styleId="6">
    <w:name w:val="Plain Text"/>
    <w:basedOn w:val="1"/>
    <w:next w:val="5"/>
    <w:qFormat/>
    <w:uiPriority w:val="99"/>
    <w:rPr>
      <w:rFonts w:ascii="宋体" w:hAnsi="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huawei</cp:lastModifiedBy>
  <dcterms:modified xsi:type="dcterms:W3CDTF">2025-06-16T15:01:50Z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