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  <w:t>龙岗区进一步规范政商交往行为告知书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一、不得向公职人员赠送礼品、礼金、消费卡等财物。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二、不得违规向公职人员提供宴请、旅游、娱乐等安排。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三、不得通过打麻将等形式向公职人员输送利益。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四、不得为公职人员报销应由其个人支付的费用。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五、不得违规向公职人员及其亲友借贷款。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六、不得违规将车辆、住房等借给公职人员使用。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七、不得在招投标中与公职人员搞暗箱操作、围标串标。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八、不得为利益相关人和公职人员牵线搭桥或者代为传递信息、传递财物。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九、不得让公职人员在企业违规兼职取酬。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十、不得为公职人员亲友违规承揽业务提供便利。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1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  <w:t>本人已知晓上述告知内容，并愿意遵照执行（签名）：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1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1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  <w:t xml:space="preserve">    年    月    日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EFFB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4"/>
    <w:qFormat/>
    <w:uiPriority w:val="0"/>
    <w:pPr>
      <w:widowControl/>
      <w:adjustRightInd w:val="0"/>
      <w:snapToGrid w:val="0"/>
      <w:spacing w:line="300" w:lineRule="auto"/>
      <w:ind w:left="924" w:leftChars="200" w:hanging="504" w:hangingChars="200"/>
      <w:jc w:val="left"/>
      <w:textAlignment w:val="baseline"/>
    </w:pPr>
    <w:rPr>
      <w:rFonts w:ascii="宋体" w:hAnsi="宋体" w:cs="宋体"/>
      <w:snapToGrid w:val="0"/>
      <w:spacing w:val="4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Plain Text"/>
    <w:basedOn w:val="1"/>
    <w:next w:val="6"/>
    <w:qFormat/>
    <w:uiPriority w:val="99"/>
    <w:rPr>
      <w:rFonts w:ascii="宋体" w:hAnsi="Courier New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huawei</cp:lastModifiedBy>
  <dcterms:modified xsi:type="dcterms:W3CDTF">2025-06-16T15:05:31Z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