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63F6B">
      <w:pPr>
        <w:keepNext w:val="0"/>
        <w:keepLines w:val="0"/>
        <w:pageBreakBefore w:val="0"/>
        <w:widowControl w:val="0"/>
        <w:tabs>
          <w:tab w:val="center" w:pos="4422"/>
          <w:tab w:val="right" w:pos="8844"/>
        </w:tabs>
        <w:kinsoku/>
        <w:wordWrap w:val="0"/>
        <w:overflowPunct/>
        <w:topLinePunct w:val="0"/>
        <w:autoSpaceDE/>
        <w:autoSpaceDN/>
        <w:bidi w:val="0"/>
        <w:adjustRightInd/>
        <w:snapToGrid/>
        <w:spacing w:line="560" w:lineRule="exact"/>
        <w:ind w:firstLine="2240" w:firstLineChars="800"/>
        <w:jc w:val="righ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合同编号：</w:t>
      </w:r>
    </w:p>
    <w:p w14:paraId="6402A480">
      <w:pPr>
        <w:pStyle w:val="2"/>
        <w:wordWrap/>
        <w:rPr>
          <w:rFonts w:hint="eastAsia"/>
        </w:rPr>
      </w:pPr>
    </w:p>
    <w:p w14:paraId="50B5AC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rPr>
        <w:t>民商事委托代理合同</w:t>
      </w:r>
    </w:p>
    <w:p w14:paraId="4E107FC7">
      <w:pPr>
        <w:pStyle w:val="2"/>
        <w:keepNext w:val="0"/>
        <w:keepLines w:val="0"/>
        <w:pageBreakBefore w:val="0"/>
        <w:widowControl w:val="0"/>
        <w:kinsoku/>
        <w:overflowPunct/>
        <w:topLinePunct w:val="0"/>
        <w:autoSpaceDE/>
        <w:autoSpaceDN/>
        <w:bidi w:val="0"/>
        <w:spacing w:line="560" w:lineRule="exact"/>
        <w:textAlignment w:val="auto"/>
      </w:pPr>
    </w:p>
    <w:p w14:paraId="0E735BBD">
      <w:pPr>
        <w:keepNext w:val="0"/>
        <w:keepLines w:val="0"/>
        <w:pageBreakBefore w:val="0"/>
        <w:widowControl w:val="0"/>
        <w:kinsoku/>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b/>
          <w:color w:val="auto"/>
          <w:sz w:val="28"/>
          <w:szCs w:val="28"/>
          <w:u w:val="single"/>
        </w:rPr>
      </w:pPr>
      <w:r>
        <w:rPr>
          <w:rFonts w:hint="eastAsia" w:ascii="仿宋_GB2312" w:hAnsi="仿宋_GB2312" w:eastAsia="仿宋_GB2312" w:cs="仿宋_GB2312"/>
          <w:b/>
          <w:color w:val="auto"/>
          <w:sz w:val="28"/>
          <w:szCs w:val="28"/>
        </w:rPr>
        <w:t>甲方（委托人）：</w:t>
      </w:r>
      <w:r>
        <w:rPr>
          <w:rFonts w:hint="eastAsia" w:ascii="仿宋_GB2312" w:hAnsi="仿宋_GB2312" w:eastAsia="仿宋_GB2312" w:cs="仿宋_GB2312"/>
          <w:b w:val="0"/>
          <w:bCs/>
          <w:color w:val="auto"/>
          <w:sz w:val="28"/>
          <w:szCs w:val="28"/>
          <w:u w:val="none"/>
          <w:lang w:val="en-US" w:eastAsia="zh-CN"/>
        </w:rPr>
        <w:t>深圳市龙岗区城投置地开发有限公司</w:t>
      </w:r>
      <w:r>
        <w:rPr>
          <w:rFonts w:hint="eastAsia" w:ascii="仿宋_GB2312" w:hAnsi="仿宋_GB2312" w:eastAsia="仿宋_GB2312" w:cs="仿宋_GB2312"/>
          <w:b/>
          <w:color w:val="auto"/>
          <w:sz w:val="28"/>
          <w:szCs w:val="28"/>
          <w:u w:val="none"/>
        </w:rPr>
        <w:t xml:space="preserve">                  </w:t>
      </w:r>
    </w:p>
    <w:p w14:paraId="4A505BA5">
      <w:pPr>
        <w:keepNext w:val="0"/>
        <w:keepLines w:val="0"/>
        <w:pageBreakBefore w:val="0"/>
        <w:widowControl w:val="0"/>
        <w:kinsoku/>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b/>
          <w:color w:val="auto"/>
          <w:sz w:val="28"/>
          <w:szCs w:val="28"/>
          <w:u w:val="single"/>
        </w:rPr>
      </w:pPr>
      <w:r>
        <w:rPr>
          <w:rFonts w:hint="eastAsia" w:ascii="仿宋_GB2312" w:hAnsi="仿宋_GB2312" w:eastAsia="仿宋_GB2312" w:cs="仿宋_GB2312"/>
          <w:b/>
          <w:color w:val="auto"/>
          <w:sz w:val="28"/>
          <w:szCs w:val="28"/>
          <w:lang w:val="en-US" w:eastAsia="zh-CN"/>
        </w:rPr>
        <w:t>统一社会信用代码</w:t>
      </w:r>
      <w:r>
        <w:rPr>
          <w:rFonts w:hint="eastAsia" w:ascii="仿宋_GB2312" w:hAnsi="仿宋_GB2312" w:eastAsia="仿宋_GB2312" w:cs="仿宋_GB2312"/>
          <w:b/>
          <w:color w:val="auto"/>
          <w:sz w:val="28"/>
          <w:szCs w:val="28"/>
        </w:rPr>
        <w:t>：</w:t>
      </w:r>
      <w:r>
        <w:rPr>
          <w:rFonts w:hint="eastAsia" w:ascii="仿宋_GB2312" w:hAnsi="仿宋_GB2312" w:eastAsia="仿宋_GB2312" w:cs="仿宋_GB2312"/>
          <w:b w:val="0"/>
          <w:bCs/>
          <w:color w:val="auto"/>
          <w:sz w:val="28"/>
          <w:szCs w:val="28"/>
          <w:u w:val="none"/>
          <w:lang w:val="en-US" w:eastAsia="zh-CN"/>
        </w:rPr>
        <w:t>91440300192479270W</w:t>
      </w:r>
    </w:p>
    <w:p w14:paraId="6C0681F3">
      <w:pPr>
        <w:keepNext w:val="0"/>
        <w:keepLines w:val="0"/>
        <w:pageBreakBefore w:val="0"/>
        <w:widowControl w:val="0"/>
        <w:kinsoku/>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b/>
          <w:color w:val="auto"/>
          <w:sz w:val="28"/>
          <w:szCs w:val="28"/>
        </w:rPr>
        <w:t>乙方（受托人）：</w:t>
      </w:r>
      <w:r>
        <w:rPr>
          <w:rFonts w:hint="eastAsia" w:ascii="仿宋_GB2312" w:hAnsi="仿宋_GB2312" w:eastAsia="仿宋_GB2312" w:cs="仿宋_GB2312"/>
          <w:b/>
          <w:color w:val="auto"/>
          <w:sz w:val="28"/>
          <w:szCs w:val="28"/>
          <w:u w:val="single"/>
          <w:lang w:val="en-US" w:eastAsia="zh-CN"/>
        </w:rPr>
        <w:t xml:space="preserve">                                          </w:t>
      </w:r>
    </w:p>
    <w:p w14:paraId="2A95D8D0">
      <w:pPr>
        <w:keepNext w:val="0"/>
        <w:keepLines w:val="0"/>
        <w:pageBreakBefore w:val="0"/>
        <w:widowControl w:val="0"/>
        <w:kinsoku/>
        <w:overflowPunct/>
        <w:topLinePunct w:val="0"/>
        <w:autoSpaceDE/>
        <w:autoSpaceDN/>
        <w:bidi w:val="0"/>
        <w:adjustRightInd w:val="0"/>
        <w:snapToGrid w:val="0"/>
        <w:spacing w:line="560" w:lineRule="exact"/>
        <w:ind w:firstLine="562"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lang w:val="en-US" w:eastAsia="zh-CN"/>
        </w:rPr>
        <w:t>统一社会信用代码</w:t>
      </w:r>
      <w:r>
        <w:rPr>
          <w:rFonts w:hint="eastAsia" w:ascii="仿宋_GB2312" w:hAnsi="仿宋_GB2312" w:eastAsia="仿宋_GB2312" w:cs="仿宋_GB2312"/>
          <w:b/>
          <w:color w:val="auto"/>
          <w:sz w:val="28"/>
          <w:szCs w:val="28"/>
        </w:rPr>
        <w:t>：</w:t>
      </w:r>
      <w:r>
        <w:rPr>
          <w:rFonts w:hint="eastAsia" w:ascii="仿宋_GB2312" w:hAnsi="仿宋_GB2312" w:eastAsia="仿宋_GB2312" w:cs="仿宋_GB2312"/>
          <w:b/>
          <w:color w:val="auto"/>
          <w:sz w:val="28"/>
          <w:szCs w:val="28"/>
          <w:u w:val="single"/>
          <w:lang w:val="en-US" w:eastAsia="zh-CN"/>
        </w:rPr>
        <w:t xml:space="preserve">                                        </w:t>
      </w:r>
      <w:r>
        <w:rPr>
          <w:rFonts w:hint="eastAsia" w:ascii="仿宋_GB2312" w:hAnsi="仿宋_GB2312" w:eastAsia="仿宋_GB2312" w:cs="仿宋_GB2312"/>
          <w:color w:val="auto"/>
          <w:sz w:val="28"/>
          <w:szCs w:val="28"/>
        </w:rPr>
        <w:t xml:space="preserve">  </w:t>
      </w:r>
    </w:p>
    <w:p w14:paraId="561E671B">
      <w:pPr>
        <w:pStyle w:val="2"/>
        <w:keepNext w:val="0"/>
        <w:keepLines w:val="0"/>
        <w:pageBreakBefore w:val="0"/>
        <w:widowControl w:val="0"/>
        <w:kinsoku/>
        <w:overflowPunct/>
        <w:topLinePunct w:val="0"/>
        <w:autoSpaceDE/>
        <w:autoSpaceDN/>
        <w:bidi w:val="0"/>
        <w:spacing w:line="560" w:lineRule="exact"/>
        <w:textAlignment w:val="auto"/>
        <w:rPr>
          <w:rFonts w:hint="eastAsia" w:ascii="仿宋_GB2312" w:hAnsi="仿宋_GB2312" w:eastAsia="仿宋_GB2312" w:cs="仿宋_GB2312"/>
          <w:sz w:val="28"/>
          <w:szCs w:val="28"/>
        </w:rPr>
      </w:pPr>
    </w:p>
    <w:p w14:paraId="1795FB0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甲方因</w:t>
      </w:r>
      <w:r>
        <w:rPr>
          <w:rFonts w:hint="eastAsia" w:ascii="仿宋_GB2312" w:hAnsi="仿宋_GB2312" w:eastAsia="仿宋_GB2312" w:cs="仿宋_GB2312"/>
          <w:color w:val="auto"/>
          <w:sz w:val="28"/>
          <w:szCs w:val="28"/>
          <w:lang w:val="en-US" w:eastAsia="zh-CN"/>
        </w:rPr>
        <w:t>案件1（原告</w:t>
      </w:r>
      <w:r>
        <w:rPr>
          <w:rFonts w:hint="eastAsia" w:ascii="仿宋_GB2312" w:hAnsi="仿宋_GB2312" w:eastAsia="仿宋_GB2312" w:cs="仿宋_GB2312"/>
          <w:color w:val="auto"/>
          <w:sz w:val="28"/>
          <w:szCs w:val="28"/>
          <w:u w:val="single"/>
          <w:lang w:eastAsia="zh-CN"/>
        </w:rPr>
        <w:t>股份合作公司1</w:t>
      </w:r>
      <w:r>
        <w:rPr>
          <w:rFonts w:hint="eastAsia" w:ascii="仿宋_GB2312" w:hAnsi="仿宋_GB2312" w:eastAsia="仿宋_GB2312" w:cs="仿宋_GB2312"/>
          <w:color w:val="auto"/>
          <w:sz w:val="28"/>
          <w:szCs w:val="28"/>
          <w:lang w:eastAsia="zh-CN"/>
        </w:rPr>
        <w:t>诉被告一</w:t>
      </w:r>
      <w:r>
        <w:rPr>
          <w:rFonts w:hint="eastAsia" w:ascii="仿宋_GB2312" w:hAnsi="仿宋_GB2312" w:eastAsia="仿宋_GB2312" w:cs="仿宋_GB2312"/>
          <w:color w:val="auto"/>
          <w:sz w:val="28"/>
          <w:szCs w:val="28"/>
          <w:u w:val="single"/>
          <w:lang w:eastAsia="zh-CN"/>
        </w:rPr>
        <w:t>某科技公司</w:t>
      </w:r>
      <w:r>
        <w:rPr>
          <w:rFonts w:hint="eastAsia" w:ascii="仿宋_GB2312" w:hAnsi="仿宋_GB2312" w:eastAsia="仿宋_GB2312" w:cs="仿宋_GB2312"/>
          <w:color w:val="auto"/>
          <w:sz w:val="28"/>
          <w:szCs w:val="28"/>
          <w:lang w:eastAsia="zh-CN"/>
        </w:rPr>
        <w:t>、被告二</w:t>
      </w:r>
      <w:r>
        <w:rPr>
          <w:rFonts w:hint="eastAsia" w:ascii="仿宋_GB2312" w:hAnsi="仿宋_GB2312" w:eastAsia="仿宋_GB2312" w:cs="仿宋_GB2312"/>
          <w:color w:val="auto"/>
          <w:sz w:val="28"/>
          <w:szCs w:val="28"/>
          <w:u w:val="single"/>
          <w:lang w:eastAsia="zh-CN"/>
        </w:rPr>
        <w:t>某设计集团</w:t>
      </w:r>
      <w:r>
        <w:rPr>
          <w:rFonts w:hint="eastAsia" w:ascii="仿宋_GB2312" w:hAnsi="仿宋_GB2312" w:eastAsia="仿宋_GB2312" w:cs="仿宋_GB2312"/>
          <w:color w:val="auto"/>
          <w:sz w:val="28"/>
          <w:szCs w:val="28"/>
          <w:lang w:eastAsia="zh-CN"/>
        </w:rPr>
        <w:t>、被告三深圳市龙岗区城投置地开发有限公司，被告四深圳市龙岗区城市建设投资集团有限公司房屋租赁合同纠纷案）</w:t>
      </w:r>
      <w:r>
        <w:rPr>
          <w:rFonts w:hint="eastAsia" w:ascii="仿宋_GB2312" w:hAnsi="仿宋_GB2312" w:eastAsia="仿宋_GB2312" w:cs="仿宋_GB2312"/>
          <w:color w:val="auto"/>
          <w:sz w:val="28"/>
          <w:szCs w:val="28"/>
          <w:lang w:val="en-US" w:eastAsia="zh-CN"/>
        </w:rPr>
        <w:t>和案件2（原告</w:t>
      </w:r>
      <w:r>
        <w:rPr>
          <w:rFonts w:hint="eastAsia" w:ascii="仿宋_GB2312" w:hAnsi="仿宋_GB2312" w:eastAsia="仿宋_GB2312" w:cs="仿宋_GB2312"/>
          <w:color w:val="auto"/>
          <w:sz w:val="28"/>
          <w:szCs w:val="28"/>
          <w:u w:val="single"/>
          <w:lang w:eastAsia="zh-CN"/>
        </w:rPr>
        <w:t>股份合作公司2</w:t>
      </w:r>
      <w:r>
        <w:rPr>
          <w:rFonts w:hint="eastAsia" w:ascii="仿宋_GB2312" w:hAnsi="仿宋_GB2312" w:eastAsia="仿宋_GB2312" w:cs="仿宋_GB2312"/>
          <w:color w:val="auto"/>
          <w:sz w:val="28"/>
          <w:szCs w:val="28"/>
          <w:lang w:eastAsia="zh-CN"/>
        </w:rPr>
        <w:t>诉被告一</w:t>
      </w:r>
      <w:r>
        <w:rPr>
          <w:rFonts w:hint="eastAsia" w:ascii="仿宋_GB2312" w:hAnsi="仿宋_GB2312" w:eastAsia="仿宋_GB2312" w:cs="仿宋_GB2312"/>
          <w:color w:val="auto"/>
          <w:sz w:val="28"/>
          <w:szCs w:val="28"/>
          <w:u w:val="single"/>
          <w:lang w:eastAsia="zh-CN"/>
        </w:rPr>
        <w:t>某科技公司</w:t>
      </w:r>
      <w:r>
        <w:rPr>
          <w:rFonts w:hint="eastAsia" w:ascii="仿宋_GB2312" w:hAnsi="仿宋_GB2312" w:eastAsia="仿宋_GB2312" w:cs="仿宋_GB2312"/>
          <w:color w:val="auto"/>
          <w:sz w:val="28"/>
          <w:szCs w:val="28"/>
          <w:lang w:eastAsia="zh-CN"/>
        </w:rPr>
        <w:t>、被告二深圳市龙岗区城投置地开发有限公司、被告三</w:t>
      </w:r>
      <w:r>
        <w:rPr>
          <w:rFonts w:hint="eastAsia" w:ascii="仿宋_GB2312" w:hAnsi="仿宋_GB2312" w:eastAsia="仿宋_GB2312" w:cs="仿宋_GB2312"/>
          <w:color w:val="auto"/>
          <w:sz w:val="28"/>
          <w:szCs w:val="28"/>
          <w:u w:val="single"/>
          <w:lang w:eastAsia="zh-CN"/>
        </w:rPr>
        <w:t>某设计集团</w:t>
      </w:r>
      <w:r>
        <w:rPr>
          <w:rFonts w:hint="eastAsia" w:ascii="仿宋_GB2312" w:hAnsi="仿宋_GB2312" w:eastAsia="仿宋_GB2312" w:cs="仿宋_GB2312"/>
          <w:color w:val="auto"/>
          <w:sz w:val="28"/>
          <w:szCs w:val="28"/>
          <w:lang w:eastAsia="zh-CN"/>
        </w:rPr>
        <w:t>房屋租赁合同纠纷案），</w:t>
      </w:r>
      <w:r>
        <w:rPr>
          <w:rFonts w:hint="eastAsia" w:ascii="仿宋_GB2312" w:hAnsi="仿宋_GB2312" w:eastAsia="仿宋_GB2312" w:cs="仿宋_GB2312"/>
          <w:color w:val="auto"/>
          <w:sz w:val="28"/>
          <w:szCs w:val="28"/>
        </w:rPr>
        <w:t>现依据《中华人民共和国民法典》、《中华人民共和国律师法》、《中华人民共和国民事诉讼法》或《中华人民共和国仲裁法》等有关法律规定委托乙方作为代理人，由乙方代理甲方处理上述争议或纠纷的诉讼工作。甲、乙双方经友好协商，就上述委托事宜，达成如下条款，以兹共同遵守：</w:t>
      </w:r>
    </w:p>
    <w:p w14:paraId="6955D2FD">
      <w:pPr>
        <w:keepNext w:val="0"/>
        <w:keepLines w:val="0"/>
        <w:pageBreakBefore w:val="0"/>
        <w:widowControl w:val="0"/>
        <w:tabs>
          <w:tab w:val="left" w:pos="900"/>
        </w:tabs>
        <w:kinsoku/>
        <w:wordWrap/>
        <w:overflowPunct/>
        <w:topLinePunct w:val="0"/>
        <w:autoSpaceDE/>
        <w:autoSpaceDN/>
        <w:bidi w:val="0"/>
        <w:adjustRightInd w:val="0"/>
        <w:snapToGrid w:val="0"/>
        <w:spacing w:line="560" w:lineRule="exact"/>
        <w:ind w:right="0" w:rightChars="0" w:firstLine="562"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第一条</w:t>
      </w:r>
      <w:r>
        <w:rPr>
          <w:rFonts w:hint="eastAsia" w:ascii="仿宋_GB2312" w:hAnsi="仿宋_GB2312" w:eastAsia="仿宋_GB2312" w:cs="仿宋_GB2312"/>
          <w:color w:val="auto"/>
          <w:sz w:val="28"/>
          <w:szCs w:val="28"/>
        </w:rPr>
        <w:t xml:space="preserve"> 乙方接受甲方委托指派本所</w:t>
      </w:r>
      <w:r>
        <w:rPr>
          <w:rFonts w:hint="eastAsia" w:ascii="仿宋_GB2312" w:hAnsi="仿宋_GB2312" w:eastAsia="仿宋_GB2312" w:cs="仿宋_GB2312"/>
          <w:color w:val="auto"/>
          <w:sz w:val="28"/>
          <w:szCs w:val="28"/>
          <w:u w:val="none"/>
        </w:rPr>
        <w:t>专职律师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none"/>
        </w:rPr>
        <w:t>（律师执业证号：</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rPr>
        <w:t>联系</w:t>
      </w:r>
      <w:r>
        <w:rPr>
          <w:rFonts w:hint="eastAsia" w:ascii="仿宋_GB2312" w:hAnsi="仿宋_GB2312" w:eastAsia="仿宋_GB2312" w:cs="仿宋_GB2312"/>
          <w:color w:val="auto"/>
          <w:sz w:val="28"/>
          <w:szCs w:val="28"/>
          <w:u w:val="none"/>
          <w:lang w:eastAsia="zh-CN"/>
        </w:rPr>
        <w:t>电话</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rPr>
        <w:t>邮箱：</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专职律师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none"/>
        </w:rPr>
        <w:t>（律师执业证号：</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rPr>
        <w:t>联系</w:t>
      </w:r>
      <w:r>
        <w:rPr>
          <w:rFonts w:hint="eastAsia" w:ascii="仿宋_GB2312" w:hAnsi="仿宋_GB2312" w:eastAsia="仿宋_GB2312" w:cs="仿宋_GB2312"/>
          <w:color w:val="auto"/>
          <w:sz w:val="28"/>
          <w:szCs w:val="28"/>
          <w:u w:val="none"/>
          <w:lang w:eastAsia="zh-CN"/>
        </w:rPr>
        <w:t>电话</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rPr>
        <w:t>邮箱：</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代理甲方上述争议或纠纷案件。</w:t>
      </w:r>
    </w:p>
    <w:p w14:paraId="468717F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color w:val="auto"/>
          <w:sz w:val="28"/>
          <w:szCs w:val="28"/>
        </w:rPr>
        <w:t>第二条</w:t>
      </w:r>
      <w:r>
        <w:rPr>
          <w:rFonts w:hint="eastAsia" w:ascii="仿宋_GB2312" w:hAnsi="仿宋_GB2312" w:eastAsia="仿宋_GB2312" w:cs="仿宋_GB2312"/>
          <w:color w:val="auto"/>
          <w:sz w:val="28"/>
          <w:szCs w:val="28"/>
        </w:rPr>
        <w:t xml:space="preserve"> 甲方应如实向乙方陈述案</w:t>
      </w:r>
      <w:r>
        <w:rPr>
          <w:rFonts w:hint="eastAsia" w:ascii="仿宋_GB2312" w:hAnsi="仿宋_GB2312" w:eastAsia="仿宋_GB2312" w:cs="仿宋_GB2312"/>
          <w:color w:val="auto"/>
          <w:sz w:val="28"/>
          <w:szCs w:val="28"/>
          <w:highlight w:val="none"/>
        </w:rPr>
        <w:t>情、事实，并提供</w:t>
      </w:r>
      <w:r>
        <w:rPr>
          <w:rFonts w:hint="eastAsia" w:ascii="仿宋_GB2312" w:hAnsi="仿宋_GB2312" w:eastAsia="仿宋_GB2312" w:cs="仿宋_GB2312"/>
          <w:color w:val="auto"/>
          <w:sz w:val="28"/>
          <w:szCs w:val="28"/>
          <w:highlight w:val="none"/>
          <w:lang w:eastAsia="zh-CN"/>
        </w:rPr>
        <w:t>与案件有关的</w:t>
      </w:r>
      <w:r>
        <w:rPr>
          <w:rFonts w:hint="eastAsia" w:ascii="仿宋_GB2312" w:hAnsi="仿宋_GB2312" w:eastAsia="仿宋_GB2312" w:cs="仿宋_GB2312"/>
          <w:color w:val="auto"/>
          <w:sz w:val="28"/>
          <w:szCs w:val="28"/>
          <w:highlight w:val="none"/>
        </w:rPr>
        <w:t>证据材料</w:t>
      </w:r>
      <w:r>
        <w:rPr>
          <w:rFonts w:hint="eastAsia" w:ascii="仿宋_GB2312" w:hAnsi="仿宋_GB2312" w:eastAsia="仿宋_GB2312" w:cs="仿宋_GB2312"/>
          <w:color w:val="auto"/>
          <w:sz w:val="28"/>
          <w:szCs w:val="28"/>
          <w:highlight w:val="none"/>
          <w:lang w:eastAsia="zh-CN"/>
        </w:rPr>
        <w:t>。</w:t>
      </w:r>
    </w:p>
    <w:p w14:paraId="4F0D389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第三条</w:t>
      </w:r>
      <w:r>
        <w:rPr>
          <w:rFonts w:hint="eastAsia" w:ascii="仿宋_GB2312" w:hAnsi="仿宋_GB2312" w:eastAsia="仿宋_GB2312" w:cs="仿宋_GB2312"/>
          <w:color w:val="auto"/>
          <w:sz w:val="28"/>
          <w:szCs w:val="28"/>
          <w:highlight w:val="none"/>
        </w:rPr>
        <w:t xml:space="preserve"> 就甲方委托的案件程序和实体上存在的风险，乙方</w:t>
      </w:r>
      <w:r>
        <w:rPr>
          <w:rFonts w:hint="eastAsia" w:ascii="仿宋_GB2312" w:hAnsi="仿宋_GB2312" w:eastAsia="仿宋_GB2312" w:cs="仿宋_GB2312"/>
          <w:color w:val="auto"/>
          <w:sz w:val="28"/>
          <w:szCs w:val="28"/>
          <w:highlight w:val="none"/>
          <w:lang w:eastAsia="zh-CN"/>
        </w:rPr>
        <w:t>应</w:t>
      </w:r>
      <w:r>
        <w:rPr>
          <w:rFonts w:hint="eastAsia" w:ascii="仿宋_GB2312" w:hAnsi="仿宋_GB2312" w:eastAsia="仿宋_GB2312" w:cs="仿宋_GB2312"/>
          <w:color w:val="auto"/>
          <w:sz w:val="28"/>
          <w:szCs w:val="28"/>
          <w:highlight w:val="none"/>
        </w:rPr>
        <w:t>向甲方进行详细告知和解释。乙方或承办律师向甲方提供的分析、判断和意见，</w:t>
      </w:r>
      <w:r>
        <w:rPr>
          <w:rFonts w:hint="eastAsia" w:ascii="仿宋_GB2312" w:hAnsi="仿宋_GB2312" w:eastAsia="仿宋_GB2312" w:cs="仿宋_GB2312"/>
          <w:color w:val="auto"/>
          <w:sz w:val="28"/>
          <w:szCs w:val="28"/>
          <w:highlight w:val="none"/>
          <w:lang w:eastAsia="zh-CN"/>
        </w:rPr>
        <w:t>不作</w:t>
      </w:r>
      <w:r>
        <w:rPr>
          <w:rFonts w:hint="eastAsia" w:ascii="仿宋_GB2312" w:hAnsi="仿宋_GB2312" w:eastAsia="仿宋_GB2312" w:cs="仿宋_GB2312"/>
          <w:color w:val="auto"/>
          <w:sz w:val="28"/>
          <w:szCs w:val="28"/>
          <w:highlight w:val="none"/>
        </w:rPr>
        <w:t>为乙方或承办律师就案件</w:t>
      </w:r>
      <w:r>
        <w:rPr>
          <w:rFonts w:hint="eastAsia" w:ascii="仿宋_GB2312" w:hAnsi="仿宋_GB2312" w:eastAsia="仿宋_GB2312" w:cs="仿宋_GB2312"/>
          <w:color w:val="auto"/>
          <w:sz w:val="28"/>
          <w:szCs w:val="28"/>
          <w:highlight w:val="none"/>
          <w:lang w:eastAsia="zh-CN"/>
        </w:rPr>
        <w:t>作</w:t>
      </w:r>
      <w:r>
        <w:rPr>
          <w:rFonts w:hint="eastAsia" w:ascii="仿宋_GB2312" w:hAnsi="仿宋_GB2312" w:eastAsia="仿宋_GB2312" w:cs="仿宋_GB2312"/>
          <w:color w:val="auto"/>
          <w:sz w:val="28"/>
          <w:szCs w:val="28"/>
          <w:highlight w:val="none"/>
        </w:rPr>
        <w:t>出了成功或胜诉的保证。</w:t>
      </w:r>
    </w:p>
    <w:p w14:paraId="02934C81">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第四条</w:t>
      </w:r>
      <w:r>
        <w:rPr>
          <w:rFonts w:hint="eastAsia" w:ascii="仿宋_GB2312" w:hAnsi="仿宋_GB2312" w:eastAsia="仿宋_GB2312" w:cs="仿宋_GB2312"/>
          <w:color w:val="auto"/>
          <w:sz w:val="28"/>
          <w:szCs w:val="28"/>
          <w:highlight w:val="none"/>
        </w:rPr>
        <w:t xml:space="preserve"> 委托案件事实发生变化时，甲方应及时向乙方提供和说明；受案单位对甲方的单独通知和要求，甲方应及时联系和通知乙方协商处理。</w:t>
      </w:r>
    </w:p>
    <w:p w14:paraId="466E74B2">
      <w:pPr>
        <w:pStyle w:val="2"/>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auto"/>
          <w:sz w:val="28"/>
          <w:szCs w:val="28"/>
          <w:highlight w:val="none"/>
          <w:lang w:eastAsia="zh-CN"/>
        </w:rPr>
        <w:t>乙方指派的承办律师因必要原因需要更换的，乙方应及时通知甲方并经甲方书面同意；</w:t>
      </w:r>
      <w:r>
        <w:rPr>
          <w:rFonts w:hint="eastAsia" w:ascii="仿宋_GB2312" w:hAnsi="仿宋_GB2312" w:eastAsia="仿宋_GB2312" w:cs="仿宋_GB2312"/>
          <w:color w:val="auto"/>
          <w:sz w:val="28"/>
          <w:szCs w:val="28"/>
          <w:highlight w:val="none"/>
        </w:rPr>
        <w:t>受案单位对</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方的单独通知和要求</w:t>
      </w:r>
      <w:r>
        <w:rPr>
          <w:rFonts w:hint="eastAsia" w:ascii="仿宋_GB2312" w:hAnsi="仿宋_GB2312" w:eastAsia="仿宋_GB2312" w:cs="仿宋_GB2312"/>
          <w:color w:val="auto"/>
          <w:sz w:val="28"/>
          <w:szCs w:val="28"/>
          <w:highlight w:val="none"/>
          <w:lang w:eastAsia="zh-CN"/>
        </w:rPr>
        <w:t>，案件事实发生变化时</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方应及时联系和通知</w:t>
      </w:r>
      <w:r>
        <w:rPr>
          <w:rFonts w:hint="eastAsia" w:ascii="仿宋_GB2312" w:hAnsi="仿宋_GB2312" w:eastAsia="仿宋_GB2312" w:cs="仿宋_GB2312"/>
          <w:color w:val="auto"/>
          <w:sz w:val="28"/>
          <w:szCs w:val="28"/>
          <w:highlight w:val="none"/>
          <w:lang w:eastAsia="zh-CN"/>
        </w:rPr>
        <w:t>甲</w:t>
      </w:r>
      <w:r>
        <w:rPr>
          <w:rFonts w:hint="eastAsia" w:ascii="仿宋_GB2312" w:hAnsi="仿宋_GB2312" w:eastAsia="仿宋_GB2312" w:cs="仿宋_GB2312"/>
          <w:color w:val="auto"/>
          <w:sz w:val="28"/>
          <w:szCs w:val="28"/>
          <w:highlight w:val="none"/>
        </w:rPr>
        <w:t>方。</w:t>
      </w:r>
    </w:p>
    <w:p w14:paraId="69C022D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第五条</w:t>
      </w:r>
      <w:r>
        <w:rPr>
          <w:rFonts w:hint="eastAsia" w:ascii="仿宋_GB2312" w:hAnsi="仿宋_GB2312" w:eastAsia="仿宋_GB2312" w:cs="仿宋_GB2312"/>
          <w:color w:val="auto"/>
          <w:sz w:val="28"/>
          <w:szCs w:val="28"/>
          <w:highlight w:val="none"/>
        </w:rPr>
        <w:t xml:space="preserve"> 甲方在委托案件的代理时，应按乙方的要求提供其主体证明材料（包括但不限于营业执照、法定代表人证明书、</w:t>
      </w:r>
      <w:r>
        <w:rPr>
          <w:rFonts w:hint="eastAsia" w:ascii="仿宋_GB2312" w:hAnsi="仿宋_GB2312" w:eastAsia="仿宋_GB2312" w:cs="仿宋_GB2312"/>
          <w:color w:val="auto"/>
          <w:sz w:val="28"/>
          <w:szCs w:val="28"/>
          <w:highlight w:val="none"/>
          <w:lang w:eastAsia="zh-CN"/>
        </w:rPr>
        <w:t>法定代表人</w:t>
      </w:r>
      <w:r>
        <w:rPr>
          <w:rFonts w:hint="eastAsia" w:ascii="仿宋_GB2312" w:hAnsi="仿宋_GB2312" w:eastAsia="仿宋_GB2312" w:cs="仿宋_GB2312"/>
          <w:color w:val="auto"/>
          <w:sz w:val="28"/>
          <w:szCs w:val="28"/>
          <w:highlight w:val="none"/>
        </w:rPr>
        <w:t>身份证复印件等相关材料），签署授权委托书。</w:t>
      </w:r>
    </w:p>
    <w:p w14:paraId="130B9076">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第六条</w:t>
      </w:r>
      <w:r>
        <w:rPr>
          <w:rFonts w:hint="eastAsia" w:ascii="仿宋_GB2312" w:hAnsi="仿宋_GB2312" w:eastAsia="仿宋_GB2312" w:cs="仿宋_GB2312"/>
          <w:color w:val="auto"/>
          <w:sz w:val="28"/>
          <w:szCs w:val="28"/>
          <w:highlight w:val="none"/>
        </w:rPr>
        <w:t xml:space="preserve"> 乙方承办律师及其他工作人员不保管甲方证据材料的原件，因承办律师代理工作的需要，甲方应派人携带与代理事项有关的证据材料的原件予以协助。</w:t>
      </w:r>
    </w:p>
    <w:p w14:paraId="1FD2A3A3">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color w:val="auto"/>
          <w:sz w:val="28"/>
          <w:szCs w:val="28"/>
          <w:highlight w:val="none"/>
        </w:rPr>
        <w:t>第七条</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b/>
          <w:bCs/>
          <w:color w:val="auto"/>
          <w:sz w:val="28"/>
          <w:szCs w:val="28"/>
          <w:highlight w:val="none"/>
          <w:lang w:eastAsia="zh-CN"/>
        </w:rPr>
        <w:t>服务范围和内容</w:t>
      </w:r>
    </w:p>
    <w:p w14:paraId="731F620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z w:val="28"/>
          <w:szCs w:val="28"/>
          <w:highlight w:val="none"/>
          <w:lang w:val="en-US" w:eastAsia="zh-CN"/>
        </w:rPr>
        <w:t>7.1</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甲方委托乙方代理</w:t>
      </w:r>
      <w:r>
        <w:rPr>
          <w:rFonts w:hint="eastAsia" w:ascii="仿宋_GB2312" w:hAnsi="仿宋_GB2312" w:eastAsia="仿宋_GB2312" w:cs="仿宋_GB2312"/>
          <w:color w:val="auto"/>
          <w:sz w:val="28"/>
          <w:szCs w:val="28"/>
          <w:highlight w:val="none"/>
          <w:u w:val="single"/>
        </w:rPr>
        <w:t>案件</w:t>
      </w:r>
      <w:r>
        <w:rPr>
          <w:rFonts w:hint="eastAsia" w:ascii="仿宋_GB2312" w:hAnsi="仿宋_GB2312" w:eastAsia="仿宋_GB2312" w:cs="仿宋_GB2312"/>
          <w:color w:val="auto"/>
          <w:sz w:val="28"/>
          <w:szCs w:val="28"/>
          <w:highlight w:val="none"/>
          <w:u w:val="single"/>
          <w:lang w:val="en-US" w:eastAsia="zh-CN"/>
        </w:rPr>
        <w:t>1和案件2的一审</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rPr>
        <w:t>乙方根据委托事务的范围收取相应的律师费用</w:t>
      </w:r>
      <w:r>
        <w:rPr>
          <w:rFonts w:hint="eastAsia" w:ascii="仿宋_GB2312" w:hAnsi="仿宋_GB2312" w:eastAsia="仿宋_GB2312" w:cs="仿宋_GB2312"/>
          <w:color w:val="auto"/>
          <w:sz w:val="28"/>
          <w:szCs w:val="28"/>
          <w:highlight w:val="none"/>
          <w:lang w:eastAsia="zh-CN"/>
        </w:rPr>
        <w:t>。</w:t>
      </w:r>
    </w:p>
    <w:p w14:paraId="2DA4E808">
      <w:pPr>
        <w:pStyle w:val="2"/>
        <w:keepNext w:val="0"/>
        <w:keepLines w:val="0"/>
        <w:pageBreakBefore w:val="0"/>
        <w:widowControl w:val="0"/>
        <w:kinsoku/>
        <w:wordWrap/>
        <w:overflowPunct/>
        <w:topLinePunct w:val="0"/>
        <w:autoSpaceDE/>
        <w:autoSpaceDN/>
        <w:bidi w:val="0"/>
        <w:spacing w:line="560" w:lineRule="exact"/>
        <w:ind w:firstLine="562"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 xml:space="preserve">7.2 </w:t>
      </w:r>
      <w:r>
        <w:rPr>
          <w:rFonts w:hint="eastAsia" w:ascii="仿宋_GB2312" w:hAnsi="仿宋_GB2312" w:eastAsia="仿宋_GB2312" w:cs="仿宋_GB2312"/>
          <w:b w:val="0"/>
          <w:bCs w:val="0"/>
          <w:color w:val="auto"/>
          <w:sz w:val="28"/>
          <w:szCs w:val="28"/>
          <w:highlight w:val="none"/>
          <w:lang w:val="en-US" w:eastAsia="zh-CN"/>
        </w:rPr>
        <w:t>乙方的服务范围为案件的代理服务，内容包括：编制诉讼方案、接受甲方咨询、为甲方提供案件分析和判断、起草文书等；代为参与诉讼（包括代为起诉、应诉、反诉、签收法律文书、确认送达地址；代为申请财产保全和证据保全；申请回避，收集证据，询问证人、鉴定人和勘验人；代为申请鉴定、要求重新鉴定、调查或者勘验；参加庭审、法庭辩论等；代为申请执行等，具体以授权委托书为准）。</w:t>
      </w:r>
    </w:p>
    <w:p w14:paraId="30A238D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40" w:firstLineChars="192"/>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 xml:space="preserve">第八条 </w:t>
      </w:r>
      <w:r>
        <w:rPr>
          <w:rFonts w:hint="eastAsia" w:ascii="仿宋_GB2312" w:hAnsi="仿宋_GB2312" w:eastAsia="仿宋_GB2312" w:cs="仿宋_GB2312"/>
          <w:b/>
          <w:color w:val="auto"/>
          <w:sz w:val="28"/>
          <w:szCs w:val="28"/>
          <w:highlight w:val="none"/>
          <w:lang w:eastAsia="zh-CN"/>
        </w:rPr>
        <w:t>代理费用及支付方式</w:t>
      </w:r>
    </w:p>
    <w:p w14:paraId="671C7C90">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8.1</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根据国家相关法律及规范性文件规定，</w:t>
      </w:r>
      <w:r>
        <w:rPr>
          <w:rFonts w:hint="eastAsia" w:ascii="仿宋_GB2312" w:hAnsi="仿宋_GB2312" w:eastAsia="仿宋_GB2312" w:cs="仿宋_GB2312"/>
          <w:color w:val="auto"/>
          <w:sz w:val="28"/>
          <w:szCs w:val="28"/>
          <w:highlight w:val="none"/>
          <w:lang w:val="en-US" w:eastAsia="zh-CN"/>
        </w:rPr>
        <w:t>双方同意按照以下标准</w:t>
      </w:r>
      <w:r>
        <w:rPr>
          <w:rFonts w:hint="eastAsia" w:ascii="仿宋_GB2312" w:hAnsi="仿宋_GB2312" w:eastAsia="仿宋_GB2312" w:cs="仿宋_GB2312"/>
          <w:color w:val="auto"/>
          <w:sz w:val="28"/>
          <w:szCs w:val="28"/>
          <w:highlight w:val="none"/>
        </w:rPr>
        <w:t>支付</w:t>
      </w:r>
      <w:r>
        <w:rPr>
          <w:rFonts w:hint="eastAsia" w:ascii="仿宋_GB2312" w:hAnsi="仿宋_GB2312" w:eastAsia="仿宋_GB2312" w:cs="仿宋_GB2312"/>
          <w:color w:val="auto"/>
          <w:sz w:val="28"/>
          <w:szCs w:val="28"/>
          <w:highlight w:val="none"/>
          <w:lang w:eastAsia="zh-CN"/>
        </w:rPr>
        <w:t>案件</w:t>
      </w:r>
      <w:r>
        <w:rPr>
          <w:rFonts w:hint="eastAsia" w:ascii="仿宋_GB2312" w:hAnsi="仿宋_GB2312" w:eastAsia="仿宋_GB2312" w:cs="仿宋_GB2312"/>
          <w:color w:val="auto"/>
          <w:sz w:val="28"/>
          <w:szCs w:val="28"/>
          <w:highlight w:val="none"/>
        </w:rPr>
        <w:t>代理费：</w:t>
      </w:r>
    </w:p>
    <w:p w14:paraId="2BF9D400">
      <w:pPr>
        <w:pStyle w:val="2"/>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案件代理费总价为人民币</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万</w:t>
      </w:r>
      <w:r>
        <w:rPr>
          <w:rFonts w:hint="eastAsia" w:ascii="仿宋_GB2312" w:hAnsi="仿宋_GB2312" w:eastAsia="仿宋_GB2312" w:cs="仿宋_GB2312"/>
          <w:color w:val="auto"/>
          <w:sz w:val="28"/>
          <w:szCs w:val="28"/>
          <w:highlight w:val="none"/>
          <w:lang w:val="en-US" w:eastAsia="zh-CN"/>
        </w:rPr>
        <w:t>元（大写：</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），均为含税价，明细如下：</w:t>
      </w:r>
    </w:p>
    <w:p w14:paraId="580BB98B">
      <w:pPr>
        <w:keepNext w:val="0"/>
        <w:keepLines w:val="0"/>
        <w:pageBreakBefore w:val="0"/>
        <w:widowControl w:val="0"/>
        <w:kinsoku/>
        <w:wordWrap/>
        <w:overflowPunct/>
        <w:topLinePunct w:val="0"/>
        <w:autoSpaceDE/>
        <w:autoSpaceDN/>
        <w:bidi w:val="0"/>
        <w:adjustRightInd/>
        <w:snapToGrid/>
        <w:spacing w:line="560" w:lineRule="exact"/>
        <w:ind w:right="0" w:rightChars="0" w:firstLine="420" w:firstLineChars="15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案件1：一审案件</w:t>
      </w:r>
      <w:r>
        <w:rPr>
          <w:rFonts w:hint="eastAsia" w:ascii="仿宋_GB2312" w:hAnsi="仿宋_GB2312" w:eastAsia="仿宋_GB2312" w:cs="仿宋_GB2312"/>
          <w:color w:val="auto"/>
          <w:sz w:val="28"/>
          <w:szCs w:val="28"/>
          <w:highlight w:val="none"/>
        </w:rPr>
        <w:t>代理费人民币</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万</w:t>
      </w:r>
      <w:r>
        <w:rPr>
          <w:rFonts w:hint="eastAsia" w:ascii="仿宋_GB2312" w:hAnsi="仿宋_GB2312" w:eastAsia="仿宋_GB2312" w:cs="仿宋_GB2312"/>
          <w:color w:val="auto"/>
          <w:sz w:val="28"/>
          <w:szCs w:val="28"/>
          <w:highlight w:val="none"/>
        </w:rPr>
        <w:t>元</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二审案件代理费人民币</w:t>
      </w:r>
    </w:p>
    <w:p w14:paraId="50F4BFA4">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万元</w:t>
      </w:r>
      <w:r>
        <w:rPr>
          <w:rFonts w:hint="eastAsia" w:ascii="仿宋_GB2312" w:hAnsi="仿宋_GB2312" w:eastAsia="仿宋_GB2312" w:cs="仿宋_GB2312"/>
          <w:color w:val="auto"/>
          <w:sz w:val="28"/>
          <w:szCs w:val="28"/>
          <w:highlight w:val="none"/>
          <w:lang w:eastAsia="zh-CN"/>
        </w:rPr>
        <w:t>。</w:t>
      </w:r>
    </w:p>
    <w:p w14:paraId="5DF2172F">
      <w:pPr>
        <w:pStyle w:val="2"/>
        <w:keepNext w:val="0"/>
        <w:keepLines w:val="0"/>
        <w:pageBreakBefore w:val="0"/>
        <w:widowControl w:val="0"/>
        <w:kinsoku/>
        <w:wordWrap/>
        <w:overflowPunct/>
        <w:topLinePunct w:val="0"/>
        <w:autoSpaceDE/>
        <w:autoSpaceDN/>
        <w:bidi w:val="0"/>
        <w:adjustRightInd/>
        <w:snapToGrid/>
        <w:spacing w:line="560" w:lineRule="exact"/>
        <w:ind w:left="559" w:leftChars="266" w:right="0" w:rightChars="0" w:firstLine="0" w:firstLineChars="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案件2：一审案件代理费人民币</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万元，二审案件代理费人民币</w:t>
      </w:r>
    </w:p>
    <w:p w14:paraId="391E5A17">
      <w:pPr>
        <w:pStyle w:val="2"/>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万元。</w:t>
      </w:r>
    </w:p>
    <w:p w14:paraId="0BCFE8AB">
      <w:pPr>
        <w:keepNext w:val="0"/>
        <w:keepLines w:val="0"/>
        <w:pageBreakBefore w:val="0"/>
        <w:widowControl w:val="0"/>
        <w:kinsoku/>
        <w:wordWrap/>
        <w:overflowPunct/>
        <w:topLinePunct w:val="0"/>
        <w:autoSpaceDE/>
        <w:autoSpaceDN/>
        <w:bidi w:val="0"/>
        <w:spacing w:line="560" w:lineRule="exact"/>
        <w:ind w:right="0" w:rightChars="0" w:firstLine="56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8.2</w:t>
      </w:r>
      <w:r>
        <w:rPr>
          <w:rFonts w:hint="eastAsia" w:ascii="仿宋_GB2312" w:hAnsi="仿宋_GB2312" w:eastAsia="仿宋_GB2312" w:cs="仿宋_GB2312"/>
          <w:color w:val="auto"/>
          <w:sz w:val="28"/>
          <w:szCs w:val="28"/>
          <w:highlight w:val="none"/>
          <w:lang w:val="en-US" w:eastAsia="zh-CN"/>
        </w:rPr>
        <w:t xml:space="preserve"> 甲方根据每个案件的进度按以下方式支付一审案件代理费：</w:t>
      </w:r>
    </w:p>
    <w:p w14:paraId="7F490729">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第一期费用：合同签订之日起7日内，乙方完成诉讼方案的编制，诉讼方案经甲方审核通过后，乙方提出书面申请，甲方向乙方支付30%的案件代理费；</w:t>
      </w:r>
    </w:p>
    <w:p w14:paraId="5CF12209">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第二期费用：案件结案后，甲方在收到法院结案文书（民事判决书或民事调解书或民事裁定书）后，乙方提出书面申请，甲方向乙方支付60%案件代理费；</w:t>
      </w:r>
    </w:p>
    <w:p w14:paraId="4D3D1AC4">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第三期费用：案件代理费的10%为履约考核评价费，甲方根据履约考核评价结果进行支付，乙方同意由甲方根据单方履约考核评价结果进行支付，履约考核评价结果为合格的全额支付履约考核评价费，不合格的不予支付。</w:t>
      </w:r>
    </w:p>
    <w:p w14:paraId="55D67445">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乙方申请付款时须向甲方开具等额、合法、有效的发票，由甲方审核通过后将应付款项支付至乙方指定账户。未达到付款条件或乙方未按本条约定开具发票，甲方有权拒付且不承担逾期付款责任。</w:t>
      </w:r>
    </w:p>
    <w:p w14:paraId="4296F626">
      <w:pPr>
        <w:keepNext w:val="0"/>
        <w:keepLines w:val="0"/>
        <w:pageBreakBefore w:val="0"/>
        <w:widowControl w:val="0"/>
        <w:kinsoku/>
        <w:wordWrap/>
        <w:overflowPunct/>
        <w:topLinePunct w:val="0"/>
        <w:autoSpaceDE/>
        <w:autoSpaceDN/>
        <w:bidi w:val="0"/>
        <w:spacing w:line="560" w:lineRule="exact"/>
        <w:ind w:right="0" w:rightChars="0" w:firstLine="562"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8.3 后续案件代理</w:t>
      </w:r>
    </w:p>
    <w:p w14:paraId="66ACE6C5">
      <w:pPr>
        <w:keepNext w:val="0"/>
        <w:keepLines w:val="0"/>
        <w:pageBreakBefore w:val="0"/>
        <w:widowControl w:val="0"/>
        <w:kinsoku/>
        <w:wordWrap/>
        <w:overflowPunct/>
        <w:topLinePunct w:val="0"/>
        <w:autoSpaceDE/>
        <w:autoSpaceDN/>
        <w:bidi w:val="0"/>
        <w:spacing w:line="560" w:lineRule="exact"/>
        <w:ind w:right="0" w:rightChars="0" w:firstLine="56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8.3.1</w:t>
      </w:r>
      <w:r>
        <w:rPr>
          <w:rFonts w:hint="eastAsia" w:ascii="仿宋_GB2312" w:hAnsi="仿宋_GB2312" w:eastAsia="仿宋_GB2312" w:cs="仿宋_GB2312"/>
          <w:color w:val="auto"/>
          <w:sz w:val="28"/>
          <w:szCs w:val="28"/>
          <w:highlight w:val="none"/>
          <w:lang w:val="en-US" w:eastAsia="zh-CN"/>
        </w:rPr>
        <w:t xml:space="preserve"> 如案件进入二审或发回重审程序后，甲方选择继续委托乙方代理的，按本合同约定的二审案件代理费标准收费，双方另行签订委托代理合同，据实结算。</w:t>
      </w:r>
    </w:p>
    <w:p w14:paraId="0B4F6A54">
      <w:pPr>
        <w:pStyle w:val="2"/>
        <w:keepNext w:val="0"/>
        <w:keepLines w:val="0"/>
        <w:pageBreakBefore w:val="0"/>
        <w:widowControl w:val="0"/>
        <w:kinsoku/>
        <w:wordWrap/>
        <w:overflowPunct/>
        <w:topLinePunct w:val="0"/>
        <w:autoSpaceDE/>
        <w:autoSpaceDN/>
        <w:bidi w:val="0"/>
        <w:spacing w:line="56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color w:val="auto"/>
          <w:sz w:val="28"/>
          <w:szCs w:val="28"/>
          <w:highlight w:val="none"/>
          <w:lang w:val="en-US" w:eastAsia="zh-CN"/>
        </w:rPr>
        <w:t>8.3.2</w:t>
      </w:r>
      <w:r>
        <w:rPr>
          <w:rFonts w:hint="eastAsia" w:ascii="仿宋_GB2312" w:hAnsi="仿宋_GB2312" w:eastAsia="仿宋_GB2312" w:cs="仿宋_GB2312"/>
          <w:color w:val="auto"/>
          <w:sz w:val="28"/>
          <w:szCs w:val="28"/>
          <w:highlight w:val="none"/>
          <w:lang w:val="en-US" w:eastAsia="zh-CN"/>
        </w:rPr>
        <w:t xml:space="preserve"> 案件1和案件2最终裁决结果引发的新增案件发生后，如甲方选择委托乙方代理的，按照合计</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万元（大写：</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）（其中</w:t>
      </w:r>
      <w:r>
        <w:rPr>
          <w:rFonts w:hint="eastAsia" w:ascii="仿宋_GB2312" w:hAnsi="仿宋_GB2312" w:eastAsia="仿宋_GB2312" w:cs="仿宋_GB2312"/>
          <w:color w:val="auto"/>
          <w:sz w:val="28"/>
          <w:szCs w:val="28"/>
          <w:highlight w:val="none"/>
          <w:lang w:val="en-US" w:eastAsia="zh-CN"/>
        </w:rPr>
        <w:t>一审案件代理费</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万元、二审案件代理费</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万元</w:t>
      </w:r>
      <w:r>
        <w:rPr>
          <w:rFonts w:hint="eastAsia" w:ascii="仿宋_GB2312" w:hAnsi="仿宋_GB2312" w:eastAsia="仿宋_GB2312" w:cs="仿宋_GB2312"/>
          <w:color w:val="auto"/>
          <w:sz w:val="28"/>
          <w:szCs w:val="28"/>
          <w:highlight w:val="none"/>
          <w:u w:val="none"/>
          <w:lang w:val="en-US" w:eastAsia="zh-CN"/>
        </w:rPr>
        <w:t>）标准</w:t>
      </w:r>
      <w:r>
        <w:rPr>
          <w:rFonts w:hint="eastAsia" w:ascii="仿宋_GB2312" w:hAnsi="仿宋_GB2312" w:eastAsia="仿宋_GB2312" w:cs="仿宋_GB2312"/>
          <w:color w:val="auto"/>
          <w:sz w:val="28"/>
          <w:szCs w:val="28"/>
          <w:highlight w:val="none"/>
          <w:lang w:val="en-US" w:eastAsia="zh-CN"/>
        </w:rPr>
        <w:t>收费，双方另行签订委托代理合同，据实结算。</w:t>
      </w:r>
    </w:p>
    <w:p w14:paraId="58DB1B54">
      <w:pPr>
        <w:pStyle w:val="2"/>
        <w:keepNext w:val="0"/>
        <w:keepLines w:val="0"/>
        <w:pageBreakBefore w:val="0"/>
        <w:widowControl w:val="0"/>
        <w:kinsoku/>
        <w:wordWrap/>
        <w:overflowPunct/>
        <w:topLinePunct w:val="0"/>
        <w:autoSpaceDE/>
        <w:autoSpaceDN/>
        <w:bidi w:val="0"/>
        <w:spacing w:line="560" w:lineRule="exact"/>
        <w:ind w:right="0" w:rightChars="0" w:firstLine="562"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8.4</w:t>
      </w:r>
      <w:r>
        <w:rPr>
          <w:rFonts w:hint="eastAsia" w:ascii="仿宋_GB2312" w:hAnsi="仿宋_GB2312" w:eastAsia="仿宋_GB2312" w:cs="仿宋_GB2312"/>
          <w:color w:val="auto"/>
          <w:sz w:val="28"/>
          <w:szCs w:val="28"/>
          <w:highlight w:val="none"/>
          <w:lang w:val="en-US" w:eastAsia="zh-CN"/>
        </w:rPr>
        <w:t xml:space="preserve"> 如乙方尚未开始服务工作的，甲方不予支付任何费用，已支付的，乙方应当在甲方书面通知后五日内返还给甲方。</w:t>
      </w:r>
    </w:p>
    <w:p w14:paraId="52AAD762">
      <w:pPr>
        <w:keepNext w:val="0"/>
        <w:keepLines w:val="0"/>
        <w:pageBreakBefore w:val="0"/>
        <w:widowControl w:val="0"/>
        <w:kinsoku/>
        <w:wordWrap/>
        <w:overflowPunct/>
        <w:topLinePunct w:val="0"/>
        <w:autoSpaceDE/>
        <w:autoSpaceDN/>
        <w:bidi w:val="0"/>
        <w:spacing w:line="560" w:lineRule="exact"/>
        <w:ind w:right="0" w:rightChars="0" w:firstLine="56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第九条</w:t>
      </w:r>
      <w:r>
        <w:rPr>
          <w:rFonts w:hint="eastAsia" w:ascii="仿宋_GB2312" w:hAnsi="仿宋_GB2312" w:eastAsia="仿宋_GB2312" w:cs="仿宋_GB2312"/>
          <w:color w:val="auto"/>
          <w:sz w:val="28"/>
          <w:szCs w:val="28"/>
          <w:highlight w:val="none"/>
        </w:rPr>
        <w:t xml:space="preserve"> 乙方收取</w:t>
      </w:r>
      <w:r>
        <w:rPr>
          <w:rFonts w:hint="eastAsia" w:ascii="仿宋_GB2312" w:hAnsi="仿宋_GB2312" w:eastAsia="仿宋_GB2312" w:cs="仿宋_GB2312"/>
          <w:color w:val="auto"/>
          <w:sz w:val="28"/>
          <w:szCs w:val="28"/>
          <w:highlight w:val="none"/>
          <w:lang w:eastAsia="zh-CN"/>
        </w:rPr>
        <w:t>案件代理费</w:t>
      </w:r>
      <w:r>
        <w:rPr>
          <w:rFonts w:hint="eastAsia" w:ascii="仿宋_GB2312" w:hAnsi="仿宋_GB2312" w:eastAsia="仿宋_GB2312" w:cs="仿宋_GB2312"/>
          <w:color w:val="auto"/>
          <w:sz w:val="28"/>
          <w:szCs w:val="28"/>
          <w:highlight w:val="none"/>
        </w:rPr>
        <w:t>的银行账</w:t>
      </w:r>
      <w:r>
        <w:rPr>
          <w:rFonts w:hint="eastAsia" w:ascii="仿宋_GB2312" w:hAnsi="仿宋_GB2312" w:eastAsia="仿宋_GB2312" w:cs="仿宋_GB2312"/>
          <w:color w:val="auto"/>
          <w:sz w:val="28"/>
          <w:szCs w:val="28"/>
          <w:highlight w:val="none"/>
          <w:lang w:val="en-US" w:eastAsia="zh-CN"/>
        </w:rPr>
        <w:t>户</w:t>
      </w:r>
      <w:r>
        <w:rPr>
          <w:rFonts w:hint="eastAsia" w:ascii="仿宋_GB2312" w:hAnsi="仿宋_GB2312" w:eastAsia="仿宋_GB2312" w:cs="仿宋_GB2312"/>
          <w:color w:val="auto"/>
          <w:sz w:val="28"/>
          <w:szCs w:val="28"/>
          <w:highlight w:val="none"/>
        </w:rPr>
        <w:t>为：</w:t>
      </w:r>
    </w:p>
    <w:p w14:paraId="07AAB4DE">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开户行：</w:t>
      </w:r>
    </w:p>
    <w:p w14:paraId="12ED251D">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开户名：</w:t>
      </w:r>
    </w:p>
    <w:p w14:paraId="7B2F5E0B">
      <w:pPr>
        <w:keepNext w:val="0"/>
        <w:keepLines w:val="0"/>
        <w:pageBreakBefore w:val="0"/>
        <w:widowControl w:val="0"/>
        <w:kinsoku/>
        <w:wordWrap/>
        <w:overflowPunct/>
        <w:topLinePunct w:val="0"/>
        <w:autoSpaceDE/>
        <w:autoSpaceDN/>
        <w:bidi w:val="0"/>
        <w:spacing w:line="56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账</w:t>
      </w:r>
      <w:r>
        <w:rPr>
          <w:rFonts w:hint="eastAsia" w:ascii="仿宋_GB2312" w:hAnsi="仿宋_GB2312" w:eastAsia="仿宋_GB2312" w:cs="仿宋_GB2312"/>
          <w:color w:val="auto"/>
          <w:sz w:val="28"/>
          <w:szCs w:val="28"/>
          <w:highlight w:val="none"/>
        </w:rPr>
        <w:t xml:space="preserve">  号：</w:t>
      </w:r>
    </w:p>
    <w:p w14:paraId="4D061DB3">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color w:val="auto"/>
          <w:sz w:val="28"/>
          <w:szCs w:val="28"/>
          <w:highlight w:val="none"/>
        </w:rPr>
        <w:t xml:space="preserve">第十条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eastAsia="zh-CN"/>
        </w:rPr>
        <w:t>存在下列情形之一的，甲方除有权解除与乙方的代理关系外，并要求乙方退还</w:t>
      </w:r>
      <w:r>
        <w:rPr>
          <w:rFonts w:hint="eastAsia" w:ascii="仿宋_GB2312" w:hAnsi="仿宋_GB2312" w:eastAsia="仿宋_GB2312" w:cs="仿宋_GB2312"/>
          <w:color w:val="auto"/>
          <w:sz w:val="28"/>
          <w:szCs w:val="28"/>
          <w:highlight w:val="none"/>
        </w:rPr>
        <w:t>已经收取的</w:t>
      </w:r>
      <w:r>
        <w:rPr>
          <w:rFonts w:hint="eastAsia" w:ascii="仿宋_GB2312" w:hAnsi="仿宋_GB2312" w:eastAsia="仿宋_GB2312" w:cs="仿宋_GB2312"/>
          <w:color w:val="auto"/>
          <w:sz w:val="28"/>
          <w:szCs w:val="28"/>
          <w:highlight w:val="none"/>
          <w:lang w:eastAsia="zh-CN"/>
        </w:rPr>
        <w:t>案件代理费，剩余未支付的案件代理费不予支付，给甲方造成损失的，还应当负责赔偿：（</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）乙方或乙方承办律师未按甲方要求从事代理事务的，经</w:t>
      </w:r>
      <w:r>
        <w:rPr>
          <w:rFonts w:hint="eastAsia" w:ascii="仿宋_GB2312" w:hAnsi="仿宋_GB2312" w:eastAsia="仿宋_GB2312" w:cs="仿宋_GB2312"/>
          <w:color w:val="auto"/>
          <w:sz w:val="28"/>
          <w:szCs w:val="28"/>
          <w:highlight w:val="none"/>
          <w:lang w:val="en-US" w:eastAsia="zh-CN"/>
        </w:rPr>
        <w:t>3次</w:t>
      </w:r>
      <w:r>
        <w:rPr>
          <w:rFonts w:hint="eastAsia" w:ascii="仿宋_GB2312" w:hAnsi="仿宋_GB2312" w:eastAsia="仿宋_GB2312" w:cs="仿宋_GB2312"/>
          <w:color w:val="auto"/>
          <w:sz w:val="28"/>
          <w:szCs w:val="28"/>
          <w:highlight w:val="none"/>
          <w:lang w:eastAsia="zh-CN"/>
        </w:rPr>
        <w:t>催告后仍不改正的；（</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）乙方或乙方律师与对方当事人或其代理人恶意串通的；（</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）乙方或乙方律师未经甲方同意，将与代理案件有关的任何资料和信息，告知或转让给第三方或用于本合同外的其他事项的。</w:t>
      </w:r>
    </w:p>
    <w:p w14:paraId="6D6A7DDC">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eastAsia="zh-CN"/>
        </w:rPr>
        <w:t>第十一条</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存在下列情形之一的，乙方除有权解除与甲方的代理关系外，已经收取的</w:t>
      </w:r>
      <w:r>
        <w:rPr>
          <w:rFonts w:hint="eastAsia" w:ascii="仿宋_GB2312" w:hAnsi="仿宋_GB2312" w:eastAsia="仿宋_GB2312" w:cs="仿宋_GB2312"/>
          <w:color w:val="auto"/>
          <w:sz w:val="28"/>
          <w:szCs w:val="28"/>
          <w:highlight w:val="none"/>
          <w:lang w:eastAsia="zh-CN"/>
        </w:rPr>
        <w:t>案件</w:t>
      </w:r>
      <w:r>
        <w:rPr>
          <w:rFonts w:hint="eastAsia" w:ascii="仿宋_GB2312" w:hAnsi="仿宋_GB2312" w:eastAsia="仿宋_GB2312" w:cs="仿宋_GB2312"/>
          <w:color w:val="auto"/>
          <w:sz w:val="28"/>
          <w:szCs w:val="28"/>
          <w:highlight w:val="none"/>
        </w:rPr>
        <w:t>代理</w:t>
      </w:r>
      <w:r>
        <w:rPr>
          <w:rFonts w:hint="eastAsia" w:ascii="仿宋_GB2312" w:hAnsi="仿宋_GB2312" w:eastAsia="仿宋_GB2312" w:cs="仿宋_GB2312"/>
          <w:color w:val="auto"/>
          <w:sz w:val="28"/>
          <w:szCs w:val="28"/>
          <w:highlight w:val="none"/>
          <w:lang w:eastAsia="zh-CN"/>
        </w:rPr>
        <w:t>费</w:t>
      </w:r>
      <w:r>
        <w:rPr>
          <w:rFonts w:hint="eastAsia" w:ascii="仿宋_GB2312" w:hAnsi="仿宋_GB2312" w:eastAsia="仿宋_GB2312" w:cs="仿宋_GB2312"/>
          <w:color w:val="auto"/>
          <w:sz w:val="28"/>
          <w:szCs w:val="28"/>
          <w:highlight w:val="none"/>
        </w:rPr>
        <w:t>不予退还，并有权向甲方追收根据本合同规定应收取而未收取的</w:t>
      </w:r>
      <w:r>
        <w:rPr>
          <w:rFonts w:hint="eastAsia" w:ascii="仿宋_GB2312" w:hAnsi="仿宋_GB2312" w:eastAsia="仿宋_GB2312" w:cs="仿宋_GB2312"/>
          <w:color w:val="auto"/>
          <w:sz w:val="28"/>
          <w:szCs w:val="28"/>
          <w:highlight w:val="none"/>
          <w:lang w:eastAsia="zh-CN"/>
        </w:rPr>
        <w:t>案件</w:t>
      </w:r>
      <w:r>
        <w:rPr>
          <w:rFonts w:hint="eastAsia" w:ascii="仿宋_GB2312" w:hAnsi="仿宋_GB2312" w:eastAsia="仿宋_GB2312" w:cs="仿宋_GB2312"/>
          <w:color w:val="auto"/>
          <w:sz w:val="28"/>
          <w:szCs w:val="28"/>
          <w:highlight w:val="none"/>
        </w:rPr>
        <w:t>代理</w:t>
      </w:r>
      <w:r>
        <w:rPr>
          <w:rFonts w:hint="eastAsia" w:ascii="仿宋_GB2312" w:hAnsi="仿宋_GB2312" w:eastAsia="仿宋_GB2312" w:cs="仿宋_GB2312"/>
          <w:color w:val="auto"/>
          <w:sz w:val="28"/>
          <w:szCs w:val="28"/>
          <w:highlight w:val="none"/>
          <w:lang w:eastAsia="zh-CN"/>
        </w:rPr>
        <w:t>费</w:t>
      </w:r>
      <w:r>
        <w:rPr>
          <w:rFonts w:hint="eastAsia" w:ascii="仿宋_GB2312" w:hAnsi="仿宋_GB2312" w:eastAsia="仿宋_GB2312" w:cs="仿宋_GB2312"/>
          <w:color w:val="auto"/>
          <w:sz w:val="28"/>
          <w:szCs w:val="28"/>
          <w:highlight w:val="none"/>
        </w:rPr>
        <w:t>：（1）甲方委托乙方后未按时足额支付</w:t>
      </w:r>
      <w:r>
        <w:rPr>
          <w:rFonts w:hint="eastAsia" w:ascii="仿宋_GB2312" w:hAnsi="仿宋_GB2312" w:eastAsia="仿宋_GB2312" w:cs="仿宋_GB2312"/>
          <w:color w:val="auto"/>
          <w:sz w:val="28"/>
          <w:szCs w:val="28"/>
          <w:highlight w:val="none"/>
          <w:lang w:eastAsia="zh-CN"/>
        </w:rPr>
        <w:t>案件代理</w:t>
      </w:r>
      <w:r>
        <w:rPr>
          <w:rFonts w:hint="eastAsia" w:ascii="仿宋_GB2312" w:hAnsi="仿宋_GB2312" w:eastAsia="仿宋_GB2312" w:cs="仿宋_GB2312"/>
          <w:color w:val="auto"/>
          <w:sz w:val="28"/>
          <w:szCs w:val="28"/>
          <w:highlight w:val="none"/>
        </w:rPr>
        <w:t>费的；（2）未经乙方同意，甲方另行委托其他第三方代理委托案件</w:t>
      </w:r>
      <w:r>
        <w:rPr>
          <w:rFonts w:hint="eastAsia" w:ascii="仿宋_GB2312" w:hAnsi="仿宋_GB2312" w:eastAsia="仿宋_GB2312" w:cs="仿宋_GB2312"/>
          <w:color w:val="auto"/>
          <w:sz w:val="28"/>
          <w:szCs w:val="28"/>
          <w:highlight w:val="none"/>
          <w:lang w:eastAsia="zh-CN"/>
        </w:rPr>
        <w:t>的</w:t>
      </w:r>
      <w:r>
        <w:rPr>
          <w:rFonts w:hint="eastAsia" w:ascii="仿宋_GB2312" w:hAnsi="仿宋_GB2312" w:eastAsia="仿宋_GB2312" w:cs="仿宋_GB2312"/>
          <w:color w:val="auto"/>
          <w:sz w:val="28"/>
          <w:szCs w:val="28"/>
          <w:highlight w:val="none"/>
        </w:rPr>
        <w:t>。</w:t>
      </w:r>
    </w:p>
    <w:p w14:paraId="52684960">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二</w:t>
      </w:r>
      <w:r>
        <w:rPr>
          <w:rFonts w:hint="eastAsia" w:ascii="仿宋_GB2312" w:hAnsi="仿宋_GB2312" w:eastAsia="仿宋_GB2312" w:cs="仿宋_GB2312"/>
          <w:b/>
          <w:color w:val="auto"/>
          <w:sz w:val="28"/>
          <w:szCs w:val="28"/>
          <w:highlight w:val="none"/>
        </w:rPr>
        <w:t>条</w:t>
      </w:r>
      <w:r>
        <w:rPr>
          <w:rFonts w:hint="eastAsia" w:ascii="仿宋_GB2312" w:hAnsi="仿宋_GB2312" w:eastAsia="仿宋_GB2312" w:cs="仿宋_GB2312"/>
          <w:color w:val="auto"/>
          <w:sz w:val="28"/>
          <w:szCs w:val="28"/>
          <w:highlight w:val="none"/>
        </w:rPr>
        <w:t xml:space="preserve"> 除非本合同另有约定，承办案件应支付的案件受理费、保全费等有关诉讼费用均由甲方承担。</w:t>
      </w:r>
    </w:p>
    <w:p w14:paraId="4BC27990">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乙方因承办案件在</w:t>
      </w:r>
      <w:r>
        <w:rPr>
          <w:rFonts w:hint="eastAsia" w:ascii="仿宋_GB2312" w:hAnsi="仿宋_GB2312" w:eastAsia="仿宋_GB2312" w:cs="仿宋_GB2312"/>
          <w:color w:val="auto"/>
          <w:sz w:val="28"/>
          <w:szCs w:val="28"/>
          <w:highlight w:val="none"/>
          <w:lang w:val="en-US" w:eastAsia="zh-CN"/>
        </w:rPr>
        <w:t>深圳市</w:t>
      </w:r>
      <w:r>
        <w:rPr>
          <w:rFonts w:hint="eastAsia" w:ascii="仿宋_GB2312" w:hAnsi="仿宋_GB2312" w:eastAsia="仿宋_GB2312" w:cs="仿宋_GB2312"/>
          <w:color w:val="auto"/>
          <w:sz w:val="28"/>
          <w:szCs w:val="28"/>
          <w:highlight w:val="none"/>
        </w:rPr>
        <w:t>外发生的交通费、住宿费等差旅费由乙方承</w:t>
      </w:r>
      <w:r>
        <w:rPr>
          <w:rFonts w:hint="eastAsia" w:ascii="仿宋_GB2312" w:hAnsi="仿宋_GB2312" w:eastAsia="仿宋_GB2312" w:cs="仿宋_GB2312"/>
          <w:color w:val="auto"/>
          <w:sz w:val="28"/>
          <w:szCs w:val="28"/>
        </w:rPr>
        <w:t>担。</w:t>
      </w:r>
    </w:p>
    <w:p w14:paraId="7BE1164B">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textAlignment w:val="auto"/>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bCs/>
          <w:color w:val="auto"/>
          <w:sz w:val="28"/>
          <w:szCs w:val="28"/>
        </w:rPr>
        <w:t>第十</w:t>
      </w:r>
      <w:r>
        <w:rPr>
          <w:rFonts w:hint="eastAsia" w:ascii="仿宋_GB2312" w:hAnsi="仿宋_GB2312" w:eastAsia="仿宋_GB2312" w:cs="仿宋_GB2312"/>
          <w:b/>
          <w:bCs/>
          <w:color w:val="auto"/>
          <w:sz w:val="28"/>
          <w:szCs w:val="28"/>
          <w:lang w:val="en-US" w:eastAsia="zh-CN"/>
        </w:rPr>
        <w:t>三</w:t>
      </w:r>
      <w:r>
        <w:rPr>
          <w:rFonts w:hint="eastAsia" w:ascii="仿宋_GB2312" w:hAnsi="仿宋_GB2312" w:eastAsia="仿宋_GB2312" w:cs="仿宋_GB2312"/>
          <w:b/>
          <w:bCs/>
          <w:color w:val="auto"/>
          <w:sz w:val="28"/>
          <w:szCs w:val="28"/>
        </w:rPr>
        <w:t>条</w:t>
      </w:r>
      <w:r>
        <w:rPr>
          <w:rFonts w:hint="eastAsia" w:ascii="仿宋_GB2312" w:hAnsi="仿宋_GB2312" w:eastAsia="仿宋_GB2312" w:cs="仿宋_GB2312"/>
          <w:b w:val="0"/>
          <w:bCs w:val="0"/>
          <w:color w:val="auto"/>
          <w:sz w:val="28"/>
          <w:szCs w:val="28"/>
        </w:rPr>
        <w:t xml:space="preserve"> 因本合同履行发生争议，由甲、乙双方协商解决。协商不成，任何一方均可向本合同签署地法院提起诉讼解决</w:t>
      </w:r>
      <w:r>
        <w:rPr>
          <w:rFonts w:hint="eastAsia" w:ascii="仿宋_GB2312" w:hAnsi="仿宋_GB2312" w:eastAsia="仿宋_GB2312" w:cs="仿宋_GB2312"/>
          <w:b w:val="0"/>
          <w:bCs w:val="0"/>
          <w:color w:val="auto"/>
          <w:sz w:val="28"/>
          <w:szCs w:val="28"/>
          <w:lang w:eastAsia="zh-CN"/>
        </w:rPr>
        <w:t>。</w:t>
      </w:r>
    </w:p>
    <w:p w14:paraId="63BD5CA3">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第十</w:t>
      </w:r>
      <w:r>
        <w:rPr>
          <w:rFonts w:hint="eastAsia" w:ascii="仿宋_GB2312" w:hAnsi="仿宋_GB2312" w:eastAsia="仿宋_GB2312" w:cs="仿宋_GB2312"/>
          <w:b/>
          <w:color w:val="auto"/>
          <w:sz w:val="28"/>
          <w:szCs w:val="28"/>
          <w:lang w:val="en-US" w:eastAsia="zh-CN"/>
        </w:rPr>
        <w:t>四</w:t>
      </w:r>
      <w:r>
        <w:rPr>
          <w:rFonts w:hint="eastAsia" w:ascii="仿宋_GB2312" w:hAnsi="仿宋_GB2312" w:eastAsia="仿宋_GB2312" w:cs="仿宋_GB2312"/>
          <w:b/>
          <w:color w:val="auto"/>
          <w:sz w:val="28"/>
          <w:szCs w:val="28"/>
        </w:rPr>
        <w:t>条</w:t>
      </w:r>
      <w:r>
        <w:rPr>
          <w:rFonts w:hint="eastAsia" w:ascii="仿宋_GB2312" w:hAnsi="仿宋_GB2312" w:eastAsia="仿宋_GB2312" w:cs="仿宋_GB2312"/>
          <w:color w:val="auto"/>
          <w:sz w:val="28"/>
          <w:szCs w:val="28"/>
        </w:rPr>
        <w:t xml:space="preserve"> 本合同由甲、乙双方签字盖章后生效。本合同壹式</w:t>
      </w:r>
      <w:r>
        <w:rPr>
          <w:rFonts w:hint="eastAsia" w:ascii="仿宋_GB2312" w:hAnsi="仿宋_GB2312" w:eastAsia="仿宋_GB2312" w:cs="仿宋_GB2312"/>
          <w:color w:val="auto"/>
          <w:sz w:val="28"/>
          <w:szCs w:val="28"/>
          <w:lang w:val="en-US" w:eastAsia="zh-CN"/>
        </w:rPr>
        <w:t>肆</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方贰份，</w:t>
      </w:r>
      <w:r>
        <w:rPr>
          <w:rFonts w:hint="eastAsia" w:ascii="仿宋_GB2312" w:hAnsi="仿宋_GB2312" w:eastAsia="仿宋_GB2312" w:cs="仿宋_GB2312"/>
          <w:color w:val="auto"/>
          <w:sz w:val="28"/>
          <w:szCs w:val="28"/>
        </w:rPr>
        <w:t>乙方壹份，</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rPr>
        <w:t>承办律师壹份，具同等法律效力。</w:t>
      </w:r>
    </w:p>
    <w:p w14:paraId="65B7179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62"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第十</w:t>
      </w:r>
      <w:r>
        <w:rPr>
          <w:rFonts w:hint="eastAsia" w:ascii="仿宋_GB2312" w:hAnsi="仿宋_GB2312" w:eastAsia="仿宋_GB2312" w:cs="仿宋_GB2312"/>
          <w:b/>
          <w:color w:val="auto"/>
          <w:sz w:val="28"/>
          <w:szCs w:val="28"/>
          <w:lang w:val="en-US" w:eastAsia="zh-CN"/>
        </w:rPr>
        <w:t>五</w:t>
      </w:r>
      <w:r>
        <w:rPr>
          <w:rFonts w:hint="eastAsia" w:ascii="仿宋_GB2312" w:hAnsi="仿宋_GB2312" w:eastAsia="仿宋_GB2312" w:cs="仿宋_GB2312"/>
          <w:b/>
          <w:color w:val="auto"/>
          <w:sz w:val="28"/>
          <w:szCs w:val="28"/>
        </w:rPr>
        <w:t xml:space="preserve">条 </w:t>
      </w:r>
      <w:r>
        <w:rPr>
          <w:rFonts w:hint="eastAsia" w:ascii="仿宋_GB2312" w:hAnsi="仿宋_GB2312" w:eastAsia="仿宋_GB2312" w:cs="仿宋_GB2312"/>
          <w:color w:val="auto"/>
          <w:sz w:val="28"/>
          <w:szCs w:val="28"/>
        </w:rPr>
        <w:t>本合同未尽事宜，或履行过程中出现新的情况，双方可另行协商签订补充协议。</w:t>
      </w:r>
    </w:p>
    <w:p w14:paraId="54CFD17F">
      <w:pPr>
        <w:keepNext w:val="0"/>
        <w:keepLines w:val="0"/>
        <w:pageBreakBefore w:val="0"/>
        <w:widowControl w:val="0"/>
        <w:kinsoku/>
        <w:wordWrap/>
        <w:overflowPunct/>
        <w:topLinePunct w:val="0"/>
        <w:autoSpaceDE/>
        <w:autoSpaceDN/>
        <w:bidi w:val="0"/>
        <w:spacing w:line="560" w:lineRule="exact"/>
        <w:ind w:right="0" w:right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（以下无正文）</w:t>
      </w:r>
    </w:p>
    <w:p w14:paraId="5F7E6959">
      <w:pPr>
        <w:keepNext w:val="0"/>
        <w:keepLines w:val="0"/>
        <w:pageBreakBefore w:val="0"/>
        <w:widowControl w:val="0"/>
        <w:kinsoku/>
        <w:wordWrap/>
        <w:overflowPunct/>
        <w:topLinePunct w:val="0"/>
        <w:autoSpaceDE/>
        <w:autoSpaceDN/>
        <w:bidi w:val="0"/>
        <w:spacing w:before="50" w:after="50" w:line="560" w:lineRule="exact"/>
        <w:ind w:right="25" w:rightChars="12" w:firstLine="525"/>
        <w:textAlignment w:val="auto"/>
        <w:rPr>
          <w:rFonts w:hint="eastAsia" w:ascii="仿宋_GB2312" w:hAnsi="仿宋_GB2312" w:eastAsia="仿宋_GB2312" w:cs="仿宋_GB2312"/>
          <w:color w:val="auto"/>
          <w:sz w:val="28"/>
          <w:szCs w:val="28"/>
        </w:rPr>
      </w:pPr>
    </w:p>
    <w:p w14:paraId="38D024BC">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28"/>
          <w:szCs w:val="28"/>
        </w:rPr>
      </w:pPr>
    </w:p>
    <w:p w14:paraId="46B2CB2A">
      <w:pPr>
        <w:pStyle w:val="3"/>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28"/>
          <w:szCs w:val="28"/>
        </w:rPr>
      </w:pPr>
    </w:p>
    <w:p w14:paraId="661B25C0">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28"/>
          <w:szCs w:val="28"/>
        </w:rPr>
      </w:pPr>
    </w:p>
    <w:p w14:paraId="5A0CA9ED">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28"/>
          <w:szCs w:val="28"/>
        </w:rPr>
      </w:pPr>
    </w:p>
    <w:p w14:paraId="152B7322">
      <w:pPr>
        <w:pStyle w:val="3"/>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28"/>
          <w:szCs w:val="28"/>
        </w:rPr>
      </w:pPr>
    </w:p>
    <w:p w14:paraId="63823508">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28"/>
          <w:szCs w:val="28"/>
        </w:rPr>
      </w:pPr>
    </w:p>
    <w:p w14:paraId="2320E31D">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28"/>
          <w:szCs w:val="28"/>
        </w:rPr>
      </w:pPr>
    </w:p>
    <w:p w14:paraId="11A263AF">
      <w:pPr>
        <w:pStyle w:val="3"/>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28"/>
          <w:szCs w:val="28"/>
        </w:rPr>
      </w:pPr>
    </w:p>
    <w:p w14:paraId="78BA8B4B">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（本页无正文，为签署页）</w:t>
      </w:r>
    </w:p>
    <w:p w14:paraId="751498BF">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8"/>
          <w:szCs w:val="28"/>
        </w:rPr>
      </w:pPr>
    </w:p>
    <w:p w14:paraId="0D032734">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rPr>
        <w:t>甲方：</w:t>
      </w:r>
      <w:r>
        <w:rPr>
          <w:rFonts w:hint="eastAsia" w:ascii="仿宋_GB2312" w:hAnsi="仿宋_GB2312" w:eastAsia="仿宋_GB2312" w:cs="仿宋_GB2312"/>
          <w:b w:val="0"/>
          <w:bCs/>
          <w:color w:val="auto"/>
          <w:sz w:val="28"/>
          <w:szCs w:val="28"/>
          <w:lang w:eastAsia="zh-CN"/>
        </w:rPr>
        <w:t>深圳市龙岗区城投置地开发有限公司</w:t>
      </w:r>
      <w:r>
        <w:rPr>
          <w:rFonts w:hint="eastAsia" w:ascii="仿宋_GB2312" w:hAnsi="仿宋_GB2312" w:eastAsia="仿宋_GB2312" w:cs="仿宋_GB2312"/>
          <w:b/>
          <w:color w:val="auto"/>
          <w:sz w:val="28"/>
          <w:szCs w:val="28"/>
          <w:lang w:val="en-US" w:eastAsia="zh-CN"/>
        </w:rPr>
        <w:t xml:space="preserve">   </w:t>
      </w:r>
    </w:p>
    <w:p w14:paraId="0FFB34C4">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法定代表人或授权代表：</w:t>
      </w:r>
    </w:p>
    <w:p w14:paraId="371AC796">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 xml:space="preserve">  </w:t>
      </w:r>
    </w:p>
    <w:p w14:paraId="319F5DAE">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color w:val="auto"/>
          <w:sz w:val="28"/>
          <w:szCs w:val="28"/>
          <w:lang w:val="en-US" w:eastAsia="zh-CN"/>
        </w:rPr>
      </w:pPr>
    </w:p>
    <w:p w14:paraId="242C42E1">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 xml:space="preserve">  </w:t>
      </w:r>
    </w:p>
    <w:p w14:paraId="12BB6DD0">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rPr>
        <w:t>乙方：</w:t>
      </w:r>
      <w:r>
        <w:rPr>
          <w:rFonts w:hint="eastAsia" w:ascii="仿宋_GB2312" w:hAnsi="仿宋_GB2312" w:eastAsia="仿宋_GB2312" w:cs="仿宋_GB2312"/>
          <w:b/>
          <w:color w:val="auto"/>
          <w:sz w:val="28"/>
          <w:szCs w:val="28"/>
          <w:lang w:val="en-US" w:eastAsia="zh-CN"/>
        </w:rPr>
        <w:t xml:space="preserve"> </w:t>
      </w:r>
    </w:p>
    <w:p w14:paraId="52F1AC2B">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 xml:space="preserve">负责人或授权代表：               </w:t>
      </w:r>
    </w:p>
    <w:p w14:paraId="321A0122">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color w:val="auto"/>
          <w:sz w:val="28"/>
          <w:szCs w:val="28"/>
        </w:rPr>
      </w:pPr>
    </w:p>
    <w:p w14:paraId="43EE24CD">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color w:val="auto"/>
          <w:sz w:val="28"/>
          <w:szCs w:val="28"/>
        </w:rPr>
      </w:pPr>
    </w:p>
    <w:p w14:paraId="00E76FF4">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color w:val="auto"/>
          <w:sz w:val="28"/>
          <w:szCs w:val="28"/>
        </w:rPr>
        <w:t>签约地点：</w:t>
      </w:r>
      <w:r>
        <w:rPr>
          <w:rFonts w:hint="eastAsia" w:ascii="仿宋_GB2312" w:hAnsi="仿宋_GB2312" w:eastAsia="仿宋_GB2312" w:cs="仿宋_GB2312"/>
          <w:b w:val="0"/>
          <w:bCs/>
          <w:color w:val="auto"/>
          <w:sz w:val="28"/>
          <w:szCs w:val="28"/>
        </w:rPr>
        <w:t xml:space="preserve">深圳市龙岗区         </w:t>
      </w:r>
    </w:p>
    <w:p w14:paraId="21D3A5A4">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color w:val="auto"/>
          <w:sz w:val="28"/>
          <w:szCs w:val="28"/>
        </w:rPr>
        <w:t>签约时间：</w:t>
      </w:r>
      <w:r>
        <w:rPr>
          <w:rFonts w:hint="eastAsia" w:ascii="仿宋_GB2312" w:hAnsi="仿宋_GB2312" w:eastAsia="仿宋_GB2312" w:cs="仿宋_GB2312"/>
          <w:b w:val="0"/>
          <w:bCs/>
          <w:color w:val="auto"/>
          <w:sz w:val="28"/>
          <w:szCs w:val="28"/>
        </w:rPr>
        <w:t xml:space="preserve">       年   月   日</w:t>
      </w:r>
    </w:p>
    <w:p w14:paraId="7A95BC2F">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val="0"/>
          <w:bCs/>
          <w:color w:val="auto"/>
          <w:sz w:val="28"/>
          <w:szCs w:val="28"/>
        </w:rPr>
      </w:pPr>
    </w:p>
    <w:p w14:paraId="497E142B">
      <w:pPr>
        <w:pStyle w:val="3"/>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b w:val="0"/>
          <w:bCs/>
          <w:color w:val="auto"/>
          <w:sz w:val="28"/>
          <w:szCs w:val="28"/>
        </w:rPr>
      </w:pPr>
    </w:p>
    <w:p w14:paraId="18CF553F">
      <w:pPr>
        <w:pStyle w:val="3"/>
        <w:ind w:left="0" w:leftChars="0" w:firstLine="0" w:firstLineChars="0"/>
        <w:rPr>
          <w:rFonts w:hint="eastAsia" w:ascii="仿宋_GB2312" w:hAnsi="仿宋_GB2312" w:eastAsia="仿宋_GB2312" w:cs="仿宋_GB2312"/>
          <w:b w:val="0"/>
          <w:bCs/>
          <w:color w:val="auto"/>
          <w:sz w:val="28"/>
          <w:szCs w:val="28"/>
        </w:rPr>
      </w:pPr>
    </w:p>
    <w:p w14:paraId="6C832DE6">
      <w:pPr>
        <w:rPr>
          <w:rFonts w:hint="eastAsia" w:ascii="仿宋_GB2312" w:hAnsi="仿宋_GB2312" w:eastAsia="仿宋_GB2312" w:cs="仿宋_GB2312"/>
          <w:b w:val="0"/>
          <w:bCs/>
          <w:color w:val="auto"/>
          <w:sz w:val="28"/>
          <w:szCs w:val="28"/>
        </w:rPr>
      </w:pPr>
    </w:p>
    <w:p w14:paraId="37C90CE3">
      <w:pPr>
        <w:pStyle w:val="2"/>
        <w:rPr>
          <w:rFonts w:hint="eastAsia" w:ascii="仿宋_GB2312" w:hAnsi="仿宋_GB2312" w:eastAsia="仿宋_GB2312" w:cs="仿宋_GB2312"/>
          <w:sz w:val="28"/>
          <w:szCs w:val="28"/>
        </w:rPr>
      </w:pPr>
    </w:p>
    <w:p w14:paraId="18BDDE25">
      <w:pPr>
        <w:pStyle w:val="3"/>
        <w:rPr>
          <w:rFonts w:hint="eastAsia" w:ascii="仿宋_GB2312" w:hAnsi="仿宋_GB2312" w:eastAsia="仿宋_GB2312" w:cs="仿宋_GB2312"/>
          <w:sz w:val="28"/>
          <w:szCs w:val="28"/>
        </w:rPr>
      </w:pPr>
    </w:p>
    <w:p w14:paraId="138201A1">
      <w:pPr>
        <w:rPr>
          <w:rFonts w:hint="eastAsia" w:ascii="仿宋_GB2312" w:hAnsi="仿宋_GB2312" w:eastAsia="仿宋_GB2312" w:cs="仿宋_GB2312"/>
          <w:sz w:val="28"/>
          <w:szCs w:val="28"/>
        </w:rPr>
      </w:pPr>
    </w:p>
    <w:p w14:paraId="75F881B7">
      <w:pPr>
        <w:pStyle w:val="2"/>
        <w:rPr>
          <w:rFonts w:hint="eastAsia" w:ascii="仿宋_GB2312" w:hAnsi="仿宋_GB2312" w:eastAsia="仿宋_GB2312" w:cs="仿宋_GB2312"/>
          <w:sz w:val="28"/>
          <w:szCs w:val="28"/>
        </w:rPr>
      </w:pPr>
    </w:p>
    <w:p w14:paraId="53B31843">
      <w:pPr>
        <w:pStyle w:val="3"/>
        <w:rPr>
          <w:rFonts w:hint="eastAsia" w:ascii="仿宋_GB2312" w:hAnsi="仿宋_GB2312" w:eastAsia="仿宋_GB2312" w:cs="仿宋_GB2312"/>
          <w:sz w:val="28"/>
          <w:szCs w:val="28"/>
        </w:rPr>
      </w:pPr>
    </w:p>
    <w:p w14:paraId="031B3D1E">
      <w:pPr>
        <w:rPr>
          <w:rFonts w:hint="eastAsia" w:ascii="仿宋_GB2312" w:hAnsi="仿宋_GB2312" w:eastAsia="仿宋_GB2312" w:cs="仿宋_GB2312"/>
          <w:sz w:val="28"/>
          <w:szCs w:val="28"/>
        </w:rPr>
      </w:pPr>
    </w:p>
    <w:p w14:paraId="73080F60">
      <w:pPr>
        <w:tabs>
          <w:tab w:val="left" w:pos="3006"/>
        </w:tabs>
        <w:bidi w:val="0"/>
        <w:jc w:val="both"/>
        <w:rPr>
          <w:rFonts w:hint="eastAsia" w:ascii="宋体" w:hAnsi="宋体" w:cs="宋体"/>
          <w:b w:val="0"/>
          <w:bCs w:val="0"/>
          <w:color w:val="auto"/>
          <w:kern w:val="2"/>
          <w:sz w:val="24"/>
          <w:szCs w:val="24"/>
          <w:lang w:val="en-US" w:eastAsia="zh-CN"/>
        </w:rPr>
      </w:pPr>
      <w:r>
        <w:rPr>
          <w:rFonts w:hint="eastAsia" w:ascii="宋体" w:hAnsi="宋体" w:eastAsia="宋体" w:cs="宋体"/>
          <w:b w:val="0"/>
          <w:bCs w:val="0"/>
          <w:color w:val="auto"/>
          <w:kern w:val="2"/>
          <w:sz w:val="24"/>
          <w:szCs w:val="24"/>
        </w:rPr>
        <w:t>附件</w:t>
      </w:r>
      <w:r>
        <w:rPr>
          <w:rFonts w:hint="eastAsia" w:ascii="宋体" w:hAnsi="宋体" w:cs="宋体"/>
          <w:b w:val="0"/>
          <w:bCs w:val="0"/>
          <w:color w:val="auto"/>
          <w:kern w:val="2"/>
          <w:sz w:val="24"/>
          <w:szCs w:val="24"/>
          <w:lang w:val="en-US" w:eastAsia="zh-CN"/>
        </w:rPr>
        <w:t>1</w:t>
      </w:r>
      <w:r>
        <w:rPr>
          <w:rFonts w:hint="eastAsia" w:ascii="宋体" w:hAnsi="宋体" w:eastAsia="宋体" w:cs="宋体"/>
          <w:b w:val="0"/>
          <w:bCs w:val="0"/>
          <w:color w:val="auto"/>
          <w:kern w:val="2"/>
          <w:sz w:val="24"/>
          <w:szCs w:val="24"/>
        </w:rPr>
        <w:t>：</w:t>
      </w:r>
      <w:r>
        <w:rPr>
          <w:rFonts w:hint="eastAsia" w:ascii="宋体" w:hAnsi="宋体" w:cs="宋体"/>
          <w:b w:val="0"/>
          <w:bCs w:val="0"/>
          <w:color w:val="auto"/>
          <w:kern w:val="2"/>
          <w:sz w:val="24"/>
          <w:szCs w:val="24"/>
          <w:lang w:val="en-US" w:eastAsia="zh-CN"/>
        </w:rPr>
        <w:t xml:space="preserve">        </w:t>
      </w:r>
    </w:p>
    <w:p w14:paraId="19E6F362">
      <w:pPr>
        <w:spacing w:line="560" w:lineRule="exact"/>
        <w:ind w:firstLine="3200" w:firstLineChars="1000"/>
        <w:jc w:val="left"/>
        <w:rPr>
          <w:rFonts w:hint="eastAsia" w:ascii="仿宋_GB2312" w:eastAsia="仿宋_GB2312"/>
          <w:sz w:val="32"/>
          <w:szCs w:val="32"/>
        </w:rPr>
      </w:pPr>
      <w:r>
        <w:rPr>
          <w:rFonts w:hint="eastAsia" w:ascii="仿宋_GB2312" w:eastAsia="仿宋_GB2312"/>
          <w:sz w:val="32"/>
          <w:szCs w:val="32"/>
        </w:rPr>
        <w:t xml:space="preserve">履约评价表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3327"/>
        <w:gridCol w:w="1132"/>
        <w:gridCol w:w="1036"/>
        <w:gridCol w:w="1228"/>
        <w:gridCol w:w="1223"/>
        <w:gridCol w:w="7"/>
      </w:tblGrid>
      <w:tr w14:paraId="4B51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107" w:type="dxa"/>
            <w:noWrap w:val="0"/>
            <w:vAlign w:val="top"/>
          </w:tcPr>
          <w:p w14:paraId="08088DC0">
            <w:pPr>
              <w:spacing w:line="560" w:lineRule="exact"/>
              <w:jc w:val="left"/>
              <w:rPr>
                <w:rFonts w:hint="eastAsia" w:ascii="仿宋_GB2312" w:eastAsia="仿宋_GB2312"/>
                <w:szCs w:val="21"/>
              </w:rPr>
            </w:pPr>
            <w:r>
              <w:rPr>
                <w:rFonts w:hint="eastAsia" w:ascii="仿宋_GB2312" w:eastAsia="仿宋_GB2312"/>
                <w:szCs w:val="21"/>
              </w:rPr>
              <w:t>评价日期</w:t>
            </w:r>
          </w:p>
          <w:p w14:paraId="4B96A780">
            <w:pPr>
              <w:spacing w:line="560" w:lineRule="exact"/>
              <w:jc w:val="left"/>
              <w:rPr>
                <w:rFonts w:hint="eastAsia" w:ascii="仿宋_GB2312" w:eastAsia="仿宋_GB2312"/>
                <w:szCs w:val="21"/>
              </w:rPr>
            </w:pPr>
          </w:p>
        </w:tc>
        <w:tc>
          <w:tcPr>
            <w:tcW w:w="3327" w:type="dxa"/>
            <w:noWrap w:val="0"/>
            <w:vAlign w:val="top"/>
          </w:tcPr>
          <w:p w14:paraId="484B63D3">
            <w:pPr>
              <w:spacing w:line="560" w:lineRule="exact"/>
              <w:jc w:val="left"/>
              <w:rPr>
                <w:rFonts w:hint="eastAsia" w:ascii="仿宋_GB2312" w:eastAsia="仿宋_GB2312"/>
                <w:szCs w:val="21"/>
              </w:rPr>
            </w:pPr>
          </w:p>
        </w:tc>
        <w:tc>
          <w:tcPr>
            <w:tcW w:w="1132" w:type="dxa"/>
            <w:noWrap w:val="0"/>
            <w:vAlign w:val="top"/>
          </w:tcPr>
          <w:p w14:paraId="7504FA3E">
            <w:pPr>
              <w:spacing w:line="560" w:lineRule="exact"/>
              <w:jc w:val="left"/>
              <w:rPr>
                <w:rFonts w:hint="eastAsia" w:ascii="仿宋_GB2312" w:eastAsia="仿宋_GB2312"/>
                <w:szCs w:val="21"/>
              </w:rPr>
            </w:pPr>
            <w:r>
              <w:rPr>
                <w:rFonts w:hint="eastAsia" w:ascii="仿宋_GB2312" w:eastAsia="仿宋_GB2312"/>
                <w:szCs w:val="21"/>
              </w:rPr>
              <w:t>被评价单位：</w:t>
            </w:r>
          </w:p>
        </w:tc>
        <w:tc>
          <w:tcPr>
            <w:tcW w:w="3494" w:type="dxa"/>
            <w:gridSpan w:val="4"/>
            <w:noWrap w:val="0"/>
            <w:vAlign w:val="top"/>
          </w:tcPr>
          <w:p w14:paraId="35B7389D">
            <w:pPr>
              <w:spacing w:line="560" w:lineRule="exact"/>
              <w:jc w:val="left"/>
              <w:rPr>
                <w:rFonts w:hint="eastAsia" w:ascii="仿宋_GB2312" w:eastAsia="仿宋_GB2312"/>
                <w:szCs w:val="21"/>
              </w:rPr>
            </w:pPr>
          </w:p>
        </w:tc>
      </w:tr>
      <w:tr w14:paraId="2ED5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107" w:type="dxa"/>
            <w:noWrap w:val="0"/>
            <w:vAlign w:val="top"/>
          </w:tcPr>
          <w:p w14:paraId="40918777">
            <w:pPr>
              <w:spacing w:line="560" w:lineRule="exact"/>
              <w:jc w:val="left"/>
              <w:rPr>
                <w:rFonts w:hint="eastAsia" w:ascii="仿宋_GB2312" w:eastAsia="仿宋_GB2312"/>
                <w:szCs w:val="21"/>
              </w:rPr>
            </w:pPr>
            <w:r>
              <w:rPr>
                <w:rFonts w:hint="eastAsia" w:ascii="仿宋_GB2312" w:eastAsia="仿宋_GB2312"/>
                <w:sz w:val="24"/>
                <w:lang w:eastAsia="zh-CN"/>
              </w:rPr>
              <w:t>评价</w:t>
            </w:r>
            <w:r>
              <w:rPr>
                <w:rFonts w:hint="eastAsia" w:ascii="仿宋_GB2312" w:eastAsia="仿宋_GB2312"/>
                <w:sz w:val="24"/>
              </w:rPr>
              <w:t>部门：</w:t>
            </w:r>
            <w:r>
              <w:rPr>
                <w:rFonts w:hint="eastAsia" w:ascii="仿宋_GB2312" w:eastAsia="仿宋_GB2312"/>
                <w:sz w:val="32"/>
                <w:szCs w:val="32"/>
              </w:rPr>
              <w:t xml:space="preserve"> </w:t>
            </w:r>
          </w:p>
        </w:tc>
        <w:tc>
          <w:tcPr>
            <w:tcW w:w="3327" w:type="dxa"/>
            <w:noWrap w:val="0"/>
            <w:vAlign w:val="top"/>
          </w:tcPr>
          <w:p w14:paraId="6BC41730">
            <w:pPr>
              <w:spacing w:line="560" w:lineRule="exact"/>
              <w:jc w:val="left"/>
              <w:rPr>
                <w:rFonts w:hint="eastAsia" w:ascii="仿宋_GB2312" w:eastAsia="仿宋_GB2312"/>
                <w:szCs w:val="21"/>
              </w:rPr>
            </w:pPr>
          </w:p>
        </w:tc>
        <w:tc>
          <w:tcPr>
            <w:tcW w:w="1132" w:type="dxa"/>
            <w:noWrap w:val="0"/>
            <w:vAlign w:val="top"/>
          </w:tcPr>
          <w:p w14:paraId="486351D5">
            <w:pPr>
              <w:spacing w:line="560" w:lineRule="exact"/>
              <w:jc w:val="left"/>
              <w:rPr>
                <w:rFonts w:hint="eastAsia" w:ascii="仿宋_GB2312" w:eastAsia="仿宋_GB2312"/>
                <w:szCs w:val="21"/>
              </w:rPr>
            </w:pPr>
            <w:r>
              <w:rPr>
                <w:rFonts w:hint="eastAsia" w:ascii="仿宋_GB2312" w:eastAsia="仿宋_GB2312"/>
                <w:sz w:val="24"/>
              </w:rPr>
              <w:t>评价人：</w:t>
            </w:r>
            <w:r>
              <w:rPr>
                <w:rFonts w:hint="eastAsia" w:ascii="仿宋_GB2312" w:eastAsia="仿宋_GB2312"/>
                <w:sz w:val="32"/>
                <w:szCs w:val="32"/>
              </w:rPr>
              <w:t xml:space="preserve">    </w:t>
            </w:r>
          </w:p>
        </w:tc>
        <w:tc>
          <w:tcPr>
            <w:tcW w:w="3494" w:type="dxa"/>
            <w:gridSpan w:val="4"/>
            <w:noWrap w:val="0"/>
            <w:vAlign w:val="top"/>
          </w:tcPr>
          <w:p w14:paraId="7387EB37">
            <w:pPr>
              <w:spacing w:line="560" w:lineRule="exact"/>
              <w:jc w:val="left"/>
              <w:rPr>
                <w:rFonts w:hint="eastAsia" w:ascii="仿宋_GB2312" w:eastAsia="仿宋_GB2312"/>
                <w:szCs w:val="21"/>
              </w:rPr>
            </w:pPr>
          </w:p>
        </w:tc>
      </w:tr>
      <w:tr w14:paraId="6027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107" w:type="dxa"/>
            <w:noWrap w:val="0"/>
            <w:vAlign w:val="top"/>
          </w:tcPr>
          <w:p w14:paraId="4356B97B">
            <w:pPr>
              <w:spacing w:line="560" w:lineRule="exact"/>
              <w:jc w:val="left"/>
              <w:rPr>
                <w:rFonts w:hint="eastAsia" w:ascii="仿宋_GB2312" w:eastAsia="仿宋_GB2312"/>
                <w:szCs w:val="21"/>
              </w:rPr>
            </w:pPr>
            <w:r>
              <w:rPr>
                <w:rFonts w:hint="eastAsia" w:ascii="仿宋_GB2312" w:eastAsia="仿宋_GB2312"/>
                <w:szCs w:val="21"/>
              </w:rPr>
              <w:t>合同名称</w:t>
            </w:r>
          </w:p>
        </w:tc>
        <w:tc>
          <w:tcPr>
            <w:tcW w:w="3327" w:type="dxa"/>
            <w:noWrap w:val="0"/>
            <w:vAlign w:val="top"/>
          </w:tcPr>
          <w:p w14:paraId="33B021BB">
            <w:pPr>
              <w:spacing w:line="560" w:lineRule="exact"/>
              <w:jc w:val="left"/>
              <w:rPr>
                <w:rFonts w:hint="eastAsia" w:ascii="仿宋_GB2312" w:eastAsia="仿宋_GB2312"/>
                <w:szCs w:val="21"/>
              </w:rPr>
            </w:pPr>
          </w:p>
        </w:tc>
        <w:tc>
          <w:tcPr>
            <w:tcW w:w="1132" w:type="dxa"/>
            <w:noWrap w:val="0"/>
            <w:vAlign w:val="top"/>
          </w:tcPr>
          <w:p w14:paraId="40CC0718">
            <w:pPr>
              <w:spacing w:line="560" w:lineRule="exact"/>
              <w:jc w:val="left"/>
              <w:rPr>
                <w:rFonts w:hint="eastAsia" w:ascii="仿宋_GB2312" w:eastAsia="仿宋_GB2312"/>
                <w:szCs w:val="21"/>
              </w:rPr>
            </w:pPr>
            <w:r>
              <w:rPr>
                <w:rFonts w:hint="eastAsia" w:ascii="仿宋_GB2312" w:eastAsia="仿宋_GB2312"/>
                <w:szCs w:val="21"/>
              </w:rPr>
              <w:t>合同编号</w:t>
            </w:r>
          </w:p>
        </w:tc>
        <w:tc>
          <w:tcPr>
            <w:tcW w:w="3494" w:type="dxa"/>
            <w:gridSpan w:val="4"/>
            <w:noWrap w:val="0"/>
            <w:vAlign w:val="top"/>
          </w:tcPr>
          <w:p w14:paraId="520EC059">
            <w:pPr>
              <w:spacing w:line="560" w:lineRule="exact"/>
              <w:jc w:val="left"/>
              <w:rPr>
                <w:rFonts w:hint="eastAsia" w:ascii="仿宋_GB2312" w:eastAsia="仿宋_GB2312"/>
                <w:szCs w:val="21"/>
              </w:rPr>
            </w:pPr>
          </w:p>
        </w:tc>
      </w:tr>
      <w:tr w14:paraId="6A9D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noWrap w:val="0"/>
            <w:vAlign w:val="top"/>
          </w:tcPr>
          <w:p w14:paraId="1899FB93">
            <w:pPr>
              <w:spacing w:line="560" w:lineRule="exact"/>
              <w:jc w:val="left"/>
              <w:rPr>
                <w:rFonts w:ascii="仿宋_GB2312" w:eastAsia="仿宋_GB2312"/>
                <w:szCs w:val="21"/>
              </w:rPr>
            </w:pPr>
            <w:r>
              <w:rPr>
                <w:rFonts w:hint="eastAsia" w:ascii="仿宋_GB2312" w:eastAsia="仿宋_GB2312"/>
                <w:szCs w:val="21"/>
              </w:rPr>
              <w:t>分项内容</w:t>
            </w:r>
          </w:p>
        </w:tc>
        <w:tc>
          <w:tcPr>
            <w:tcW w:w="3327" w:type="dxa"/>
            <w:noWrap w:val="0"/>
            <w:vAlign w:val="top"/>
          </w:tcPr>
          <w:p w14:paraId="00922937">
            <w:pPr>
              <w:spacing w:line="560" w:lineRule="exact"/>
              <w:ind w:firstLine="420" w:firstLineChars="200"/>
              <w:jc w:val="left"/>
              <w:rPr>
                <w:rFonts w:ascii="仿宋_GB2312" w:eastAsia="仿宋_GB2312"/>
                <w:szCs w:val="21"/>
              </w:rPr>
            </w:pPr>
            <w:r>
              <w:rPr>
                <w:rFonts w:hint="eastAsia" w:ascii="仿宋_GB2312" w:eastAsia="仿宋_GB2312"/>
                <w:szCs w:val="21"/>
              </w:rPr>
              <w:t>一般情形评价指标</w:t>
            </w:r>
          </w:p>
        </w:tc>
        <w:tc>
          <w:tcPr>
            <w:tcW w:w="1132" w:type="dxa"/>
            <w:noWrap w:val="0"/>
            <w:vAlign w:val="top"/>
          </w:tcPr>
          <w:p w14:paraId="03C2455E">
            <w:pPr>
              <w:spacing w:line="560" w:lineRule="exact"/>
              <w:jc w:val="left"/>
              <w:rPr>
                <w:rFonts w:hint="eastAsia" w:ascii="仿宋_GB2312" w:eastAsia="仿宋_GB2312"/>
                <w:szCs w:val="21"/>
              </w:rPr>
            </w:pPr>
            <w:r>
              <w:rPr>
                <w:rFonts w:hint="eastAsia" w:ascii="仿宋_GB2312" w:eastAsia="仿宋_GB2312"/>
                <w:szCs w:val="21"/>
              </w:rPr>
              <w:t>分值</w:t>
            </w:r>
          </w:p>
        </w:tc>
        <w:tc>
          <w:tcPr>
            <w:tcW w:w="1036" w:type="dxa"/>
            <w:noWrap w:val="0"/>
            <w:vAlign w:val="top"/>
          </w:tcPr>
          <w:p w14:paraId="09D76BF1">
            <w:pPr>
              <w:spacing w:line="560" w:lineRule="exact"/>
              <w:jc w:val="left"/>
              <w:rPr>
                <w:rFonts w:hint="eastAsia" w:ascii="仿宋_GB2312" w:eastAsia="仿宋_GB2312"/>
                <w:szCs w:val="21"/>
              </w:rPr>
            </w:pPr>
            <w:r>
              <w:rPr>
                <w:rFonts w:hint="eastAsia" w:ascii="仿宋_GB2312" w:eastAsia="仿宋_GB2312"/>
                <w:szCs w:val="21"/>
              </w:rPr>
              <w:t>扣分</w:t>
            </w:r>
          </w:p>
        </w:tc>
        <w:tc>
          <w:tcPr>
            <w:tcW w:w="1228" w:type="dxa"/>
            <w:noWrap w:val="0"/>
            <w:vAlign w:val="top"/>
          </w:tcPr>
          <w:p w14:paraId="72419A64">
            <w:pPr>
              <w:spacing w:line="560" w:lineRule="exact"/>
              <w:ind w:firstLine="420" w:firstLineChars="200"/>
              <w:jc w:val="left"/>
              <w:rPr>
                <w:rFonts w:hint="eastAsia" w:ascii="仿宋_GB2312" w:eastAsia="仿宋_GB2312"/>
                <w:szCs w:val="21"/>
              </w:rPr>
            </w:pPr>
            <w:r>
              <w:rPr>
                <w:rFonts w:hint="eastAsia" w:ascii="仿宋_GB2312" w:eastAsia="仿宋_GB2312"/>
                <w:szCs w:val="21"/>
              </w:rPr>
              <w:t>得分</w:t>
            </w:r>
          </w:p>
        </w:tc>
        <w:tc>
          <w:tcPr>
            <w:tcW w:w="1230" w:type="dxa"/>
            <w:gridSpan w:val="2"/>
            <w:noWrap w:val="0"/>
            <w:vAlign w:val="top"/>
          </w:tcPr>
          <w:p w14:paraId="2E37FB21">
            <w:pPr>
              <w:spacing w:line="560" w:lineRule="exact"/>
              <w:ind w:firstLine="420" w:firstLineChars="200"/>
              <w:jc w:val="left"/>
              <w:rPr>
                <w:rFonts w:hint="eastAsia" w:ascii="仿宋_GB2312" w:eastAsia="仿宋_GB2312"/>
                <w:szCs w:val="21"/>
              </w:rPr>
            </w:pPr>
            <w:r>
              <w:rPr>
                <w:rFonts w:hint="eastAsia" w:ascii="仿宋_GB2312" w:eastAsia="仿宋_GB2312"/>
                <w:szCs w:val="21"/>
              </w:rPr>
              <w:t>备注</w:t>
            </w:r>
          </w:p>
        </w:tc>
      </w:tr>
      <w:tr w14:paraId="39AC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restart"/>
            <w:noWrap w:val="0"/>
            <w:vAlign w:val="top"/>
          </w:tcPr>
          <w:p w14:paraId="4D16F36C">
            <w:pPr>
              <w:spacing w:line="560" w:lineRule="exact"/>
              <w:jc w:val="left"/>
              <w:rPr>
                <w:rFonts w:hint="eastAsia" w:ascii="仿宋_GB2312" w:eastAsia="仿宋_GB2312"/>
                <w:szCs w:val="21"/>
              </w:rPr>
            </w:pPr>
            <w:r>
              <w:rPr>
                <w:rFonts w:hint="eastAsia" w:ascii="仿宋_GB2312" w:eastAsia="仿宋_GB2312"/>
                <w:szCs w:val="21"/>
              </w:rPr>
              <w:t>服务水平</w:t>
            </w:r>
          </w:p>
        </w:tc>
        <w:tc>
          <w:tcPr>
            <w:tcW w:w="3327" w:type="dxa"/>
            <w:noWrap w:val="0"/>
            <w:vAlign w:val="top"/>
          </w:tcPr>
          <w:p w14:paraId="7EB35B1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eastAsia="仿宋_GB2312"/>
                <w:szCs w:val="21"/>
              </w:rPr>
            </w:pPr>
            <w:r>
              <w:rPr>
                <w:rFonts w:hint="eastAsia" w:ascii="仿宋_GB2312" w:eastAsia="仿宋_GB2312"/>
                <w:szCs w:val="21"/>
                <w:lang w:eastAsia="zh-CN"/>
              </w:rPr>
              <w:t>诉讼</w:t>
            </w:r>
            <w:r>
              <w:rPr>
                <w:rFonts w:hint="eastAsia" w:ascii="仿宋_GB2312" w:eastAsia="仿宋_GB2312"/>
                <w:szCs w:val="21"/>
              </w:rPr>
              <w:t>方案表达清晰</w:t>
            </w:r>
            <w:r>
              <w:rPr>
                <w:rFonts w:hint="eastAsia" w:ascii="仿宋_GB2312" w:eastAsia="仿宋_GB2312"/>
                <w:szCs w:val="21"/>
                <w:lang w:eastAsia="zh-CN"/>
              </w:rPr>
              <w:t>不</w:t>
            </w:r>
            <w:r>
              <w:rPr>
                <w:rFonts w:hint="eastAsia" w:ascii="仿宋_GB2312" w:eastAsia="仿宋_GB2312"/>
                <w:szCs w:val="21"/>
              </w:rPr>
              <w:t>存在歧义</w:t>
            </w:r>
            <w:r>
              <w:rPr>
                <w:rFonts w:hint="eastAsia" w:ascii="仿宋_GB2312" w:eastAsia="仿宋_GB2312"/>
                <w:szCs w:val="21"/>
                <w:lang w:eastAsia="zh-CN"/>
              </w:rPr>
              <w:t>，且包含多个可选方案，均有深入的分析，全面涵盖案件情况且有充分理由及法律依据</w:t>
            </w:r>
            <w:r>
              <w:rPr>
                <w:rFonts w:hint="eastAsia" w:ascii="仿宋_GB2312" w:eastAsia="仿宋_GB2312"/>
                <w:szCs w:val="21"/>
              </w:rPr>
              <w:t>。</w:t>
            </w:r>
          </w:p>
        </w:tc>
        <w:tc>
          <w:tcPr>
            <w:tcW w:w="1132" w:type="dxa"/>
            <w:noWrap w:val="0"/>
            <w:vAlign w:val="top"/>
          </w:tcPr>
          <w:p w14:paraId="4A4ED5BC">
            <w:pPr>
              <w:spacing w:line="560" w:lineRule="exact"/>
              <w:jc w:val="left"/>
              <w:rPr>
                <w:rFonts w:hint="default" w:ascii="仿宋_GB2312" w:eastAsia="仿宋_GB2312"/>
                <w:szCs w:val="21"/>
                <w:lang w:val="en-US" w:eastAsia="zh-CN"/>
              </w:rPr>
            </w:pPr>
            <w:r>
              <w:rPr>
                <w:rFonts w:hint="eastAsia" w:ascii="仿宋_GB2312" w:eastAsia="仿宋_GB2312"/>
                <w:szCs w:val="21"/>
                <w:lang w:val="en-US" w:eastAsia="zh-CN"/>
              </w:rPr>
              <w:t>20</w:t>
            </w:r>
          </w:p>
        </w:tc>
        <w:tc>
          <w:tcPr>
            <w:tcW w:w="1036" w:type="dxa"/>
            <w:noWrap w:val="0"/>
            <w:vAlign w:val="top"/>
          </w:tcPr>
          <w:p w14:paraId="28BAC2ED">
            <w:pPr>
              <w:spacing w:line="560" w:lineRule="exact"/>
              <w:jc w:val="left"/>
              <w:rPr>
                <w:rFonts w:hint="eastAsia" w:ascii="仿宋_GB2312" w:eastAsia="仿宋_GB2312"/>
                <w:szCs w:val="21"/>
              </w:rPr>
            </w:pPr>
          </w:p>
        </w:tc>
        <w:tc>
          <w:tcPr>
            <w:tcW w:w="1228" w:type="dxa"/>
            <w:noWrap w:val="0"/>
            <w:vAlign w:val="top"/>
          </w:tcPr>
          <w:p w14:paraId="2D2EC4D2">
            <w:pPr>
              <w:spacing w:line="560" w:lineRule="exact"/>
              <w:jc w:val="left"/>
              <w:rPr>
                <w:rFonts w:hint="eastAsia" w:ascii="仿宋_GB2312" w:eastAsia="仿宋_GB2312"/>
                <w:szCs w:val="21"/>
              </w:rPr>
            </w:pPr>
          </w:p>
        </w:tc>
        <w:tc>
          <w:tcPr>
            <w:tcW w:w="1230" w:type="dxa"/>
            <w:gridSpan w:val="2"/>
            <w:vMerge w:val="restart"/>
            <w:noWrap w:val="0"/>
            <w:vAlign w:val="top"/>
          </w:tcPr>
          <w:p w14:paraId="180575AA">
            <w:pPr>
              <w:spacing w:line="560" w:lineRule="exact"/>
              <w:jc w:val="left"/>
              <w:rPr>
                <w:rFonts w:hint="eastAsia" w:ascii="仿宋_GB2312" w:eastAsia="仿宋_GB2312"/>
                <w:szCs w:val="21"/>
              </w:rPr>
            </w:pPr>
            <w:r>
              <w:rPr>
                <w:rFonts w:hint="eastAsia" w:ascii="仿宋_GB2312" w:eastAsia="仿宋_GB2312"/>
                <w:szCs w:val="21"/>
              </w:rPr>
              <w:t>扣分说明：合同相对方存在评价内容情形的，直接扣除对应分值分数，反之得到对应分值分数。</w:t>
            </w:r>
          </w:p>
        </w:tc>
      </w:tr>
      <w:tr w14:paraId="3342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noWrap w:val="0"/>
            <w:vAlign w:val="top"/>
          </w:tcPr>
          <w:p w14:paraId="2804114E">
            <w:pPr>
              <w:spacing w:line="560" w:lineRule="exact"/>
              <w:jc w:val="left"/>
              <w:rPr>
                <w:rFonts w:hint="eastAsia" w:ascii="仿宋_GB2312" w:eastAsia="仿宋_GB2312"/>
                <w:szCs w:val="21"/>
              </w:rPr>
            </w:pPr>
          </w:p>
        </w:tc>
        <w:tc>
          <w:tcPr>
            <w:tcW w:w="3327" w:type="dxa"/>
            <w:noWrap w:val="0"/>
            <w:vAlign w:val="top"/>
          </w:tcPr>
          <w:p w14:paraId="2DD35D8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eastAsia="仿宋_GB2312"/>
                <w:szCs w:val="21"/>
              </w:rPr>
            </w:pPr>
            <w:r>
              <w:rPr>
                <w:rFonts w:hint="eastAsia" w:ascii="仿宋_GB2312" w:eastAsia="仿宋_GB2312"/>
                <w:szCs w:val="21"/>
                <w:lang w:eastAsia="zh-CN"/>
              </w:rPr>
              <w:t>服务过程中提出的建议是否全部合法合规，且能够充分考虑委托人利益，揭示好所有风险点且具有前瞻性。</w:t>
            </w:r>
          </w:p>
        </w:tc>
        <w:tc>
          <w:tcPr>
            <w:tcW w:w="1132" w:type="dxa"/>
            <w:noWrap w:val="0"/>
            <w:vAlign w:val="top"/>
          </w:tcPr>
          <w:p w14:paraId="53F47871">
            <w:pPr>
              <w:spacing w:line="560" w:lineRule="exact"/>
              <w:jc w:val="left"/>
              <w:rPr>
                <w:rFonts w:hint="default" w:ascii="仿宋_GB2312" w:eastAsia="仿宋_GB2312"/>
                <w:szCs w:val="21"/>
                <w:lang w:val="en-US" w:eastAsia="zh-CN"/>
              </w:rPr>
            </w:pPr>
            <w:r>
              <w:rPr>
                <w:rFonts w:hint="eastAsia" w:ascii="仿宋_GB2312" w:eastAsia="仿宋_GB2312"/>
                <w:szCs w:val="21"/>
                <w:lang w:val="en-US" w:eastAsia="zh-CN"/>
              </w:rPr>
              <w:t>25</w:t>
            </w:r>
          </w:p>
        </w:tc>
        <w:tc>
          <w:tcPr>
            <w:tcW w:w="1036" w:type="dxa"/>
            <w:noWrap w:val="0"/>
            <w:vAlign w:val="top"/>
          </w:tcPr>
          <w:p w14:paraId="4C59AEC0">
            <w:pPr>
              <w:spacing w:line="560" w:lineRule="exact"/>
              <w:jc w:val="left"/>
              <w:rPr>
                <w:rFonts w:hint="eastAsia" w:ascii="仿宋_GB2312" w:eastAsia="仿宋_GB2312"/>
                <w:szCs w:val="21"/>
              </w:rPr>
            </w:pPr>
          </w:p>
        </w:tc>
        <w:tc>
          <w:tcPr>
            <w:tcW w:w="1228" w:type="dxa"/>
            <w:noWrap w:val="0"/>
            <w:vAlign w:val="top"/>
          </w:tcPr>
          <w:p w14:paraId="73BA30B5">
            <w:pPr>
              <w:spacing w:line="560" w:lineRule="exact"/>
              <w:jc w:val="left"/>
              <w:rPr>
                <w:rFonts w:hint="eastAsia" w:ascii="仿宋_GB2312" w:eastAsia="仿宋_GB2312"/>
                <w:szCs w:val="21"/>
              </w:rPr>
            </w:pPr>
          </w:p>
        </w:tc>
        <w:tc>
          <w:tcPr>
            <w:tcW w:w="1230" w:type="dxa"/>
            <w:gridSpan w:val="2"/>
            <w:vMerge w:val="continue"/>
            <w:noWrap w:val="0"/>
            <w:vAlign w:val="top"/>
          </w:tcPr>
          <w:p w14:paraId="3A6253AD">
            <w:pPr>
              <w:spacing w:line="560" w:lineRule="exact"/>
              <w:jc w:val="left"/>
              <w:rPr>
                <w:rFonts w:hint="eastAsia" w:ascii="仿宋_GB2312" w:eastAsia="仿宋_GB2312"/>
                <w:szCs w:val="21"/>
              </w:rPr>
            </w:pPr>
          </w:p>
        </w:tc>
      </w:tr>
      <w:tr w14:paraId="5955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noWrap w:val="0"/>
            <w:vAlign w:val="top"/>
          </w:tcPr>
          <w:p w14:paraId="3DD54447">
            <w:pPr>
              <w:spacing w:line="560" w:lineRule="exact"/>
              <w:jc w:val="left"/>
              <w:rPr>
                <w:rFonts w:hint="eastAsia" w:ascii="仿宋_GB2312" w:eastAsia="仿宋_GB2312"/>
                <w:szCs w:val="21"/>
              </w:rPr>
            </w:pPr>
          </w:p>
        </w:tc>
        <w:tc>
          <w:tcPr>
            <w:tcW w:w="3327" w:type="dxa"/>
            <w:noWrap w:val="0"/>
            <w:vAlign w:val="top"/>
          </w:tcPr>
          <w:p w14:paraId="579E09AC">
            <w:pPr>
              <w:spacing w:line="560" w:lineRule="exact"/>
              <w:jc w:val="left"/>
              <w:rPr>
                <w:rFonts w:hint="eastAsia" w:ascii="仿宋_GB2312" w:eastAsia="仿宋_GB2312"/>
                <w:szCs w:val="21"/>
              </w:rPr>
            </w:pPr>
            <w:r>
              <w:rPr>
                <w:rFonts w:hint="eastAsia" w:ascii="仿宋_GB2312" w:eastAsia="仿宋_GB2312"/>
                <w:szCs w:val="21"/>
                <w:lang w:eastAsia="zh-CN"/>
              </w:rPr>
              <w:t>及时反馈受案单位的通知和要求</w:t>
            </w:r>
          </w:p>
        </w:tc>
        <w:tc>
          <w:tcPr>
            <w:tcW w:w="1132" w:type="dxa"/>
            <w:noWrap w:val="0"/>
            <w:vAlign w:val="top"/>
          </w:tcPr>
          <w:p w14:paraId="4C3BDFA6">
            <w:pPr>
              <w:spacing w:line="560" w:lineRule="exact"/>
              <w:jc w:val="left"/>
              <w:rPr>
                <w:rFonts w:ascii="仿宋_GB2312" w:eastAsia="仿宋_GB2312"/>
                <w:szCs w:val="21"/>
              </w:rPr>
            </w:pPr>
            <w:r>
              <w:rPr>
                <w:rFonts w:hint="eastAsia" w:ascii="仿宋_GB2312" w:eastAsia="仿宋_GB2312"/>
                <w:szCs w:val="21"/>
              </w:rPr>
              <w:t>10</w:t>
            </w:r>
          </w:p>
        </w:tc>
        <w:tc>
          <w:tcPr>
            <w:tcW w:w="1036" w:type="dxa"/>
            <w:noWrap w:val="0"/>
            <w:vAlign w:val="top"/>
          </w:tcPr>
          <w:p w14:paraId="55C00D02">
            <w:pPr>
              <w:spacing w:line="560" w:lineRule="exact"/>
              <w:jc w:val="left"/>
              <w:rPr>
                <w:rFonts w:hint="eastAsia" w:ascii="仿宋_GB2312" w:eastAsia="仿宋_GB2312"/>
                <w:szCs w:val="21"/>
              </w:rPr>
            </w:pPr>
          </w:p>
        </w:tc>
        <w:tc>
          <w:tcPr>
            <w:tcW w:w="1228" w:type="dxa"/>
            <w:noWrap w:val="0"/>
            <w:vAlign w:val="top"/>
          </w:tcPr>
          <w:p w14:paraId="343DCF47">
            <w:pPr>
              <w:spacing w:line="560" w:lineRule="exact"/>
              <w:jc w:val="left"/>
              <w:rPr>
                <w:rFonts w:hint="eastAsia" w:ascii="仿宋_GB2312" w:eastAsia="仿宋_GB2312"/>
                <w:szCs w:val="21"/>
              </w:rPr>
            </w:pPr>
          </w:p>
        </w:tc>
        <w:tc>
          <w:tcPr>
            <w:tcW w:w="1230" w:type="dxa"/>
            <w:gridSpan w:val="2"/>
            <w:vMerge w:val="continue"/>
            <w:noWrap w:val="0"/>
            <w:vAlign w:val="top"/>
          </w:tcPr>
          <w:p w14:paraId="1A88DB95">
            <w:pPr>
              <w:spacing w:line="560" w:lineRule="exact"/>
              <w:jc w:val="left"/>
              <w:rPr>
                <w:rFonts w:hint="eastAsia" w:ascii="仿宋_GB2312" w:eastAsia="仿宋_GB2312"/>
                <w:szCs w:val="21"/>
              </w:rPr>
            </w:pPr>
          </w:p>
        </w:tc>
      </w:tr>
      <w:tr w14:paraId="225FC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7" w:type="dxa"/>
            <w:vMerge w:val="continue"/>
            <w:noWrap w:val="0"/>
            <w:vAlign w:val="top"/>
          </w:tcPr>
          <w:p w14:paraId="3666C971">
            <w:pPr>
              <w:spacing w:line="560" w:lineRule="exact"/>
              <w:jc w:val="left"/>
              <w:rPr>
                <w:rFonts w:hint="eastAsia" w:ascii="仿宋_GB2312" w:eastAsia="仿宋_GB2312"/>
                <w:szCs w:val="21"/>
              </w:rPr>
            </w:pPr>
          </w:p>
        </w:tc>
        <w:tc>
          <w:tcPr>
            <w:tcW w:w="3327" w:type="dxa"/>
            <w:noWrap w:val="0"/>
            <w:vAlign w:val="top"/>
          </w:tcPr>
          <w:p w14:paraId="11FFA074">
            <w:pPr>
              <w:spacing w:line="560" w:lineRule="exact"/>
              <w:jc w:val="left"/>
              <w:rPr>
                <w:rFonts w:hint="eastAsia" w:ascii="仿宋_GB2312" w:eastAsia="仿宋_GB2312"/>
                <w:szCs w:val="21"/>
              </w:rPr>
            </w:pPr>
            <w:r>
              <w:rPr>
                <w:rFonts w:hint="eastAsia" w:ascii="仿宋_GB2312" w:eastAsia="仿宋_GB2312"/>
                <w:szCs w:val="21"/>
                <w:lang w:eastAsia="zh-CN"/>
              </w:rPr>
              <w:t>服务过程不</w:t>
            </w:r>
            <w:r>
              <w:rPr>
                <w:rFonts w:hint="eastAsia" w:ascii="仿宋_GB2312" w:eastAsia="仿宋_GB2312"/>
                <w:szCs w:val="21"/>
              </w:rPr>
              <w:t>存在延误情形</w:t>
            </w:r>
          </w:p>
        </w:tc>
        <w:tc>
          <w:tcPr>
            <w:tcW w:w="1132" w:type="dxa"/>
            <w:noWrap w:val="0"/>
            <w:vAlign w:val="top"/>
          </w:tcPr>
          <w:p w14:paraId="009D1928">
            <w:pPr>
              <w:spacing w:line="560" w:lineRule="exact"/>
              <w:jc w:val="left"/>
              <w:rPr>
                <w:rFonts w:hint="default" w:ascii="仿宋_GB2312" w:eastAsia="仿宋_GB2312"/>
                <w:szCs w:val="21"/>
                <w:lang w:val="en-US" w:eastAsia="zh-CN"/>
              </w:rPr>
            </w:pPr>
            <w:r>
              <w:rPr>
                <w:rFonts w:hint="eastAsia" w:ascii="仿宋_GB2312" w:eastAsia="仿宋_GB2312"/>
                <w:szCs w:val="21"/>
                <w:lang w:val="en-US" w:eastAsia="zh-CN"/>
              </w:rPr>
              <w:t>10</w:t>
            </w:r>
          </w:p>
        </w:tc>
        <w:tc>
          <w:tcPr>
            <w:tcW w:w="1036" w:type="dxa"/>
            <w:noWrap w:val="0"/>
            <w:vAlign w:val="top"/>
          </w:tcPr>
          <w:p w14:paraId="3FA76540">
            <w:pPr>
              <w:spacing w:line="560" w:lineRule="exact"/>
              <w:jc w:val="left"/>
              <w:rPr>
                <w:rFonts w:hint="eastAsia" w:ascii="仿宋_GB2312" w:eastAsia="仿宋_GB2312"/>
                <w:szCs w:val="21"/>
              </w:rPr>
            </w:pPr>
          </w:p>
        </w:tc>
        <w:tc>
          <w:tcPr>
            <w:tcW w:w="1228" w:type="dxa"/>
            <w:noWrap w:val="0"/>
            <w:vAlign w:val="top"/>
          </w:tcPr>
          <w:p w14:paraId="288048B3">
            <w:pPr>
              <w:spacing w:line="560" w:lineRule="exact"/>
              <w:jc w:val="left"/>
              <w:rPr>
                <w:rFonts w:hint="eastAsia" w:ascii="仿宋_GB2312" w:eastAsia="仿宋_GB2312"/>
                <w:szCs w:val="21"/>
              </w:rPr>
            </w:pPr>
          </w:p>
        </w:tc>
        <w:tc>
          <w:tcPr>
            <w:tcW w:w="1230" w:type="dxa"/>
            <w:gridSpan w:val="2"/>
            <w:vMerge w:val="continue"/>
            <w:noWrap w:val="0"/>
            <w:vAlign w:val="top"/>
          </w:tcPr>
          <w:p w14:paraId="1C70CFDD">
            <w:pPr>
              <w:spacing w:line="560" w:lineRule="exact"/>
              <w:jc w:val="left"/>
              <w:rPr>
                <w:rFonts w:hint="eastAsia" w:ascii="仿宋_GB2312" w:eastAsia="仿宋_GB2312"/>
                <w:szCs w:val="21"/>
              </w:rPr>
            </w:pPr>
          </w:p>
        </w:tc>
      </w:tr>
      <w:tr w14:paraId="3C8D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7" w:type="dxa"/>
            <w:vMerge w:val="continue"/>
            <w:noWrap w:val="0"/>
            <w:vAlign w:val="top"/>
          </w:tcPr>
          <w:p w14:paraId="383E47D0">
            <w:pPr>
              <w:spacing w:line="560" w:lineRule="exact"/>
              <w:jc w:val="left"/>
              <w:rPr>
                <w:rFonts w:hint="eastAsia" w:ascii="仿宋_GB2312" w:eastAsia="仿宋_GB2312"/>
                <w:szCs w:val="21"/>
              </w:rPr>
            </w:pPr>
          </w:p>
        </w:tc>
        <w:tc>
          <w:tcPr>
            <w:tcW w:w="3327" w:type="dxa"/>
            <w:noWrap w:val="0"/>
            <w:vAlign w:val="top"/>
          </w:tcPr>
          <w:p w14:paraId="01BB152E">
            <w:pPr>
              <w:spacing w:line="560" w:lineRule="exact"/>
              <w:jc w:val="left"/>
              <w:rPr>
                <w:rFonts w:hint="default" w:ascii="仿宋_GB2312" w:eastAsia="仿宋_GB2312"/>
                <w:szCs w:val="21"/>
                <w:lang w:val="en-US" w:eastAsia="zh-CN"/>
              </w:rPr>
            </w:pPr>
            <w:r>
              <w:rPr>
                <w:rFonts w:hint="eastAsia" w:ascii="仿宋_GB2312" w:eastAsia="仿宋_GB2312"/>
                <w:szCs w:val="21"/>
                <w:lang w:eastAsia="zh-CN"/>
              </w:rPr>
              <w:t>取得委托人满意的办理结果</w:t>
            </w:r>
          </w:p>
        </w:tc>
        <w:tc>
          <w:tcPr>
            <w:tcW w:w="1132" w:type="dxa"/>
            <w:noWrap w:val="0"/>
            <w:vAlign w:val="top"/>
          </w:tcPr>
          <w:p w14:paraId="77F1E669">
            <w:pPr>
              <w:spacing w:line="560" w:lineRule="exact"/>
              <w:jc w:val="left"/>
              <w:rPr>
                <w:rFonts w:hint="default" w:ascii="仿宋_GB2312" w:eastAsia="仿宋_GB2312"/>
                <w:szCs w:val="21"/>
                <w:lang w:val="en-US" w:eastAsia="zh-CN"/>
              </w:rPr>
            </w:pPr>
            <w:r>
              <w:rPr>
                <w:rFonts w:hint="eastAsia" w:ascii="仿宋_GB2312" w:eastAsia="仿宋_GB2312"/>
                <w:szCs w:val="21"/>
                <w:lang w:val="en-US" w:eastAsia="zh-CN"/>
              </w:rPr>
              <w:t>5</w:t>
            </w:r>
          </w:p>
        </w:tc>
        <w:tc>
          <w:tcPr>
            <w:tcW w:w="1036" w:type="dxa"/>
            <w:noWrap w:val="0"/>
            <w:vAlign w:val="top"/>
          </w:tcPr>
          <w:p w14:paraId="763BA004">
            <w:pPr>
              <w:spacing w:line="560" w:lineRule="exact"/>
              <w:jc w:val="left"/>
              <w:rPr>
                <w:rFonts w:hint="eastAsia" w:ascii="仿宋_GB2312" w:eastAsia="仿宋_GB2312"/>
                <w:szCs w:val="21"/>
              </w:rPr>
            </w:pPr>
          </w:p>
        </w:tc>
        <w:tc>
          <w:tcPr>
            <w:tcW w:w="1228" w:type="dxa"/>
            <w:noWrap w:val="0"/>
            <w:vAlign w:val="top"/>
          </w:tcPr>
          <w:p w14:paraId="195246BC">
            <w:pPr>
              <w:spacing w:line="560" w:lineRule="exact"/>
              <w:jc w:val="left"/>
              <w:rPr>
                <w:rFonts w:hint="eastAsia" w:ascii="仿宋_GB2312" w:eastAsia="仿宋_GB2312"/>
                <w:szCs w:val="21"/>
              </w:rPr>
            </w:pPr>
          </w:p>
        </w:tc>
        <w:tc>
          <w:tcPr>
            <w:tcW w:w="1230" w:type="dxa"/>
            <w:gridSpan w:val="2"/>
            <w:vMerge w:val="continue"/>
            <w:noWrap w:val="0"/>
            <w:vAlign w:val="top"/>
          </w:tcPr>
          <w:p w14:paraId="0BA1B17C">
            <w:pPr>
              <w:spacing w:line="560" w:lineRule="exact"/>
              <w:jc w:val="left"/>
              <w:rPr>
                <w:rFonts w:hint="eastAsia" w:ascii="仿宋_GB2312" w:eastAsia="仿宋_GB2312"/>
                <w:szCs w:val="21"/>
              </w:rPr>
            </w:pPr>
          </w:p>
        </w:tc>
      </w:tr>
      <w:tr w14:paraId="6245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07" w:type="dxa"/>
            <w:vMerge w:val="restart"/>
            <w:noWrap w:val="0"/>
            <w:vAlign w:val="top"/>
          </w:tcPr>
          <w:p w14:paraId="7C640FD5">
            <w:pPr>
              <w:spacing w:line="560" w:lineRule="exact"/>
              <w:jc w:val="left"/>
              <w:rPr>
                <w:rFonts w:hint="eastAsia" w:ascii="仿宋_GB2312" w:eastAsia="仿宋_GB2312"/>
                <w:szCs w:val="21"/>
              </w:rPr>
            </w:pPr>
            <w:r>
              <w:rPr>
                <w:rFonts w:hint="eastAsia" w:ascii="仿宋_GB2312" w:eastAsia="仿宋_GB2312"/>
                <w:szCs w:val="21"/>
              </w:rPr>
              <w:t>响应程度及服务态度</w:t>
            </w:r>
          </w:p>
        </w:tc>
        <w:tc>
          <w:tcPr>
            <w:tcW w:w="3327" w:type="dxa"/>
            <w:noWrap w:val="0"/>
            <w:vAlign w:val="top"/>
          </w:tcPr>
          <w:p w14:paraId="0486E734">
            <w:pPr>
              <w:spacing w:line="560" w:lineRule="exact"/>
              <w:jc w:val="left"/>
              <w:rPr>
                <w:rFonts w:hint="eastAsia" w:ascii="仿宋_GB2312" w:eastAsia="仿宋_GB2312"/>
                <w:szCs w:val="21"/>
              </w:rPr>
            </w:pPr>
            <w:r>
              <w:rPr>
                <w:rFonts w:hint="eastAsia" w:ascii="仿宋_GB2312" w:eastAsia="仿宋_GB2312"/>
                <w:szCs w:val="21"/>
              </w:rPr>
              <w:t>响应程度差，积极性不强，经多次催促才配合</w:t>
            </w:r>
            <w:r>
              <w:rPr>
                <w:rFonts w:hint="eastAsia" w:ascii="仿宋_GB2312" w:eastAsia="仿宋_GB2312"/>
                <w:szCs w:val="21"/>
                <w:lang w:eastAsia="zh-CN"/>
              </w:rPr>
              <w:t>工作</w:t>
            </w:r>
            <w:r>
              <w:rPr>
                <w:rFonts w:hint="eastAsia" w:ascii="仿宋_GB2312" w:eastAsia="仿宋_GB2312"/>
                <w:szCs w:val="21"/>
              </w:rPr>
              <w:t>进程。</w:t>
            </w:r>
          </w:p>
        </w:tc>
        <w:tc>
          <w:tcPr>
            <w:tcW w:w="1132" w:type="dxa"/>
            <w:noWrap w:val="0"/>
            <w:vAlign w:val="top"/>
          </w:tcPr>
          <w:p w14:paraId="49912F2D">
            <w:pPr>
              <w:spacing w:line="560" w:lineRule="exact"/>
              <w:jc w:val="left"/>
              <w:rPr>
                <w:rFonts w:hint="default" w:ascii="仿宋_GB2312" w:eastAsia="仿宋_GB2312"/>
                <w:szCs w:val="21"/>
                <w:lang w:val="en-US" w:eastAsia="zh-CN"/>
              </w:rPr>
            </w:pPr>
            <w:r>
              <w:rPr>
                <w:rFonts w:hint="eastAsia" w:ascii="仿宋_GB2312" w:eastAsia="仿宋_GB2312"/>
                <w:szCs w:val="21"/>
                <w:lang w:val="en-US" w:eastAsia="zh-CN"/>
              </w:rPr>
              <w:t>10</w:t>
            </w:r>
          </w:p>
        </w:tc>
        <w:tc>
          <w:tcPr>
            <w:tcW w:w="1036" w:type="dxa"/>
            <w:noWrap w:val="0"/>
            <w:vAlign w:val="top"/>
          </w:tcPr>
          <w:p w14:paraId="52B5F5F8">
            <w:pPr>
              <w:spacing w:line="560" w:lineRule="exact"/>
              <w:jc w:val="left"/>
              <w:rPr>
                <w:rFonts w:hint="eastAsia" w:ascii="仿宋_GB2312" w:eastAsia="仿宋_GB2312"/>
                <w:szCs w:val="21"/>
              </w:rPr>
            </w:pPr>
          </w:p>
        </w:tc>
        <w:tc>
          <w:tcPr>
            <w:tcW w:w="1228" w:type="dxa"/>
            <w:noWrap w:val="0"/>
            <w:vAlign w:val="top"/>
          </w:tcPr>
          <w:p w14:paraId="68A34DD0">
            <w:pPr>
              <w:spacing w:line="560" w:lineRule="exact"/>
              <w:jc w:val="left"/>
              <w:rPr>
                <w:rFonts w:hint="eastAsia" w:ascii="仿宋_GB2312" w:eastAsia="仿宋_GB2312"/>
                <w:szCs w:val="21"/>
              </w:rPr>
            </w:pPr>
          </w:p>
        </w:tc>
        <w:tc>
          <w:tcPr>
            <w:tcW w:w="1230" w:type="dxa"/>
            <w:gridSpan w:val="2"/>
            <w:vMerge w:val="continue"/>
            <w:noWrap w:val="0"/>
            <w:vAlign w:val="top"/>
          </w:tcPr>
          <w:p w14:paraId="6783B0C9">
            <w:pPr>
              <w:spacing w:line="560" w:lineRule="exact"/>
              <w:jc w:val="left"/>
              <w:rPr>
                <w:rFonts w:hint="eastAsia" w:ascii="仿宋_GB2312" w:eastAsia="仿宋_GB2312"/>
                <w:szCs w:val="21"/>
              </w:rPr>
            </w:pPr>
          </w:p>
        </w:tc>
      </w:tr>
      <w:tr w14:paraId="1688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07" w:type="dxa"/>
            <w:vMerge w:val="continue"/>
            <w:noWrap w:val="0"/>
            <w:vAlign w:val="top"/>
          </w:tcPr>
          <w:p w14:paraId="6D0CBD62">
            <w:pPr>
              <w:spacing w:line="560" w:lineRule="exact"/>
              <w:jc w:val="left"/>
              <w:rPr>
                <w:rFonts w:hint="eastAsia" w:ascii="仿宋_GB2312" w:eastAsia="仿宋_GB2312"/>
                <w:szCs w:val="21"/>
              </w:rPr>
            </w:pPr>
          </w:p>
        </w:tc>
        <w:tc>
          <w:tcPr>
            <w:tcW w:w="3327" w:type="dxa"/>
            <w:noWrap w:val="0"/>
            <w:vAlign w:val="top"/>
          </w:tcPr>
          <w:p w14:paraId="36123027">
            <w:pPr>
              <w:spacing w:line="560" w:lineRule="exact"/>
              <w:jc w:val="left"/>
              <w:rPr>
                <w:rFonts w:hint="eastAsia" w:ascii="仿宋_GB2312" w:eastAsia="仿宋_GB2312"/>
                <w:szCs w:val="21"/>
              </w:rPr>
            </w:pPr>
            <w:r>
              <w:rPr>
                <w:rFonts w:hint="eastAsia" w:ascii="仿宋_GB2312" w:eastAsia="仿宋_GB2312"/>
                <w:szCs w:val="21"/>
              </w:rPr>
              <w:t>服务团队是否稳定，是否经常变更。</w:t>
            </w:r>
          </w:p>
        </w:tc>
        <w:tc>
          <w:tcPr>
            <w:tcW w:w="1132" w:type="dxa"/>
            <w:noWrap w:val="0"/>
            <w:vAlign w:val="top"/>
          </w:tcPr>
          <w:p w14:paraId="49FEBCB0">
            <w:pPr>
              <w:spacing w:line="560" w:lineRule="exact"/>
              <w:jc w:val="left"/>
              <w:rPr>
                <w:rFonts w:hint="default" w:ascii="仿宋_GB2312" w:eastAsia="仿宋_GB2312"/>
                <w:szCs w:val="21"/>
                <w:lang w:val="en-US" w:eastAsia="zh-CN"/>
              </w:rPr>
            </w:pPr>
            <w:r>
              <w:rPr>
                <w:rFonts w:hint="eastAsia" w:ascii="仿宋_GB2312" w:eastAsia="仿宋_GB2312"/>
                <w:szCs w:val="21"/>
                <w:lang w:val="en-US" w:eastAsia="zh-CN"/>
              </w:rPr>
              <w:t>10</w:t>
            </w:r>
          </w:p>
        </w:tc>
        <w:tc>
          <w:tcPr>
            <w:tcW w:w="1036" w:type="dxa"/>
            <w:noWrap w:val="0"/>
            <w:vAlign w:val="top"/>
          </w:tcPr>
          <w:p w14:paraId="0699DD24">
            <w:pPr>
              <w:spacing w:line="560" w:lineRule="exact"/>
              <w:jc w:val="left"/>
              <w:rPr>
                <w:rFonts w:hint="eastAsia" w:ascii="仿宋_GB2312" w:eastAsia="仿宋_GB2312"/>
                <w:szCs w:val="21"/>
              </w:rPr>
            </w:pPr>
          </w:p>
        </w:tc>
        <w:tc>
          <w:tcPr>
            <w:tcW w:w="1228" w:type="dxa"/>
            <w:noWrap w:val="0"/>
            <w:vAlign w:val="top"/>
          </w:tcPr>
          <w:p w14:paraId="04B62B8E">
            <w:pPr>
              <w:spacing w:line="560" w:lineRule="exact"/>
              <w:jc w:val="left"/>
              <w:rPr>
                <w:rFonts w:hint="eastAsia" w:ascii="仿宋_GB2312" w:eastAsia="仿宋_GB2312"/>
                <w:szCs w:val="21"/>
              </w:rPr>
            </w:pPr>
          </w:p>
        </w:tc>
        <w:tc>
          <w:tcPr>
            <w:tcW w:w="1230" w:type="dxa"/>
            <w:gridSpan w:val="2"/>
            <w:vMerge w:val="continue"/>
            <w:noWrap w:val="0"/>
            <w:vAlign w:val="top"/>
          </w:tcPr>
          <w:p w14:paraId="798219F0">
            <w:pPr>
              <w:spacing w:line="560" w:lineRule="exact"/>
              <w:jc w:val="left"/>
              <w:rPr>
                <w:rFonts w:hint="eastAsia" w:ascii="仿宋_GB2312" w:eastAsia="仿宋_GB2312"/>
                <w:szCs w:val="21"/>
              </w:rPr>
            </w:pPr>
          </w:p>
        </w:tc>
      </w:tr>
      <w:tr w14:paraId="5B51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noWrap w:val="0"/>
            <w:vAlign w:val="top"/>
          </w:tcPr>
          <w:p w14:paraId="7CE6C37F">
            <w:pPr>
              <w:spacing w:line="560" w:lineRule="exact"/>
              <w:jc w:val="left"/>
              <w:rPr>
                <w:rFonts w:hint="eastAsia" w:ascii="仿宋_GB2312" w:eastAsia="仿宋_GB2312"/>
                <w:szCs w:val="21"/>
              </w:rPr>
            </w:pPr>
          </w:p>
        </w:tc>
        <w:tc>
          <w:tcPr>
            <w:tcW w:w="3327" w:type="dxa"/>
            <w:noWrap w:val="0"/>
            <w:vAlign w:val="top"/>
          </w:tcPr>
          <w:p w14:paraId="76B3513E">
            <w:pPr>
              <w:spacing w:line="560" w:lineRule="exact"/>
              <w:jc w:val="left"/>
              <w:rPr>
                <w:rFonts w:hint="eastAsia" w:ascii="仿宋_GB2312" w:eastAsia="仿宋_GB2312"/>
                <w:szCs w:val="21"/>
                <w:lang w:eastAsia="zh-CN"/>
              </w:rPr>
            </w:pPr>
            <w:r>
              <w:rPr>
                <w:rFonts w:hint="eastAsia" w:ascii="仿宋_GB2312" w:eastAsia="仿宋_GB2312"/>
                <w:szCs w:val="21"/>
                <w:lang w:eastAsia="zh-CN"/>
              </w:rPr>
              <w:t>服务律师的资质条件和专业能力能否符合委托人的要求</w:t>
            </w:r>
          </w:p>
        </w:tc>
        <w:tc>
          <w:tcPr>
            <w:tcW w:w="1132" w:type="dxa"/>
            <w:noWrap w:val="0"/>
            <w:vAlign w:val="top"/>
          </w:tcPr>
          <w:p w14:paraId="3A81AAC0">
            <w:pPr>
              <w:spacing w:line="560" w:lineRule="exact"/>
              <w:jc w:val="left"/>
              <w:rPr>
                <w:rFonts w:hint="default" w:ascii="仿宋_GB2312" w:eastAsia="仿宋_GB2312"/>
                <w:szCs w:val="21"/>
                <w:lang w:val="en-US" w:eastAsia="zh-CN"/>
              </w:rPr>
            </w:pPr>
            <w:r>
              <w:rPr>
                <w:rFonts w:hint="eastAsia" w:ascii="仿宋_GB2312" w:eastAsia="仿宋_GB2312"/>
                <w:szCs w:val="21"/>
                <w:lang w:val="en-US" w:eastAsia="zh-CN"/>
              </w:rPr>
              <w:t>10</w:t>
            </w:r>
          </w:p>
        </w:tc>
        <w:tc>
          <w:tcPr>
            <w:tcW w:w="1036" w:type="dxa"/>
            <w:noWrap w:val="0"/>
            <w:vAlign w:val="top"/>
          </w:tcPr>
          <w:p w14:paraId="0A3FA919">
            <w:pPr>
              <w:spacing w:line="560" w:lineRule="exact"/>
              <w:jc w:val="left"/>
              <w:rPr>
                <w:rFonts w:hint="eastAsia" w:ascii="仿宋_GB2312" w:eastAsia="仿宋_GB2312"/>
                <w:szCs w:val="21"/>
              </w:rPr>
            </w:pPr>
          </w:p>
        </w:tc>
        <w:tc>
          <w:tcPr>
            <w:tcW w:w="1228" w:type="dxa"/>
            <w:noWrap w:val="0"/>
            <w:vAlign w:val="top"/>
          </w:tcPr>
          <w:p w14:paraId="120194D0">
            <w:pPr>
              <w:spacing w:line="560" w:lineRule="exact"/>
              <w:jc w:val="left"/>
              <w:rPr>
                <w:rFonts w:hint="eastAsia" w:ascii="仿宋_GB2312" w:eastAsia="仿宋_GB2312"/>
                <w:szCs w:val="21"/>
              </w:rPr>
            </w:pPr>
          </w:p>
        </w:tc>
        <w:tc>
          <w:tcPr>
            <w:tcW w:w="1230" w:type="dxa"/>
            <w:gridSpan w:val="2"/>
            <w:vMerge w:val="continue"/>
            <w:noWrap w:val="0"/>
            <w:vAlign w:val="top"/>
          </w:tcPr>
          <w:p w14:paraId="1B2476A9">
            <w:pPr>
              <w:spacing w:line="560" w:lineRule="exact"/>
              <w:jc w:val="left"/>
              <w:rPr>
                <w:rFonts w:hint="eastAsia" w:ascii="仿宋_GB2312" w:eastAsia="仿宋_GB2312"/>
                <w:szCs w:val="21"/>
              </w:rPr>
            </w:pPr>
          </w:p>
        </w:tc>
      </w:tr>
      <w:tr w14:paraId="7427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gridSpan w:val="2"/>
            <w:noWrap w:val="0"/>
            <w:vAlign w:val="top"/>
          </w:tcPr>
          <w:p w14:paraId="77809A07">
            <w:pPr>
              <w:spacing w:line="560" w:lineRule="exact"/>
              <w:jc w:val="left"/>
              <w:rPr>
                <w:rFonts w:hint="eastAsia" w:ascii="仿宋_GB2312" w:eastAsia="仿宋_GB2312"/>
                <w:szCs w:val="21"/>
              </w:rPr>
            </w:pPr>
            <w:r>
              <w:rPr>
                <w:rFonts w:hint="eastAsia" w:ascii="仿宋_GB2312" w:eastAsia="仿宋_GB2312"/>
                <w:szCs w:val="21"/>
              </w:rPr>
              <w:t>合计</w:t>
            </w:r>
          </w:p>
        </w:tc>
        <w:tc>
          <w:tcPr>
            <w:tcW w:w="1132" w:type="dxa"/>
            <w:noWrap w:val="0"/>
            <w:vAlign w:val="top"/>
          </w:tcPr>
          <w:p w14:paraId="561B8333">
            <w:pPr>
              <w:spacing w:line="560" w:lineRule="exact"/>
              <w:jc w:val="left"/>
              <w:rPr>
                <w:rFonts w:hint="eastAsia" w:ascii="仿宋_GB2312" w:eastAsia="仿宋_GB2312"/>
                <w:szCs w:val="21"/>
              </w:rPr>
            </w:pPr>
            <w:r>
              <w:rPr>
                <w:rFonts w:hint="eastAsia" w:ascii="仿宋_GB2312" w:eastAsia="仿宋_GB2312"/>
                <w:szCs w:val="21"/>
              </w:rPr>
              <w:t>100</w:t>
            </w:r>
          </w:p>
        </w:tc>
        <w:tc>
          <w:tcPr>
            <w:tcW w:w="1036" w:type="dxa"/>
            <w:noWrap w:val="0"/>
            <w:vAlign w:val="top"/>
          </w:tcPr>
          <w:p w14:paraId="651D59EB">
            <w:pPr>
              <w:spacing w:line="560" w:lineRule="exact"/>
              <w:jc w:val="left"/>
              <w:rPr>
                <w:rFonts w:hint="eastAsia" w:ascii="仿宋_GB2312" w:eastAsia="仿宋_GB2312"/>
                <w:szCs w:val="21"/>
              </w:rPr>
            </w:pPr>
          </w:p>
        </w:tc>
        <w:tc>
          <w:tcPr>
            <w:tcW w:w="1228" w:type="dxa"/>
            <w:noWrap w:val="0"/>
            <w:vAlign w:val="top"/>
          </w:tcPr>
          <w:p w14:paraId="068130C8">
            <w:pPr>
              <w:spacing w:line="560" w:lineRule="exact"/>
              <w:jc w:val="left"/>
              <w:rPr>
                <w:rFonts w:hint="eastAsia" w:ascii="仿宋_GB2312" w:eastAsia="仿宋_GB2312"/>
                <w:szCs w:val="21"/>
              </w:rPr>
            </w:pPr>
          </w:p>
        </w:tc>
        <w:tc>
          <w:tcPr>
            <w:tcW w:w="1230" w:type="dxa"/>
            <w:gridSpan w:val="2"/>
            <w:noWrap w:val="0"/>
            <w:vAlign w:val="top"/>
          </w:tcPr>
          <w:p w14:paraId="2C9247B1">
            <w:pPr>
              <w:spacing w:line="560" w:lineRule="exact"/>
              <w:jc w:val="left"/>
              <w:rPr>
                <w:rFonts w:hint="eastAsia" w:ascii="仿宋_GB2312" w:eastAsia="仿宋_GB2312"/>
                <w:szCs w:val="21"/>
              </w:rPr>
            </w:pPr>
          </w:p>
        </w:tc>
      </w:tr>
      <w:tr w14:paraId="1A4E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gridSpan w:val="2"/>
            <w:noWrap w:val="0"/>
            <w:vAlign w:val="top"/>
          </w:tcPr>
          <w:p w14:paraId="6CE8845C">
            <w:pPr>
              <w:spacing w:line="560" w:lineRule="exact"/>
              <w:jc w:val="left"/>
              <w:rPr>
                <w:rFonts w:ascii="仿宋_GB2312" w:eastAsia="仿宋_GB2312"/>
                <w:szCs w:val="21"/>
              </w:rPr>
            </w:pPr>
            <w:r>
              <w:rPr>
                <w:rFonts w:hint="eastAsia" w:ascii="仿宋_GB2312" w:eastAsia="仿宋_GB2312"/>
                <w:szCs w:val="21"/>
              </w:rPr>
              <w:t>不合格情形评价指标</w:t>
            </w:r>
          </w:p>
          <w:p w14:paraId="54F526C3">
            <w:pPr>
              <w:spacing w:line="560" w:lineRule="exact"/>
              <w:jc w:val="left"/>
              <w:rPr>
                <w:rFonts w:hint="eastAsia" w:ascii="仿宋_GB2312" w:eastAsia="仿宋_GB2312"/>
                <w:szCs w:val="21"/>
              </w:rPr>
            </w:pPr>
            <w:r>
              <w:rPr>
                <w:rFonts w:hint="eastAsia" w:ascii="仿宋_GB2312" w:eastAsia="仿宋_GB2312"/>
                <w:szCs w:val="21"/>
              </w:rPr>
              <w:t>（出现以下任一情形应当扣除41分，同时不再对一般情形评价指标进行评价。出现以下两项及以上即扣除100分。）</w:t>
            </w:r>
          </w:p>
        </w:tc>
        <w:tc>
          <w:tcPr>
            <w:tcW w:w="1132" w:type="dxa"/>
            <w:noWrap w:val="0"/>
            <w:vAlign w:val="top"/>
          </w:tcPr>
          <w:p w14:paraId="4E07415E">
            <w:pPr>
              <w:spacing w:line="560" w:lineRule="exact"/>
              <w:jc w:val="left"/>
              <w:rPr>
                <w:rFonts w:hint="eastAsia" w:ascii="仿宋_GB2312" w:eastAsia="仿宋_GB2312"/>
                <w:szCs w:val="21"/>
              </w:rPr>
            </w:pPr>
            <w:r>
              <w:rPr>
                <w:rFonts w:hint="eastAsia" w:ascii="仿宋_GB2312" w:eastAsia="仿宋_GB2312"/>
                <w:szCs w:val="21"/>
              </w:rPr>
              <w:t>扣分</w:t>
            </w:r>
          </w:p>
        </w:tc>
        <w:tc>
          <w:tcPr>
            <w:tcW w:w="1036" w:type="dxa"/>
            <w:noWrap w:val="0"/>
            <w:vAlign w:val="top"/>
          </w:tcPr>
          <w:p w14:paraId="797BA9DC">
            <w:pPr>
              <w:spacing w:line="560" w:lineRule="exact"/>
              <w:jc w:val="left"/>
              <w:rPr>
                <w:rFonts w:hint="eastAsia" w:ascii="仿宋_GB2312" w:eastAsia="仿宋_GB2312"/>
                <w:szCs w:val="21"/>
              </w:rPr>
            </w:pPr>
            <w:r>
              <w:rPr>
                <w:rFonts w:hint="eastAsia" w:ascii="仿宋_GB2312" w:eastAsia="仿宋_GB2312"/>
                <w:szCs w:val="21"/>
              </w:rPr>
              <w:t>请在需要扣分栏目打</w:t>
            </w:r>
            <w:r>
              <w:rPr>
                <w:rFonts w:ascii="Arial" w:hAnsi="Arial" w:eastAsia="仿宋_GB2312" w:cs="Arial"/>
                <w:szCs w:val="21"/>
              </w:rPr>
              <w:t>√</w:t>
            </w:r>
          </w:p>
        </w:tc>
        <w:tc>
          <w:tcPr>
            <w:tcW w:w="1228" w:type="dxa"/>
            <w:noWrap w:val="0"/>
            <w:vAlign w:val="top"/>
          </w:tcPr>
          <w:p w14:paraId="5DC5E485">
            <w:pPr>
              <w:spacing w:line="560" w:lineRule="exact"/>
              <w:jc w:val="left"/>
              <w:rPr>
                <w:rFonts w:hint="eastAsia" w:ascii="仿宋_GB2312" w:eastAsia="仿宋_GB2312"/>
                <w:szCs w:val="21"/>
              </w:rPr>
            </w:pPr>
            <w:r>
              <w:rPr>
                <w:rFonts w:hint="eastAsia" w:ascii="仿宋_GB2312" w:eastAsia="仿宋_GB2312"/>
                <w:szCs w:val="21"/>
              </w:rPr>
              <w:t>得分</w:t>
            </w:r>
          </w:p>
        </w:tc>
        <w:tc>
          <w:tcPr>
            <w:tcW w:w="1230" w:type="dxa"/>
            <w:gridSpan w:val="2"/>
            <w:noWrap w:val="0"/>
            <w:vAlign w:val="top"/>
          </w:tcPr>
          <w:p w14:paraId="0717B601">
            <w:pPr>
              <w:spacing w:line="560" w:lineRule="exact"/>
              <w:jc w:val="left"/>
              <w:rPr>
                <w:rFonts w:hint="eastAsia" w:ascii="仿宋_GB2312" w:eastAsia="仿宋_GB2312"/>
                <w:szCs w:val="21"/>
              </w:rPr>
            </w:pPr>
            <w:r>
              <w:rPr>
                <w:rFonts w:hint="eastAsia" w:ascii="仿宋_GB2312" w:eastAsia="仿宋_GB2312"/>
                <w:szCs w:val="21"/>
              </w:rPr>
              <w:t xml:space="preserve">     备注</w:t>
            </w:r>
          </w:p>
        </w:tc>
      </w:tr>
      <w:tr w14:paraId="1E41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434" w:type="dxa"/>
            <w:gridSpan w:val="2"/>
            <w:noWrap w:val="0"/>
            <w:vAlign w:val="top"/>
          </w:tcPr>
          <w:p w14:paraId="2A7E3BD7">
            <w:pPr>
              <w:spacing w:line="560" w:lineRule="exact"/>
              <w:jc w:val="left"/>
              <w:rPr>
                <w:rFonts w:hint="eastAsia" w:ascii="仿宋_GB2312" w:eastAsia="仿宋_GB2312"/>
                <w:szCs w:val="21"/>
                <w:lang w:eastAsia="zh-CN"/>
              </w:rPr>
            </w:pPr>
            <w:r>
              <w:rPr>
                <w:rFonts w:hint="eastAsia" w:ascii="仿宋_GB2312" w:eastAsia="仿宋_GB2312"/>
                <w:szCs w:val="21"/>
              </w:rPr>
              <w:t>承办律师未按甲方要求从事代理事务的，经3次</w:t>
            </w:r>
            <w:r>
              <w:rPr>
                <w:rFonts w:hint="eastAsia" w:ascii="仿宋_GB2312" w:eastAsia="仿宋_GB2312"/>
                <w:szCs w:val="21"/>
                <w:lang w:eastAsia="zh-CN"/>
              </w:rPr>
              <w:t>或</w:t>
            </w:r>
            <w:r>
              <w:rPr>
                <w:rFonts w:hint="eastAsia" w:ascii="仿宋_GB2312" w:eastAsia="仿宋_GB2312"/>
                <w:szCs w:val="21"/>
                <w:lang w:val="en-US" w:eastAsia="zh-CN"/>
              </w:rPr>
              <w:t>3次以上</w:t>
            </w:r>
            <w:r>
              <w:rPr>
                <w:rFonts w:hint="eastAsia" w:ascii="仿宋_GB2312" w:eastAsia="仿宋_GB2312"/>
                <w:szCs w:val="21"/>
              </w:rPr>
              <w:t>催告后仍不改正的</w:t>
            </w:r>
            <w:r>
              <w:rPr>
                <w:rFonts w:hint="eastAsia" w:ascii="仿宋_GB2312" w:eastAsia="仿宋_GB2312"/>
                <w:szCs w:val="21"/>
                <w:lang w:eastAsia="zh-CN"/>
              </w:rPr>
              <w:t>。</w:t>
            </w:r>
          </w:p>
        </w:tc>
        <w:tc>
          <w:tcPr>
            <w:tcW w:w="1132" w:type="dxa"/>
            <w:vMerge w:val="restart"/>
            <w:noWrap w:val="0"/>
            <w:vAlign w:val="top"/>
          </w:tcPr>
          <w:p w14:paraId="08D32C0B">
            <w:pPr>
              <w:spacing w:line="560" w:lineRule="exact"/>
              <w:jc w:val="left"/>
              <w:rPr>
                <w:rFonts w:hint="eastAsia" w:ascii="仿宋_GB2312" w:eastAsia="仿宋_GB2312"/>
                <w:szCs w:val="21"/>
              </w:rPr>
            </w:pPr>
          </w:p>
        </w:tc>
        <w:tc>
          <w:tcPr>
            <w:tcW w:w="1036" w:type="dxa"/>
            <w:noWrap w:val="0"/>
            <w:vAlign w:val="top"/>
          </w:tcPr>
          <w:p w14:paraId="51851A13">
            <w:pPr>
              <w:spacing w:line="560" w:lineRule="exact"/>
              <w:jc w:val="left"/>
              <w:rPr>
                <w:rFonts w:hint="eastAsia" w:ascii="仿宋_GB2312" w:eastAsia="仿宋_GB2312"/>
                <w:szCs w:val="21"/>
              </w:rPr>
            </w:pPr>
          </w:p>
        </w:tc>
        <w:tc>
          <w:tcPr>
            <w:tcW w:w="1228" w:type="dxa"/>
            <w:vMerge w:val="restart"/>
            <w:noWrap w:val="0"/>
            <w:vAlign w:val="top"/>
          </w:tcPr>
          <w:p w14:paraId="65EF87DF">
            <w:pPr>
              <w:spacing w:line="560" w:lineRule="exact"/>
              <w:jc w:val="left"/>
              <w:rPr>
                <w:rFonts w:hint="eastAsia" w:ascii="仿宋_GB2312" w:eastAsia="仿宋_GB2312"/>
                <w:szCs w:val="21"/>
              </w:rPr>
            </w:pPr>
          </w:p>
        </w:tc>
        <w:tc>
          <w:tcPr>
            <w:tcW w:w="1223" w:type="dxa"/>
            <w:vMerge w:val="restart"/>
            <w:noWrap w:val="0"/>
            <w:vAlign w:val="top"/>
          </w:tcPr>
          <w:p w14:paraId="565245D0">
            <w:pPr>
              <w:spacing w:line="560" w:lineRule="exact"/>
              <w:jc w:val="left"/>
              <w:rPr>
                <w:rFonts w:hint="eastAsia" w:ascii="仿宋_GB2312" w:eastAsia="仿宋_GB2312"/>
                <w:szCs w:val="21"/>
              </w:rPr>
            </w:pPr>
          </w:p>
        </w:tc>
      </w:tr>
      <w:tr w14:paraId="1A35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434" w:type="dxa"/>
            <w:gridSpan w:val="2"/>
            <w:noWrap w:val="0"/>
            <w:vAlign w:val="top"/>
          </w:tcPr>
          <w:p w14:paraId="0B7FDE4F">
            <w:pPr>
              <w:spacing w:line="560" w:lineRule="exact"/>
              <w:jc w:val="left"/>
              <w:rPr>
                <w:rFonts w:hint="eastAsia" w:ascii="仿宋_GB2312" w:eastAsia="仿宋_GB2312"/>
                <w:szCs w:val="21"/>
              </w:rPr>
            </w:pPr>
            <w:r>
              <w:rPr>
                <w:rFonts w:hint="eastAsia" w:ascii="仿宋_GB2312" w:eastAsia="仿宋_GB2312"/>
                <w:szCs w:val="21"/>
              </w:rPr>
              <w:t>擅自更换</w:t>
            </w:r>
            <w:r>
              <w:rPr>
                <w:rFonts w:hint="eastAsia" w:ascii="仿宋_GB2312" w:eastAsia="仿宋_GB2312"/>
                <w:szCs w:val="21"/>
                <w:lang w:eastAsia="zh-CN"/>
              </w:rPr>
              <w:t>承办</w:t>
            </w:r>
            <w:r>
              <w:rPr>
                <w:rFonts w:hint="eastAsia" w:ascii="仿宋_GB2312" w:eastAsia="仿宋_GB2312"/>
                <w:szCs w:val="21"/>
              </w:rPr>
              <w:t>律师，且律师水平严重不足，不能满足甲方的服务需求。</w:t>
            </w:r>
          </w:p>
        </w:tc>
        <w:tc>
          <w:tcPr>
            <w:tcW w:w="1132" w:type="dxa"/>
            <w:vMerge w:val="continue"/>
            <w:noWrap w:val="0"/>
            <w:vAlign w:val="top"/>
          </w:tcPr>
          <w:p w14:paraId="52320811">
            <w:pPr>
              <w:spacing w:line="560" w:lineRule="exact"/>
              <w:jc w:val="left"/>
              <w:rPr>
                <w:rFonts w:hint="eastAsia" w:ascii="仿宋_GB2312" w:eastAsia="仿宋_GB2312"/>
                <w:szCs w:val="21"/>
              </w:rPr>
            </w:pPr>
          </w:p>
        </w:tc>
        <w:tc>
          <w:tcPr>
            <w:tcW w:w="1036" w:type="dxa"/>
            <w:noWrap w:val="0"/>
            <w:vAlign w:val="top"/>
          </w:tcPr>
          <w:p w14:paraId="243A2D00">
            <w:pPr>
              <w:spacing w:line="560" w:lineRule="exact"/>
              <w:jc w:val="left"/>
              <w:rPr>
                <w:rFonts w:hint="eastAsia" w:ascii="仿宋_GB2312" w:eastAsia="仿宋_GB2312"/>
                <w:szCs w:val="21"/>
              </w:rPr>
            </w:pPr>
          </w:p>
        </w:tc>
        <w:tc>
          <w:tcPr>
            <w:tcW w:w="1228" w:type="dxa"/>
            <w:vMerge w:val="continue"/>
            <w:noWrap w:val="0"/>
            <w:vAlign w:val="top"/>
          </w:tcPr>
          <w:p w14:paraId="34BBA254">
            <w:pPr>
              <w:spacing w:line="560" w:lineRule="exact"/>
              <w:jc w:val="left"/>
              <w:rPr>
                <w:rFonts w:hint="eastAsia" w:ascii="仿宋_GB2312" w:eastAsia="仿宋_GB2312"/>
                <w:szCs w:val="21"/>
              </w:rPr>
            </w:pPr>
          </w:p>
        </w:tc>
        <w:tc>
          <w:tcPr>
            <w:tcW w:w="1223" w:type="dxa"/>
            <w:vMerge w:val="continue"/>
            <w:noWrap w:val="0"/>
            <w:vAlign w:val="top"/>
          </w:tcPr>
          <w:p w14:paraId="0B7B26E9">
            <w:pPr>
              <w:spacing w:line="560" w:lineRule="exact"/>
              <w:jc w:val="left"/>
              <w:rPr>
                <w:rFonts w:hint="eastAsia" w:ascii="仿宋_GB2312" w:eastAsia="仿宋_GB2312"/>
                <w:szCs w:val="21"/>
              </w:rPr>
            </w:pPr>
          </w:p>
        </w:tc>
      </w:tr>
      <w:tr w14:paraId="7ED9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37" w:hRule="atLeast"/>
        </w:trPr>
        <w:tc>
          <w:tcPr>
            <w:tcW w:w="4434" w:type="dxa"/>
            <w:gridSpan w:val="2"/>
            <w:noWrap w:val="0"/>
            <w:vAlign w:val="top"/>
          </w:tcPr>
          <w:p w14:paraId="7F68443F">
            <w:pPr>
              <w:spacing w:line="560" w:lineRule="exact"/>
              <w:jc w:val="left"/>
              <w:rPr>
                <w:rFonts w:hint="eastAsia" w:ascii="仿宋_GB2312" w:eastAsia="仿宋_GB2312"/>
                <w:szCs w:val="21"/>
              </w:rPr>
            </w:pPr>
            <w:r>
              <w:rPr>
                <w:rFonts w:hint="eastAsia" w:ascii="仿宋_GB2312" w:eastAsia="仿宋_GB2312"/>
                <w:szCs w:val="21"/>
              </w:rPr>
              <w:t>未经</w:t>
            </w:r>
            <w:r>
              <w:rPr>
                <w:rFonts w:hint="eastAsia" w:ascii="仿宋_GB2312" w:eastAsia="仿宋_GB2312"/>
                <w:szCs w:val="21"/>
                <w:lang w:eastAsia="zh-CN"/>
              </w:rPr>
              <w:t>委托人</w:t>
            </w:r>
            <w:r>
              <w:rPr>
                <w:rFonts w:hint="eastAsia" w:ascii="仿宋_GB2312" w:eastAsia="仿宋_GB2312"/>
                <w:szCs w:val="21"/>
              </w:rPr>
              <w:t>同意，泄露服务过程中获得</w:t>
            </w:r>
            <w:r>
              <w:rPr>
                <w:rFonts w:hint="eastAsia" w:ascii="仿宋_GB2312" w:eastAsia="仿宋_GB2312"/>
                <w:szCs w:val="21"/>
                <w:lang w:eastAsia="zh-CN"/>
              </w:rPr>
              <w:t>委托人</w:t>
            </w:r>
            <w:r>
              <w:rPr>
                <w:rFonts w:hint="eastAsia" w:ascii="仿宋_GB2312" w:eastAsia="仿宋_GB2312"/>
                <w:szCs w:val="21"/>
              </w:rPr>
              <w:t>信息、资料。</w:t>
            </w:r>
          </w:p>
        </w:tc>
        <w:tc>
          <w:tcPr>
            <w:tcW w:w="1132" w:type="dxa"/>
            <w:vMerge w:val="continue"/>
            <w:noWrap w:val="0"/>
            <w:vAlign w:val="top"/>
          </w:tcPr>
          <w:p w14:paraId="3ACAA41C">
            <w:pPr>
              <w:spacing w:line="560" w:lineRule="exact"/>
              <w:jc w:val="left"/>
              <w:rPr>
                <w:rFonts w:hint="eastAsia" w:ascii="仿宋_GB2312" w:eastAsia="仿宋_GB2312"/>
                <w:szCs w:val="21"/>
              </w:rPr>
            </w:pPr>
          </w:p>
        </w:tc>
        <w:tc>
          <w:tcPr>
            <w:tcW w:w="1036" w:type="dxa"/>
            <w:noWrap w:val="0"/>
            <w:vAlign w:val="top"/>
          </w:tcPr>
          <w:p w14:paraId="65CDFFFE">
            <w:pPr>
              <w:spacing w:line="560" w:lineRule="exact"/>
              <w:jc w:val="left"/>
              <w:rPr>
                <w:rFonts w:hint="eastAsia" w:ascii="仿宋_GB2312" w:eastAsia="仿宋_GB2312"/>
                <w:szCs w:val="21"/>
              </w:rPr>
            </w:pPr>
          </w:p>
        </w:tc>
        <w:tc>
          <w:tcPr>
            <w:tcW w:w="1228" w:type="dxa"/>
            <w:vMerge w:val="continue"/>
            <w:noWrap w:val="0"/>
            <w:vAlign w:val="top"/>
          </w:tcPr>
          <w:p w14:paraId="7C5139D4">
            <w:pPr>
              <w:spacing w:line="560" w:lineRule="exact"/>
              <w:jc w:val="left"/>
              <w:rPr>
                <w:rFonts w:hint="eastAsia" w:ascii="仿宋_GB2312" w:eastAsia="仿宋_GB2312"/>
                <w:szCs w:val="21"/>
              </w:rPr>
            </w:pPr>
          </w:p>
        </w:tc>
        <w:tc>
          <w:tcPr>
            <w:tcW w:w="1223" w:type="dxa"/>
            <w:vMerge w:val="continue"/>
            <w:noWrap w:val="0"/>
            <w:vAlign w:val="top"/>
          </w:tcPr>
          <w:p w14:paraId="7E86CC10">
            <w:pPr>
              <w:spacing w:line="560" w:lineRule="exact"/>
              <w:jc w:val="left"/>
              <w:rPr>
                <w:rFonts w:hint="eastAsia" w:ascii="仿宋_GB2312" w:eastAsia="仿宋_GB2312"/>
                <w:szCs w:val="21"/>
              </w:rPr>
            </w:pPr>
          </w:p>
        </w:tc>
      </w:tr>
      <w:tr w14:paraId="7205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00" w:hRule="atLeast"/>
        </w:trPr>
        <w:tc>
          <w:tcPr>
            <w:tcW w:w="4434" w:type="dxa"/>
            <w:gridSpan w:val="2"/>
            <w:noWrap w:val="0"/>
            <w:vAlign w:val="top"/>
          </w:tcPr>
          <w:p w14:paraId="6422D8F2">
            <w:pPr>
              <w:spacing w:line="560" w:lineRule="exact"/>
              <w:jc w:val="left"/>
              <w:rPr>
                <w:rFonts w:hint="eastAsia" w:ascii="仿宋_GB2312" w:eastAsia="仿宋_GB2312"/>
                <w:szCs w:val="21"/>
              </w:rPr>
            </w:pPr>
            <w:r>
              <w:rPr>
                <w:rFonts w:hint="eastAsia" w:ascii="仿宋_GB2312" w:eastAsia="仿宋_GB2312"/>
                <w:szCs w:val="21"/>
              </w:rPr>
              <w:t>弄虚作假，串通损害委托</w:t>
            </w:r>
            <w:r>
              <w:rPr>
                <w:rFonts w:hint="eastAsia" w:ascii="仿宋_GB2312" w:eastAsia="仿宋_GB2312"/>
                <w:szCs w:val="21"/>
                <w:lang w:eastAsia="zh-CN"/>
              </w:rPr>
              <w:t>人</w:t>
            </w:r>
            <w:r>
              <w:rPr>
                <w:rFonts w:hint="eastAsia" w:ascii="仿宋_GB2312" w:eastAsia="仿宋_GB2312"/>
                <w:szCs w:val="21"/>
              </w:rPr>
              <w:t>利益或存在欺骗等不诚信行为；</w:t>
            </w:r>
          </w:p>
        </w:tc>
        <w:tc>
          <w:tcPr>
            <w:tcW w:w="1132" w:type="dxa"/>
            <w:vMerge w:val="continue"/>
            <w:noWrap w:val="0"/>
            <w:vAlign w:val="top"/>
          </w:tcPr>
          <w:p w14:paraId="0003247C">
            <w:pPr>
              <w:spacing w:line="560" w:lineRule="exact"/>
              <w:jc w:val="left"/>
              <w:rPr>
                <w:rFonts w:hint="eastAsia" w:ascii="仿宋_GB2312" w:eastAsia="仿宋_GB2312"/>
                <w:szCs w:val="21"/>
              </w:rPr>
            </w:pPr>
          </w:p>
        </w:tc>
        <w:tc>
          <w:tcPr>
            <w:tcW w:w="1036" w:type="dxa"/>
            <w:noWrap w:val="0"/>
            <w:vAlign w:val="top"/>
          </w:tcPr>
          <w:p w14:paraId="0C1943DB">
            <w:pPr>
              <w:spacing w:line="560" w:lineRule="exact"/>
              <w:jc w:val="left"/>
              <w:rPr>
                <w:rFonts w:hint="eastAsia" w:ascii="仿宋_GB2312" w:eastAsia="仿宋_GB2312"/>
                <w:szCs w:val="21"/>
              </w:rPr>
            </w:pPr>
          </w:p>
        </w:tc>
        <w:tc>
          <w:tcPr>
            <w:tcW w:w="1228" w:type="dxa"/>
            <w:vMerge w:val="restart"/>
            <w:noWrap w:val="0"/>
            <w:vAlign w:val="top"/>
          </w:tcPr>
          <w:p w14:paraId="6A69328F">
            <w:pPr>
              <w:spacing w:line="560" w:lineRule="exact"/>
              <w:jc w:val="left"/>
              <w:rPr>
                <w:rFonts w:hint="eastAsia" w:ascii="仿宋_GB2312" w:eastAsia="仿宋_GB2312"/>
                <w:szCs w:val="21"/>
              </w:rPr>
            </w:pPr>
          </w:p>
        </w:tc>
        <w:tc>
          <w:tcPr>
            <w:tcW w:w="1223" w:type="dxa"/>
            <w:vMerge w:val="continue"/>
            <w:noWrap w:val="0"/>
            <w:vAlign w:val="top"/>
          </w:tcPr>
          <w:p w14:paraId="6CE2F87B">
            <w:pPr>
              <w:spacing w:line="560" w:lineRule="exact"/>
              <w:jc w:val="left"/>
              <w:rPr>
                <w:rFonts w:hint="eastAsia" w:ascii="仿宋_GB2312" w:eastAsia="仿宋_GB2312"/>
                <w:szCs w:val="21"/>
              </w:rPr>
            </w:pPr>
          </w:p>
        </w:tc>
      </w:tr>
      <w:tr w14:paraId="0938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37" w:hRule="atLeast"/>
        </w:trPr>
        <w:tc>
          <w:tcPr>
            <w:tcW w:w="4434" w:type="dxa"/>
            <w:gridSpan w:val="2"/>
            <w:noWrap w:val="0"/>
            <w:vAlign w:val="top"/>
          </w:tcPr>
          <w:p w14:paraId="02E6EF63">
            <w:pPr>
              <w:spacing w:line="560" w:lineRule="exact"/>
              <w:jc w:val="left"/>
              <w:rPr>
                <w:rFonts w:hint="eastAsia" w:ascii="仿宋_GB2312" w:eastAsia="仿宋_GB2312"/>
                <w:szCs w:val="21"/>
              </w:rPr>
            </w:pPr>
            <w:r>
              <w:rPr>
                <w:rFonts w:hint="eastAsia" w:ascii="仿宋_GB2312" w:eastAsia="仿宋_GB2312"/>
                <w:szCs w:val="21"/>
              </w:rPr>
              <w:t>在合同履行中受到政府有关部门严重行政处罚的；</w:t>
            </w:r>
          </w:p>
        </w:tc>
        <w:tc>
          <w:tcPr>
            <w:tcW w:w="1132" w:type="dxa"/>
            <w:vMerge w:val="continue"/>
            <w:noWrap w:val="0"/>
            <w:vAlign w:val="top"/>
          </w:tcPr>
          <w:p w14:paraId="6AAD650A">
            <w:pPr>
              <w:spacing w:line="560" w:lineRule="exact"/>
              <w:jc w:val="left"/>
              <w:rPr>
                <w:rFonts w:hint="eastAsia" w:ascii="仿宋_GB2312" w:eastAsia="仿宋_GB2312"/>
                <w:szCs w:val="21"/>
              </w:rPr>
            </w:pPr>
          </w:p>
        </w:tc>
        <w:tc>
          <w:tcPr>
            <w:tcW w:w="1036" w:type="dxa"/>
            <w:noWrap w:val="0"/>
            <w:vAlign w:val="top"/>
          </w:tcPr>
          <w:p w14:paraId="047921C8">
            <w:pPr>
              <w:spacing w:line="560" w:lineRule="exact"/>
              <w:jc w:val="left"/>
              <w:rPr>
                <w:rFonts w:hint="eastAsia" w:ascii="仿宋_GB2312" w:eastAsia="仿宋_GB2312"/>
                <w:szCs w:val="21"/>
              </w:rPr>
            </w:pPr>
          </w:p>
        </w:tc>
        <w:tc>
          <w:tcPr>
            <w:tcW w:w="1228" w:type="dxa"/>
            <w:vMerge w:val="continue"/>
            <w:noWrap w:val="0"/>
            <w:vAlign w:val="top"/>
          </w:tcPr>
          <w:p w14:paraId="2DB59199">
            <w:pPr>
              <w:spacing w:line="560" w:lineRule="exact"/>
              <w:jc w:val="left"/>
              <w:rPr>
                <w:rFonts w:hint="eastAsia" w:ascii="仿宋_GB2312" w:eastAsia="仿宋_GB2312"/>
                <w:szCs w:val="21"/>
              </w:rPr>
            </w:pPr>
          </w:p>
        </w:tc>
        <w:tc>
          <w:tcPr>
            <w:tcW w:w="1223" w:type="dxa"/>
            <w:vMerge w:val="continue"/>
            <w:noWrap w:val="0"/>
            <w:vAlign w:val="top"/>
          </w:tcPr>
          <w:p w14:paraId="0B7AF9AC">
            <w:pPr>
              <w:spacing w:line="560" w:lineRule="exact"/>
              <w:jc w:val="left"/>
              <w:rPr>
                <w:rFonts w:hint="eastAsia" w:ascii="仿宋_GB2312" w:eastAsia="仿宋_GB2312"/>
                <w:szCs w:val="21"/>
              </w:rPr>
            </w:pPr>
          </w:p>
        </w:tc>
      </w:tr>
      <w:tr w14:paraId="6A40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19" w:hRule="atLeast"/>
        </w:trPr>
        <w:tc>
          <w:tcPr>
            <w:tcW w:w="4434" w:type="dxa"/>
            <w:gridSpan w:val="2"/>
            <w:noWrap w:val="0"/>
            <w:vAlign w:val="top"/>
          </w:tcPr>
          <w:p w14:paraId="1BF51C52">
            <w:pPr>
              <w:spacing w:line="560" w:lineRule="exact"/>
              <w:jc w:val="left"/>
              <w:rPr>
                <w:rFonts w:hint="eastAsia" w:ascii="仿宋_GB2312" w:eastAsia="仿宋_GB2312"/>
                <w:szCs w:val="21"/>
              </w:rPr>
            </w:pPr>
            <w:r>
              <w:rPr>
                <w:rFonts w:hint="eastAsia" w:ascii="仿宋_GB2312" w:eastAsia="仿宋_GB2312"/>
                <w:szCs w:val="21"/>
              </w:rPr>
              <w:t>其它违反合同约定或违反法律法规、职业道德行为。</w:t>
            </w:r>
          </w:p>
        </w:tc>
        <w:tc>
          <w:tcPr>
            <w:tcW w:w="1132" w:type="dxa"/>
            <w:vMerge w:val="continue"/>
            <w:noWrap w:val="0"/>
            <w:vAlign w:val="top"/>
          </w:tcPr>
          <w:p w14:paraId="2CE852AA">
            <w:pPr>
              <w:spacing w:line="560" w:lineRule="exact"/>
              <w:jc w:val="left"/>
              <w:rPr>
                <w:rFonts w:hint="eastAsia" w:ascii="仿宋_GB2312" w:eastAsia="仿宋_GB2312"/>
                <w:szCs w:val="21"/>
              </w:rPr>
            </w:pPr>
          </w:p>
        </w:tc>
        <w:tc>
          <w:tcPr>
            <w:tcW w:w="1036" w:type="dxa"/>
            <w:noWrap w:val="0"/>
            <w:vAlign w:val="top"/>
          </w:tcPr>
          <w:p w14:paraId="22547074">
            <w:pPr>
              <w:spacing w:line="560" w:lineRule="exact"/>
              <w:jc w:val="left"/>
              <w:rPr>
                <w:rFonts w:hint="eastAsia" w:ascii="仿宋_GB2312" w:eastAsia="仿宋_GB2312"/>
                <w:szCs w:val="21"/>
              </w:rPr>
            </w:pPr>
          </w:p>
        </w:tc>
        <w:tc>
          <w:tcPr>
            <w:tcW w:w="1228" w:type="dxa"/>
            <w:vMerge w:val="continue"/>
            <w:noWrap w:val="0"/>
            <w:vAlign w:val="top"/>
          </w:tcPr>
          <w:p w14:paraId="0621B225">
            <w:pPr>
              <w:spacing w:line="560" w:lineRule="exact"/>
              <w:jc w:val="left"/>
              <w:rPr>
                <w:rFonts w:hint="eastAsia" w:ascii="仿宋_GB2312" w:eastAsia="仿宋_GB2312"/>
                <w:szCs w:val="21"/>
              </w:rPr>
            </w:pPr>
          </w:p>
        </w:tc>
        <w:tc>
          <w:tcPr>
            <w:tcW w:w="1223" w:type="dxa"/>
            <w:vMerge w:val="continue"/>
            <w:noWrap w:val="0"/>
            <w:vAlign w:val="top"/>
          </w:tcPr>
          <w:p w14:paraId="5254F23B">
            <w:pPr>
              <w:spacing w:line="560" w:lineRule="exact"/>
              <w:jc w:val="left"/>
              <w:rPr>
                <w:rFonts w:hint="eastAsia" w:ascii="仿宋_GB2312" w:eastAsia="仿宋_GB2312"/>
                <w:szCs w:val="21"/>
              </w:rPr>
            </w:pPr>
          </w:p>
        </w:tc>
      </w:tr>
      <w:tr w14:paraId="24B9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gridSpan w:val="2"/>
            <w:noWrap w:val="0"/>
            <w:vAlign w:val="top"/>
          </w:tcPr>
          <w:p w14:paraId="07CF7257">
            <w:pPr>
              <w:spacing w:line="560" w:lineRule="exact"/>
              <w:jc w:val="left"/>
              <w:rPr>
                <w:rFonts w:hint="eastAsia" w:ascii="仿宋_GB2312" w:eastAsia="仿宋_GB2312"/>
                <w:szCs w:val="21"/>
              </w:rPr>
            </w:pPr>
            <w:r>
              <w:rPr>
                <w:rFonts w:hint="eastAsia" w:ascii="仿宋_GB2312" w:eastAsia="仿宋_GB2312"/>
                <w:szCs w:val="21"/>
              </w:rPr>
              <w:t>总分100分</w:t>
            </w:r>
          </w:p>
        </w:tc>
        <w:tc>
          <w:tcPr>
            <w:tcW w:w="1132" w:type="dxa"/>
            <w:noWrap w:val="0"/>
            <w:vAlign w:val="top"/>
          </w:tcPr>
          <w:p w14:paraId="525978FB">
            <w:pPr>
              <w:spacing w:line="560" w:lineRule="exact"/>
              <w:jc w:val="left"/>
              <w:rPr>
                <w:rFonts w:hint="eastAsia" w:ascii="仿宋_GB2312" w:eastAsia="仿宋_GB2312"/>
                <w:szCs w:val="21"/>
              </w:rPr>
            </w:pPr>
          </w:p>
        </w:tc>
        <w:tc>
          <w:tcPr>
            <w:tcW w:w="1036" w:type="dxa"/>
            <w:noWrap w:val="0"/>
            <w:vAlign w:val="top"/>
          </w:tcPr>
          <w:p w14:paraId="0F88D552">
            <w:pPr>
              <w:spacing w:line="560" w:lineRule="exact"/>
              <w:jc w:val="left"/>
              <w:rPr>
                <w:rFonts w:hint="eastAsia" w:ascii="仿宋_GB2312" w:eastAsia="仿宋_GB2312"/>
                <w:szCs w:val="21"/>
              </w:rPr>
            </w:pPr>
          </w:p>
        </w:tc>
        <w:tc>
          <w:tcPr>
            <w:tcW w:w="2458" w:type="dxa"/>
            <w:gridSpan w:val="3"/>
            <w:noWrap w:val="0"/>
            <w:vAlign w:val="top"/>
          </w:tcPr>
          <w:p w14:paraId="4CF09869">
            <w:pPr>
              <w:spacing w:line="560" w:lineRule="exact"/>
              <w:jc w:val="left"/>
              <w:rPr>
                <w:rFonts w:hint="eastAsia" w:ascii="仿宋_GB2312" w:eastAsia="仿宋_GB2312"/>
                <w:szCs w:val="21"/>
              </w:rPr>
            </w:pPr>
          </w:p>
        </w:tc>
      </w:tr>
    </w:tbl>
    <w:p w14:paraId="00ABB0EF">
      <w:pPr>
        <w:tabs>
          <w:tab w:val="left" w:pos="3006"/>
        </w:tabs>
        <w:bidi w:val="0"/>
        <w:jc w:val="both"/>
        <w:rPr>
          <w:rFonts w:hint="eastAsia" w:ascii="宋体" w:hAnsi="宋体" w:cs="宋体"/>
          <w:b w:val="0"/>
          <w:bCs w:val="0"/>
          <w:color w:val="auto"/>
          <w:kern w:val="2"/>
          <w:sz w:val="24"/>
          <w:szCs w:val="24"/>
          <w:lang w:val="en-US" w:eastAsia="zh-CN"/>
        </w:rPr>
      </w:pPr>
    </w:p>
    <w:p w14:paraId="7DE1F861">
      <w:pPr>
        <w:pStyle w:val="2"/>
        <w:rPr>
          <w:rFonts w:hint="eastAsia"/>
          <w:lang w:val="en-US" w:eastAsia="zh-CN"/>
        </w:rPr>
      </w:pPr>
    </w:p>
    <w:p w14:paraId="341E25AD">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hAnsi="宋体" w:cs="宋体"/>
          <w:b w:val="0"/>
          <w:bCs w:val="0"/>
          <w:color w:val="auto"/>
          <w:kern w:val="2"/>
          <w:sz w:val="24"/>
          <w:szCs w:val="24"/>
          <w:lang w:val="en-US" w:eastAsia="zh-CN"/>
        </w:rPr>
        <w:t>附件2：</w:t>
      </w:r>
    </w:p>
    <w:p w14:paraId="445D6048">
      <w:pPr>
        <w:keepNext w:val="0"/>
        <w:keepLines w:val="0"/>
        <w:pageBreakBefore w:val="0"/>
        <w:tabs>
          <w:tab w:val="left" w:pos="3006"/>
        </w:tabs>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lang w:val="en-US" w:eastAsia="zh-CN"/>
        </w:rPr>
      </w:pPr>
      <w:r>
        <w:rPr>
          <w:rFonts w:hint="eastAsia" w:ascii="宋体" w:hAnsi="宋体" w:cs="宋体"/>
          <w:b w:val="0"/>
          <w:bCs w:val="0"/>
          <w:color w:val="auto"/>
          <w:kern w:val="2"/>
          <w:sz w:val="24"/>
          <w:szCs w:val="24"/>
          <w:lang w:val="en-US" w:eastAsia="zh-CN"/>
        </w:rPr>
        <w:t xml:space="preserve">   </w:t>
      </w:r>
      <w:r>
        <w:rPr>
          <w:rFonts w:hint="eastAsia" w:ascii="宋体" w:hAnsi="宋体" w:eastAsia="宋体" w:cs="宋体"/>
          <w:b/>
          <w:color w:val="auto"/>
          <w:spacing w:val="20"/>
          <w:sz w:val="32"/>
          <w:szCs w:val="32"/>
          <w:highlight w:val="none"/>
          <w:shd w:val="clear" w:color="auto" w:fill="auto"/>
          <w:lang w:eastAsia="zh-CN"/>
        </w:rPr>
        <w:t>廉</w:t>
      </w:r>
      <w:r>
        <w:rPr>
          <w:rFonts w:hint="eastAsia" w:ascii="宋体" w:hAnsi="宋体" w:cs="宋体"/>
          <w:b/>
          <w:color w:val="auto"/>
          <w:spacing w:val="20"/>
          <w:sz w:val="32"/>
          <w:szCs w:val="32"/>
          <w:highlight w:val="none"/>
          <w:shd w:val="clear" w:color="auto" w:fill="auto"/>
          <w:lang w:val="en-US" w:eastAsia="zh-CN"/>
        </w:rPr>
        <w:t>洁</w:t>
      </w:r>
      <w:r>
        <w:rPr>
          <w:rFonts w:hint="eastAsia" w:ascii="宋体" w:hAnsi="宋体" w:eastAsia="宋体" w:cs="宋体"/>
          <w:b/>
          <w:color w:val="auto"/>
          <w:spacing w:val="20"/>
          <w:sz w:val="32"/>
          <w:szCs w:val="32"/>
          <w:highlight w:val="none"/>
          <w:shd w:val="clear" w:color="auto" w:fill="auto"/>
          <w:lang w:eastAsia="zh-CN"/>
        </w:rPr>
        <w:t>协议</w:t>
      </w:r>
    </w:p>
    <w:p w14:paraId="489071F1">
      <w:pPr>
        <w:pStyle w:val="22"/>
        <w:keepNext w:val="0"/>
        <w:keepLines w:val="0"/>
        <w:pageBreakBefore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甲方：</w:t>
      </w:r>
      <w:r>
        <w:rPr>
          <w:rFonts w:hint="eastAsia" w:ascii="宋体" w:hAnsi="宋体" w:eastAsia="宋体" w:cs="宋体"/>
          <w:b/>
          <w:bCs/>
          <w:color w:val="auto"/>
          <w:sz w:val="24"/>
          <w:szCs w:val="24"/>
          <w:u w:val="none" w:color="auto"/>
          <w:lang w:val="en-US" w:eastAsia="zh-CN"/>
        </w:rPr>
        <w:t>深圳市龙岗区城投置地开发有限公司</w:t>
      </w:r>
    </w:p>
    <w:p w14:paraId="4B6138FE">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firstLine="0" w:firstLineChars="0"/>
        <w:jc w:val="both"/>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b/>
          <w:bCs/>
          <w:color w:val="auto"/>
          <w:sz w:val="24"/>
          <w:szCs w:val="24"/>
          <w:lang w:val="en-US" w:eastAsia="zh-CN"/>
        </w:rPr>
        <w:t>乙方：</w:t>
      </w:r>
    </w:p>
    <w:p w14:paraId="341AAF19">
      <w:pPr>
        <w:keepNext w:val="0"/>
        <w:keepLines w:val="0"/>
        <w:pageBreakBefore w:val="0"/>
        <w:widowControl/>
        <w:kinsoku/>
        <w:wordWrap/>
        <w:overflowPunct/>
        <w:topLinePunct w:val="0"/>
        <w:autoSpaceDE/>
        <w:autoSpaceDN/>
        <w:bidi w:val="0"/>
        <w:adjustRightInd/>
        <w:snapToGrid/>
        <w:spacing w:beforeLines="0" w:after="0" w:afterLines="0" w:line="560" w:lineRule="exact"/>
        <w:ind w:left="0" w:firstLine="480" w:firstLineChars="200"/>
        <w:jc w:val="both"/>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甲乙双方为加强阳光合作，保证职员职业安全，甲乙双方经协商签定本协议并作为双方共同遵守的廉政行为准则。</w:t>
      </w:r>
    </w:p>
    <w:p w14:paraId="63E30281">
      <w:pPr>
        <w:keepNext w:val="0"/>
        <w:keepLines w:val="0"/>
        <w:pageBreakBefore w:val="0"/>
        <w:widowControl/>
        <w:numPr>
          <w:ilvl w:val="0"/>
          <w:numId w:val="0"/>
        </w:numPr>
        <w:kinsoku/>
        <w:wordWrap/>
        <w:overflowPunct/>
        <w:topLinePunct w:val="0"/>
        <w:autoSpaceDE/>
        <w:autoSpaceDN/>
        <w:bidi w:val="0"/>
        <w:adjustRightInd/>
        <w:snapToGrid/>
        <w:spacing w:beforeLines="0" w:after="0" w:afterLines="0" w:line="560" w:lineRule="exact"/>
        <w:ind w:left="0" w:firstLine="480" w:firstLineChars="200"/>
        <w:jc w:val="both"/>
        <w:textAlignment w:val="auto"/>
        <w:outlineLvl w:val="9"/>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shd w:val="clear" w:color="auto" w:fill="auto"/>
          <w:lang w:val="en-US" w:eastAsia="zh-CN"/>
        </w:rPr>
        <w:t>一：</w:t>
      </w:r>
      <w:r>
        <w:rPr>
          <w:rFonts w:hint="eastAsia" w:ascii="宋体" w:hAnsi="宋体" w:eastAsia="宋体" w:cs="宋体"/>
          <w:b w:val="0"/>
          <w:color w:val="auto"/>
          <w:sz w:val="24"/>
          <w:szCs w:val="24"/>
          <w:highlight w:val="none"/>
          <w:shd w:val="clear" w:color="auto" w:fill="auto"/>
        </w:rPr>
        <w:t>甲方责任</w:t>
      </w:r>
      <w:r>
        <w:rPr>
          <w:rFonts w:hint="eastAsia" w:ascii="宋体" w:hAnsi="宋体" w:eastAsia="宋体" w:cs="宋体"/>
          <w:b w:val="0"/>
          <w:color w:val="auto"/>
          <w:sz w:val="24"/>
          <w:szCs w:val="24"/>
          <w:shd w:val="clear" w:color="auto" w:fill="auto"/>
          <w:lang w:eastAsia="zh-CN"/>
        </w:rPr>
        <w:t>：</w:t>
      </w:r>
    </w:p>
    <w:p w14:paraId="0E43F1C7">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firstLine="480" w:firstLineChars="200"/>
        <w:jc w:val="both"/>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1.甲方从事</w:t>
      </w:r>
      <w:r>
        <w:rPr>
          <w:rFonts w:hint="eastAsia" w:ascii="宋体" w:hAnsi="宋体" w:eastAsia="宋体" w:cs="宋体"/>
          <w:color w:val="auto"/>
          <w:kern w:val="2"/>
          <w:sz w:val="24"/>
          <w:szCs w:val="24"/>
          <w:highlight w:val="none"/>
          <w:shd w:val="clear" w:color="auto" w:fill="auto"/>
        </w:rPr>
        <w:t>业务活动必须坚持公开、公平、公正、诚信、透明的原则（除法律法规认定的商业秘密和合同文件另有规定者外）。</w:t>
      </w:r>
    </w:p>
    <w:p w14:paraId="72DF9596">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firstLine="480" w:firstLineChars="200"/>
        <w:jc w:val="both"/>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eastAsia="zh-CN"/>
        </w:rPr>
        <w:t>.甲方人员应严格遵守本单位</w:t>
      </w:r>
      <w:r>
        <w:rPr>
          <w:rFonts w:hint="eastAsia" w:ascii="宋体" w:hAnsi="宋体" w:cs="宋体"/>
          <w:color w:val="auto"/>
          <w:sz w:val="24"/>
          <w:szCs w:val="24"/>
          <w:highlight w:val="none"/>
          <w:shd w:val="clear" w:color="auto" w:fill="auto"/>
          <w:lang w:eastAsia="zh-CN"/>
        </w:rPr>
        <w:t>有关</w:t>
      </w:r>
      <w:r>
        <w:rPr>
          <w:rFonts w:hint="eastAsia" w:ascii="宋体" w:hAnsi="宋体" w:eastAsia="宋体" w:cs="宋体"/>
          <w:color w:val="auto"/>
          <w:sz w:val="24"/>
          <w:szCs w:val="24"/>
          <w:highlight w:val="none"/>
          <w:shd w:val="clear" w:color="auto" w:fill="auto"/>
          <w:lang w:eastAsia="zh-CN"/>
        </w:rPr>
        <w:t xml:space="preserve">廉政管理的规定，不得接受乙方任何形式的回扣、实物、现金、有价证券、礼券等有价物品，不得参加乙方提供的旅游或其他可能影响职务行为公正履行的活动。 </w:t>
      </w:r>
    </w:p>
    <w:p w14:paraId="34D16AE6">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firstLine="480" w:firstLineChars="200"/>
        <w:jc w:val="both"/>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eastAsia="zh-CN"/>
        </w:rPr>
        <w:t>.甲方人员如违反廉政管理制度及本协议规定，甲方视情节轻重、影响大小给予处罚，或移交司法机关处理。</w:t>
      </w:r>
    </w:p>
    <w:p w14:paraId="00E3313E">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firstLine="480" w:firstLineChars="200"/>
        <w:jc w:val="both"/>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eastAsia="zh-CN"/>
        </w:rPr>
        <w:t>对于乙方举报甲方人员违反廉政规定的情况，甲方应及时进行调查，根据调查情况进行处理，并将调查结果向乙方反馈。</w:t>
      </w:r>
    </w:p>
    <w:p w14:paraId="533759BF">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firstLine="480" w:firstLineChars="200"/>
        <w:jc w:val="both"/>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lang w:eastAsia="zh-CN"/>
        </w:rPr>
        <w:t>.接受举报的一方应为举报方保密，不得对举报方进行报复。</w:t>
      </w:r>
    </w:p>
    <w:p w14:paraId="7E02A3BA">
      <w:pPr>
        <w:keepNext w:val="0"/>
        <w:keepLines w:val="0"/>
        <w:pageBreakBefore w:val="0"/>
        <w:widowControl/>
        <w:numPr>
          <w:ilvl w:val="0"/>
          <w:numId w:val="0"/>
        </w:numPr>
        <w:kinsoku/>
        <w:wordWrap/>
        <w:overflowPunct/>
        <w:topLinePunct w:val="0"/>
        <w:autoSpaceDE/>
        <w:autoSpaceDN/>
        <w:bidi w:val="0"/>
        <w:adjustRightInd/>
        <w:snapToGrid/>
        <w:spacing w:beforeLines="0" w:after="0" w:afterLines="0" w:line="560" w:lineRule="exact"/>
        <w:ind w:left="0" w:firstLine="480" w:firstLineChars="200"/>
        <w:jc w:val="both"/>
        <w:textAlignment w:val="auto"/>
        <w:outlineLvl w:val="9"/>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shd w:val="clear" w:color="auto" w:fill="auto"/>
          <w:lang w:val="en-US" w:eastAsia="zh-CN"/>
        </w:rPr>
        <w:t>二：</w:t>
      </w:r>
      <w:r>
        <w:rPr>
          <w:rFonts w:hint="eastAsia" w:ascii="宋体" w:hAnsi="宋体" w:eastAsia="宋体" w:cs="宋体"/>
          <w:b w:val="0"/>
          <w:color w:val="auto"/>
          <w:sz w:val="24"/>
          <w:szCs w:val="24"/>
          <w:highlight w:val="none"/>
          <w:shd w:val="clear" w:color="auto" w:fill="auto"/>
        </w:rPr>
        <w:t>乙方责任</w:t>
      </w:r>
    </w:p>
    <w:p w14:paraId="17318907">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firstLine="480" w:firstLineChars="200"/>
        <w:jc w:val="both"/>
        <w:textAlignment w:val="auto"/>
        <w:outlineLvl w:val="9"/>
        <w:rPr>
          <w:rFonts w:hint="eastAsia" w:ascii="宋体" w:hAnsi="宋体" w:eastAsia="宋体" w:cs="宋体"/>
          <w:color w:val="auto"/>
          <w:kern w:val="2"/>
          <w:sz w:val="24"/>
          <w:szCs w:val="24"/>
          <w:highlight w:val="none"/>
          <w:shd w:val="clear" w:color="auto" w:fill="auto"/>
        </w:rPr>
      </w:pPr>
      <w:r>
        <w:rPr>
          <w:rFonts w:hint="eastAsia" w:ascii="宋体" w:hAnsi="宋体" w:eastAsia="宋体" w:cs="宋体"/>
          <w:color w:val="auto"/>
          <w:kern w:val="2"/>
          <w:sz w:val="24"/>
          <w:szCs w:val="24"/>
          <w:highlight w:val="none"/>
          <w:shd w:val="clear" w:color="auto" w:fill="auto"/>
        </w:rPr>
        <w:t>乙方应与甲方保持正常的业务交往，按照有关法律法规和程序开展业务活动</w:t>
      </w:r>
      <w:r>
        <w:rPr>
          <w:rFonts w:hint="eastAsia" w:ascii="宋体" w:hAnsi="宋体" w:eastAsia="宋体" w:cs="宋体"/>
          <w:color w:val="auto"/>
          <w:kern w:val="2"/>
          <w:sz w:val="24"/>
          <w:szCs w:val="24"/>
          <w:highlight w:val="none"/>
          <w:shd w:val="clear" w:color="auto" w:fill="auto"/>
          <w:lang w:eastAsia="zh-CN"/>
        </w:rPr>
        <w:t>。</w:t>
      </w:r>
    </w:p>
    <w:p w14:paraId="4A4A8861">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firstLine="480" w:firstLineChars="200"/>
        <w:jc w:val="both"/>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lang w:eastAsia="zh-CN"/>
        </w:rPr>
        <w:t>.乙方不得以任何形式给予甲方人员回扣、赠送实物、现金、有价证券、礼券等有价物品或提供旅游等其他可能影响职务行为公正履行的活动（以下统称“财物”）。</w:t>
      </w:r>
    </w:p>
    <w:p w14:paraId="5A3BFA4E">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firstLine="480" w:firstLineChars="200"/>
        <w:jc w:val="both"/>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eastAsia="zh-CN"/>
        </w:rPr>
        <w:t>.乙方有责任接受甲方对乙方在合作期间廉政管理执行情况的监督，并对甲方相关调查工作主动配合。</w:t>
      </w:r>
    </w:p>
    <w:p w14:paraId="18591CAD">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firstLine="480" w:firstLineChars="200"/>
        <w:jc w:val="both"/>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eastAsia="zh-CN"/>
        </w:rPr>
        <w:t>.乙方有义务就甲方人员任何形式的索取或收受财物行为及时向甲方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w:t>
      </w:r>
      <w:r>
        <w:rPr>
          <w:rFonts w:hint="eastAsia" w:ascii="宋体" w:hAnsi="宋体" w:eastAsia="宋体" w:cs="宋体"/>
          <w:color w:val="auto"/>
          <w:sz w:val="24"/>
          <w:szCs w:val="24"/>
          <w:highlight w:val="none"/>
          <w:u w:val="single"/>
          <w:shd w:val="clear" w:color="auto" w:fill="auto"/>
          <w:lang w:val="en-US" w:eastAsia="zh-CN"/>
        </w:rPr>
        <w:t>本合同</w:t>
      </w:r>
      <w:r>
        <w:rPr>
          <w:rFonts w:hint="eastAsia" w:ascii="宋体" w:hAnsi="宋体" w:cs="宋体"/>
          <w:color w:val="auto"/>
          <w:sz w:val="24"/>
          <w:szCs w:val="24"/>
          <w:highlight w:val="none"/>
          <w:u w:val="single"/>
          <w:shd w:val="clear" w:color="auto" w:fill="auto"/>
          <w:lang w:val="en-US" w:eastAsia="zh-CN"/>
        </w:rPr>
        <w:t>律师代理</w:t>
      </w:r>
      <w:r>
        <w:rPr>
          <w:rFonts w:hint="eastAsia" w:ascii="宋体" w:hAnsi="宋体" w:eastAsia="宋体" w:cs="宋体"/>
          <w:color w:val="auto"/>
          <w:sz w:val="24"/>
          <w:szCs w:val="24"/>
          <w:highlight w:val="none"/>
          <w:u w:val="single"/>
          <w:shd w:val="clear" w:color="auto" w:fill="auto"/>
          <w:lang w:val="en-US" w:eastAsia="zh-CN"/>
        </w:rPr>
        <w:t>费总额</w:t>
      </w:r>
      <w:r>
        <w:rPr>
          <w:rFonts w:hint="eastAsia" w:ascii="宋体" w:hAnsi="宋体" w:eastAsia="宋体" w:cs="宋体"/>
          <w:color w:val="auto"/>
          <w:sz w:val="24"/>
          <w:szCs w:val="24"/>
          <w:highlight w:val="none"/>
          <w:u w:val="single"/>
          <w:shd w:val="clear" w:color="auto" w:fill="auto"/>
          <w:lang w:eastAsia="zh-CN"/>
        </w:rPr>
        <w:t>的10%的</w:t>
      </w:r>
      <w:r>
        <w:rPr>
          <w:rFonts w:hint="eastAsia" w:ascii="宋体" w:hAnsi="宋体" w:eastAsia="宋体" w:cs="宋体"/>
          <w:color w:val="auto"/>
          <w:sz w:val="24"/>
          <w:szCs w:val="24"/>
          <w:highlight w:val="none"/>
          <w:shd w:val="clear" w:color="auto" w:fill="auto"/>
          <w:lang w:eastAsia="zh-CN"/>
        </w:rPr>
        <w:t>违约金，并对乙方知情不报人员进行相应处罚，被司法机关立案查处核实属实的，甲方有权解除原合同，如甲方解除原合同的，则乙方应退还甲方所支付的所有款项并按原合同与本合同约定承担违约责任。</w:t>
      </w:r>
    </w:p>
    <w:p w14:paraId="21790C80">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eastAsia="zh-CN"/>
        </w:rPr>
        <w:t>．甲方接受乙方实名或匿名举报，保证为举报者的信息保密。</w:t>
      </w:r>
    </w:p>
    <w:p w14:paraId="1A11413B">
      <w:pPr>
        <w:keepNext w:val="0"/>
        <w:keepLines w:val="0"/>
        <w:pageBreakBefore w:val="0"/>
        <w:widowControl/>
        <w:numPr>
          <w:ilvl w:val="0"/>
          <w:numId w:val="0"/>
        </w:numPr>
        <w:kinsoku/>
        <w:wordWrap/>
        <w:overflowPunct/>
        <w:topLinePunct w:val="0"/>
        <w:autoSpaceDE/>
        <w:autoSpaceDN/>
        <w:bidi w:val="0"/>
        <w:adjustRightInd/>
        <w:snapToGrid/>
        <w:spacing w:beforeLines="0" w:after="0" w:afterLines="0" w:line="560" w:lineRule="exact"/>
        <w:ind w:left="0" w:firstLine="480" w:firstLineChars="200"/>
        <w:jc w:val="both"/>
        <w:textAlignment w:val="auto"/>
        <w:outlineLvl w:val="9"/>
        <w:rPr>
          <w:rFonts w:hint="eastAsia" w:ascii="宋体" w:hAnsi="宋体" w:eastAsia="宋体" w:cs="宋体"/>
          <w:b w:val="0"/>
          <w:color w:val="auto"/>
          <w:sz w:val="24"/>
          <w:szCs w:val="24"/>
          <w:highlight w:val="none"/>
          <w:shd w:val="clear" w:color="auto" w:fill="auto"/>
          <w:lang w:eastAsia="zh-CN"/>
        </w:rPr>
      </w:pPr>
      <w:r>
        <w:rPr>
          <w:rFonts w:hint="eastAsia" w:ascii="宋体" w:hAnsi="宋体" w:eastAsia="宋体" w:cs="宋体"/>
          <w:b w:val="0"/>
          <w:color w:val="auto"/>
          <w:sz w:val="24"/>
          <w:szCs w:val="24"/>
          <w:shd w:val="clear" w:color="auto" w:fill="auto"/>
          <w:lang w:val="en-US" w:eastAsia="zh-CN"/>
        </w:rPr>
        <w:t>三：</w:t>
      </w:r>
      <w:r>
        <w:rPr>
          <w:rFonts w:hint="eastAsia" w:ascii="宋体" w:hAnsi="宋体" w:eastAsia="宋体" w:cs="宋体"/>
          <w:b w:val="0"/>
          <w:color w:val="auto"/>
          <w:sz w:val="24"/>
          <w:szCs w:val="24"/>
          <w:highlight w:val="none"/>
          <w:shd w:val="clear" w:color="auto" w:fill="auto"/>
        </w:rPr>
        <w:t>其他</w:t>
      </w:r>
      <w:r>
        <w:rPr>
          <w:rFonts w:hint="eastAsia" w:ascii="宋体" w:hAnsi="宋体" w:eastAsia="宋体" w:cs="宋体"/>
          <w:b w:val="0"/>
          <w:color w:val="auto"/>
          <w:sz w:val="24"/>
          <w:szCs w:val="24"/>
          <w:highlight w:val="none"/>
          <w:shd w:val="clear" w:color="auto" w:fill="auto"/>
          <w:lang w:eastAsia="zh-CN"/>
        </w:rPr>
        <w:t>。</w:t>
      </w:r>
    </w:p>
    <w:p w14:paraId="4D71FACC">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firstLine="480" w:firstLineChars="200"/>
        <w:jc w:val="both"/>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本协议经双方签署</w:t>
      </w:r>
      <w:r>
        <w:rPr>
          <w:rFonts w:hint="eastAsia" w:ascii="宋体" w:hAnsi="宋体" w:cs="宋体"/>
          <w:color w:val="auto"/>
          <w:sz w:val="24"/>
          <w:szCs w:val="24"/>
          <w:shd w:val="clear" w:color="auto" w:fill="auto"/>
          <w:lang w:val="en-US" w:eastAsia="zh-CN"/>
        </w:rPr>
        <w:t>并</w:t>
      </w:r>
      <w:r>
        <w:rPr>
          <w:rFonts w:hint="eastAsia" w:ascii="宋体" w:hAnsi="宋体" w:eastAsia="宋体" w:cs="宋体"/>
          <w:color w:val="auto"/>
          <w:sz w:val="24"/>
          <w:szCs w:val="24"/>
          <w:shd w:val="clear" w:color="auto" w:fill="auto"/>
          <w:lang w:val="en-US" w:eastAsia="zh-CN"/>
        </w:rPr>
        <w:t>盖章</w:t>
      </w:r>
      <w:r>
        <w:rPr>
          <w:rFonts w:hint="eastAsia" w:ascii="宋体" w:hAnsi="宋体" w:eastAsia="宋体" w:cs="宋体"/>
          <w:color w:val="auto"/>
          <w:sz w:val="24"/>
          <w:szCs w:val="24"/>
          <w:highlight w:val="none"/>
          <w:shd w:val="clear" w:color="auto" w:fill="auto"/>
          <w:lang w:eastAsia="zh-CN"/>
        </w:rPr>
        <w:t>后生效。</w:t>
      </w:r>
    </w:p>
    <w:p w14:paraId="34AC5D1F">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color w:val="auto"/>
          <w:sz w:val="24"/>
          <w:szCs w:val="24"/>
          <w:lang w:eastAsia="zh-CN"/>
        </w:rPr>
      </w:pPr>
    </w:p>
    <w:p w14:paraId="20FB3D2D">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firstLine="0" w:firstLineChars="0"/>
        <w:jc w:val="both"/>
        <w:textAlignment w:val="auto"/>
        <w:outlineLvl w:val="9"/>
        <w:rPr>
          <w:rFonts w:hint="default" w:ascii="宋体" w:hAnsi="宋体" w:eastAsia="宋体" w:cs="宋体"/>
          <w:b/>
          <w:bCs/>
          <w:color w:val="auto"/>
          <w:sz w:val="24"/>
          <w:szCs w:val="24"/>
          <w:highlight w:val="none"/>
          <w:shd w:val="clear" w:color="auto" w:fill="auto"/>
          <w:lang w:val="en-US" w:eastAsia="zh-CN"/>
        </w:rPr>
      </w:pPr>
      <w:r>
        <w:rPr>
          <w:rFonts w:hint="eastAsia" w:ascii="宋体" w:hAnsi="宋体" w:cs="宋体"/>
          <w:b/>
          <w:bCs/>
          <w:color w:val="auto"/>
          <w:sz w:val="24"/>
          <w:szCs w:val="24"/>
          <w:highlight w:val="none"/>
          <w:shd w:val="clear" w:color="auto" w:fill="auto"/>
          <w:lang w:val="en-US" w:eastAsia="zh-CN"/>
        </w:rPr>
        <w:t>甲乙双方签字盖章：</w:t>
      </w:r>
    </w:p>
    <w:p w14:paraId="2E71AF5D">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firstLine="0" w:firstLineChars="0"/>
        <w:jc w:val="left"/>
        <w:textAlignment w:val="auto"/>
        <w:outlineLvl w:val="9"/>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kern w:val="2"/>
          <w:sz w:val="24"/>
          <w:szCs w:val="24"/>
          <w:highlight w:val="none"/>
          <w:shd w:val="clear" w:color="auto" w:fill="auto"/>
          <w:lang w:eastAsia="zh-CN"/>
        </w:rPr>
        <w:t>甲方</w:t>
      </w:r>
      <w:r>
        <w:rPr>
          <w:rFonts w:hint="eastAsia" w:ascii="宋体" w:hAnsi="宋体" w:eastAsia="宋体" w:cs="宋体"/>
          <w:color w:val="auto"/>
          <w:kern w:val="2"/>
          <w:sz w:val="24"/>
          <w:szCs w:val="24"/>
          <w:highlight w:val="none"/>
          <w:shd w:val="clear" w:color="auto" w:fill="auto"/>
        </w:rPr>
        <w:t xml:space="preserve">（盖章）： </w:t>
      </w:r>
      <w:r>
        <w:rPr>
          <w:rFonts w:hint="eastAsia" w:ascii="宋体" w:hAnsi="宋体" w:eastAsia="宋体" w:cs="宋体"/>
          <w:color w:val="auto"/>
          <w:kern w:val="2"/>
          <w:sz w:val="24"/>
          <w:szCs w:val="24"/>
          <w:highlight w:val="none"/>
          <w:shd w:val="clear" w:color="auto" w:fill="auto"/>
          <w:lang w:val="en-US" w:eastAsia="zh-CN"/>
        </w:rPr>
        <w:t xml:space="preserve">                  </w:t>
      </w:r>
      <w:r>
        <w:rPr>
          <w:rFonts w:hint="eastAsia" w:ascii="宋体" w:hAnsi="宋体" w:cs="宋体"/>
          <w:color w:val="auto"/>
          <w:kern w:val="2"/>
          <w:sz w:val="24"/>
          <w:szCs w:val="24"/>
          <w:highlight w:val="none"/>
          <w:shd w:val="clear" w:color="auto" w:fill="auto"/>
          <w:lang w:val="en-US" w:eastAsia="zh-CN"/>
        </w:rPr>
        <w:t xml:space="preserve">    </w:t>
      </w:r>
      <w:r>
        <w:rPr>
          <w:rFonts w:hint="eastAsia" w:ascii="宋体" w:hAnsi="宋体" w:eastAsia="宋体" w:cs="宋体"/>
          <w:color w:val="auto"/>
          <w:kern w:val="2"/>
          <w:sz w:val="24"/>
          <w:szCs w:val="24"/>
          <w:highlight w:val="none"/>
          <w:shd w:val="clear" w:color="auto" w:fill="auto"/>
          <w:lang w:eastAsia="zh-CN"/>
        </w:rPr>
        <w:t>乙方</w:t>
      </w:r>
      <w:r>
        <w:rPr>
          <w:rFonts w:hint="eastAsia" w:ascii="宋体" w:hAnsi="宋体" w:eastAsia="宋体" w:cs="宋体"/>
          <w:color w:val="auto"/>
          <w:kern w:val="2"/>
          <w:sz w:val="24"/>
          <w:szCs w:val="24"/>
          <w:highlight w:val="none"/>
          <w:shd w:val="clear" w:color="auto" w:fill="auto"/>
        </w:rPr>
        <w:t>（盖章）：</w:t>
      </w:r>
      <w:r>
        <w:rPr>
          <w:rFonts w:hint="eastAsia" w:ascii="宋体" w:hAnsi="宋体" w:eastAsia="宋体" w:cs="宋体"/>
          <w:b w:val="0"/>
          <w:bCs w:val="0"/>
          <w:color w:val="auto"/>
          <w:kern w:val="2"/>
          <w:sz w:val="24"/>
          <w:szCs w:val="24"/>
          <w:highlight w:val="none"/>
          <w:shd w:val="clear" w:color="auto" w:fill="auto"/>
          <w:lang w:val="en-US" w:eastAsia="zh-CN"/>
        </w:rPr>
        <w:t xml:space="preserve">      </w:t>
      </w:r>
    </w:p>
    <w:p w14:paraId="4CF65918">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firstLine="0" w:firstLineChars="0"/>
        <w:jc w:val="left"/>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法定代表人（</w:t>
      </w:r>
      <w:r>
        <w:rPr>
          <w:rFonts w:hint="eastAsia" w:ascii="宋体" w:hAnsi="宋体" w:cs="宋体"/>
          <w:color w:val="auto"/>
          <w:sz w:val="24"/>
          <w:szCs w:val="24"/>
          <w:highlight w:val="none"/>
          <w:shd w:val="clear" w:color="auto" w:fill="auto"/>
          <w:lang w:val="en-US" w:eastAsia="zh-CN"/>
        </w:rPr>
        <w:t>或</w:t>
      </w:r>
      <w:r>
        <w:rPr>
          <w:rFonts w:hint="eastAsia" w:ascii="宋体" w:hAnsi="宋体" w:eastAsia="宋体" w:cs="宋体"/>
          <w:color w:val="auto"/>
          <w:sz w:val="24"/>
          <w:szCs w:val="24"/>
          <w:highlight w:val="none"/>
          <w:shd w:val="clear" w:color="auto" w:fill="auto"/>
          <w:lang w:eastAsia="zh-CN"/>
        </w:rPr>
        <w:t>授权代表）：</w:t>
      </w:r>
      <w:r>
        <w:rPr>
          <w:rFonts w:hint="eastAsia" w:ascii="宋体" w:hAnsi="宋体" w:eastAsia="宋体" w:cs="宋体"/>
          <w:color w:val="auto"/>
          <w:sz w:val="24"/>
          <w:szCs w:val="24"/>
          <w:highlight w:val="none"/>
          <w:shd w:val="clear" w:color="auto" w:fill="auto"/>
          <w:lang w:eastAsia="zh-CN"/>
        </w:rPr>
        <w:tab/>
      </w:r>
      <w:r>
        <w:rPr>
          <w:rFonts w:hint="eastAsia" w:ascii="宋体" w:hAnsi="宋体" w:eastAsia="宋体" w:cs="宋体"/>
          <w:color w:val="auto"/>
          <w:sz w:val="24"/>
          <w:szCs w:val="24"/>
          <w:highlight w:val="none"/>
          <w:shd w:val="clear" w:color="auto" w:fill="auto"/>
          <w:lang w:eastAsia="zh-CN"/>
        </w:rPr>
        <w:tab/>
      </w:r>
      <w:r>
        <w:rPr>
          <w:rFonts w:hint="eastAsia" w:ascii="宋体" w:hAnsi="宋体" w:eastAsia="宋体" w:cs="宋体"/>
          <w:color w:val="auto"/>
          <w:sz w:val="24"/>
          <w:szCs w:val="24"/>
          <w:highlight w:val="none"/>
          <w:shd w:val="clear" w:color="auto" w:fill="auto"/>
          <w:lang w:eastAsia="zh-CN"/>
        </w:rPr>
        <w:tab/>
      </w:r>
      <w:r>
        <w:rPr>
          <w:rFonts w:hint="eastAsia" w:ascii="宋体" w:hAnsi="宋体" w:cs="宋体"/>
          <w:color w:val="auto"/>
          <w:sz w:val="24"/>
          <w:szCs w:val="24"/>
          <w:highlight w:val="none"/>
          <w:shd w:val="clear" w:color="auto" w:fill="auto"/>
          <w:lang w:val="en-US" w:eastAsia="zh-CN"/>
        </w:rPr>
        <w:t xml:space="preserve">  </w:t>
      </w:r>
      <w:r>
        <w:rPr>
          <w:rFonts w:hint="eastAsia" w:ascii="宋体" w:hAnsi="宋体" w:cs="宋体"/>
          <w:color w:val="auto"/>
          <w:sz w:val="24"/>
          <w:szCs w:val="24"/>
          <w:highlight w:val="none"/>
          <w:shd w:val="clear" w:color="auto" w:fill="auto"/>
          <w:lang w:eastAsia="zh-CN"/>
        </w:rPr>
        <w:t>负责</w:t>
      </w:r>
      <w:r>
        <w:rPr>
          <w:rFonts w:hint="eastAsia" w:ascii="宋体" w:hAnsi="宋体" w:eastAsia="宋体" w:cs="宋体"/>
          <w:color w:val="auto"/>
          <w:sz w:val="24"/>
          <w:szCs w:val="24"/>
          <w:highlight w:val="none"/>
          <w:shd w:val="clear" w:color="auto" w:fill="auto"/>
          <w:lang w:eastAsia="zh-CN"/>
        </w:rPr>
        <w:t>人（</w:t>
      </w:r>
      <w:r>
        <w:rPr>
          <w:rFonts w:hint="eastAsia" w:ascii="宋体" w:hAnsi="宋体" w:cs="宋体"/>
          <w:color w:val="auto"/>
          <w:sz w:val="24"/>
          <w:szCs w:val="24"/>
          <w:highlight w:val="none"/>
          <w:shd w:val="clear" w:color="auto" w:fill="auto"/>
          <w:lang w:val="en-US" w:eastAsia="zh-CN"/>
        </w:rPr>
        <w:t>或</w:t>
      </w:r>
      <w:r>
        <w:rPr>
          <w:rFonts w:hint="eastAsia" w:ascii="宋体" w:hAnsi="宋体" w:eastAsia="宋体" w:cs="宋体"/>
          <w:color w:val="auto"/>
          <w:sz w:val="24"/>
          <w:szCs w:val="24"/>
          <w:highlight w:val="none"/>
          <w:shd w:val="clear" w:color="auto" w:fill="auto"/>
          <w:lang w:eastAsia="zh-CN"/>
        </w:rPr>
        <w:t>授权代表）：</w:t>
      </w:r>
    </w:p>
    <w:p w14:paraId="65572A34">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right="0" w:firstLine="480" w:firstLineChars="200"/>
        <w:jc w:val="left"/>
        <w:textAlignment w:val="auto"/>
        <w:outlineLvl w:val="9"/>
        <w:rPr>
          <w:rFonts w:hint="eastAsia" w:ascii="宋体" w:hAnsi="宋体" w:eastAsia="宋体" w:cs="宋体"/>
          <w:color w:val="auto"/>
          <w:sz w:val="24"/>
          <w:szCs w:val="24"/>
          <w:highlight w:val="none"/>
          <w:shd w:val="clear" w:color="auto" w:fill="auto"/>
          <w:lang w:eastAsia="zh-CN"/>
        </w:rPr>
      </w:pPr>
    </w:p>
    <w:p w14:paraId="1C36D379">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right="0" w:firstLine="480" w:firstLineChars="200"/>
        <w:jc w:val="left"/>
        <w:textAlignment w:val="auto"/>
        <w:outlineLvl w:val="9"/>
        <w:rPr>
          <w:rFonts w:hint="eastAsia" w:ascii="宋体" w:hAnsi="宋体" w:eastAsia="宋体" w:cs="宋体"/>
          <w:color w:val="auto"/>
          <w:sz w:val="24"/>
          <w:szCs w:val="24"/>
          <w:shd w:val="clear" w:color="auto" w:fill="auto"/>
          <w:lang w:eastAsia="zh-CN"/>
        </w:rPr>
      </w:pPr>
    </w:p>
    <w:p w14:paraId="5A20B423">
      <w:pPr>
        <w:keepNext w:val="0"/>
        <w:keepLines w:val="0"/>
        <w:pageBreakBefore w:val="0"/>
        <w:widowControl/>
        <w:kinsoku/>
        <w:wordWrap/>
        <w:overflowPunct/>
        <w:topLinePunct w:val="0"/>
        <w:autoSpaceDE/>
        <w:autoSpaceDN/>
        <w:bidi w:val="0"/>
        <w:adjustRightInd/>
        <w:snapToGrid/>
        <w:spacing w:after="0" w:line="560" w:lineRule="exact"/>
        <w:ind w:left="0" w:leftChars="0" w:firstLine="1120" w:firstLineChars="400"/>
        <w:jc w:val="left"/>
        <w:textAlignment w:val="auto"/>
        <w:outlineLvl w:val="9"/>
        <w:rPr>
          <w:rFonts w:hint="eastAsia" w:ascii="宋体" w:hAnsi="宋体" w:eastAsia="宋体" w:cs="宋体"/>
          <w:color w:val="auto"/>
          <w:sz w:val="28"/>
          <w:szCs w:val="28"/>
        </w:rPr>
      </w:pPr>
    </w:p>
    <w:p w14:paraId="7398992B">
      <w:pPr>
        <w:keepNext w:val="0"/>
        <w:keepLines w:val="0"/>
        <w:pageBreakBefore w:val="0"/>
        <w:widowControl/>
        <w:kinsoku/>
        <w:wordWrap/>
        <w:overflowPunct/>
        <w:topLinePunct w:val="0"/>
        <w:autoSpaceDE/>
        <w:autoSpaceDN/>
        <w:bidi w:val="0"/>
        <w:adjustRightInd/>
        <w:snapToGrid/>
        <w:spacing w:after="0" w:line="560" w:lineRule="exact"/>
        <w:ind w:left="0" w:leftChars="0" w:firstLine="0" w:firstLineChars="0"/>
        <w:jc w:val="left"/>
        <w:textAlignment w:val="auto"/>
        <w:outlineLvl w:val="9"/>
        <w:rPr>
          <w:rFonts w:hint="eastAsia" w:ascii="宋体" w:hAnsi="宋体" w:eastAsia="宋体" w:cs="宋体"/>
          <w:color w:val="auto"/>
          <w:sz w:val="28"/>
          <w:szCs w:val="28"/>
          <w:lang w:val="en-US" w:eastAsia="zh-CN"/>
        </w:rPr>
      </w:pPr>
    </w:p>
    <w:p w14:paraId="427E42F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8"/>
          <w:szCs w:val="28"/>
          <w:lang w:val="en-US" w:eastAsia="zh-CN"/>
        </w:rPr>
      </w:pPr>
    </w:p>
    <w:p w14:paraId="369410EE">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color w:val="auto"/>
        </w:rPr>
      </w:pPr>
    </w:p>
    <w:p w14:paraId="0B16590F">
      <w:pPr>
        <w:keepNext w:val="0"/>
        <w:keepLines w:val="0"/>
        <w:pageBreakBefore w:val="0"/>
        <w:kinsoku/>
        <w:wordWrap/>
        <w:overflowPunct/>
        <w:topLinePunct w:val="0"/>
        <w:autoSpaceDE/>
        <w:autoSpaceDN/>
        <w:bidi w:val="0"/>
        <w:adjustRightInd/>
        <w:snapToGrid/>
        <w:spacing w:line="560" w:lineRule="exact"/>
        <w:textAlignment w:val="auto"/>
        <w:rPr>
          <w:rFonts w:hint="eastAsia"/>
          <w:color w:val="auto"/>
        </w:rPr>
      </w:pPr>
    </w:p>
    <w:p w14:paraId="17CBB5E7">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color w:val="auto"/>
        </w:rPr>
      </w:pPr>
    </w:p>
    <w:p w14:paraId="004446FA">
      <w:pPr>
        <w:pStyle w:val="4"/>
        <w:spacing w:before="55"/>
        <w:ind w:left="108"/>
        <w:rPr>
          <w:rFonts w:hint="eastAsia" w:ascii="宋体" w:hAnsi="宋体" w:eastAsia="宋体" w:cs="宋体"/>
          <w:color w:val="auto"/>
          <w:sz w:val="24"/>
          <w:szCs w:val="24"/>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3：</w:t>
      </w:r>
    </w:p>
    <w:p w14:paraId="72DBAB00">
      <w:pPr>
        <w:spacing w:line="520" w:lineRule="exact"/>
        <w:ind w:left="790"/>
        <w:jc w:val="left"/>
        <w:rPr>
          <w:rFonts w:ascii="宋体"/>
          <w:sz w:val="39"/>
        </w:rPr>
      </w:pPr>
      <w:r>
        <w:rPr>
          <w:rFonts w:hint="eastAsia" w:ascii="方正小标宋_GBK" w:hAnsi="方正小标宋_GBK" w:eastAsia="方正小标宋_GBK" w:cs="方正小标宋_GBK"/>
          <w:sz w:val="44"/>
        </w:rPr>
        <w:t>龙岗区进一步规范政商交往行为告知书</w:t>
      </w:r>
    </w:p>
    <w:p w14:paraId="6F6CB387">
      <w:pPr>
        <w:pStyle w:val="4"/>
        <w:spacing w:after="0" w:line="520" w:lineRule="exact"/>
        <w:ind w:left="108" w:right="114" w:firstLine="480" w:firstLineChars="200"/>
        <w:jc w:val="left"/>
        <w:rPr>
          <w:rFonts w:ascii="宋体" w:hAnsi="宋体" w:cs="宋体"/>
          <w:sz w:val="24"/>
        </w:rPr>
      </w:pPr>
      <w:r>
        <w:rPr>
          <w:rFonts w:hint="eastAsia" w:ascii="宋体" w:hAnsi="宋体" w:cs="宋体"/>
          <w:sz w:val="24"/>
        </w:rPr>
        <w:t>为深入构建“亲”“清”新型政商关系，努力打造尊商、亲商、助商、安商良好营商环境，龙岗区委区政府制定了《龙岗区公职人员政商交往“十个不准”》，严明公职人员在政商交往中的纪律要求。 请参与龙岗建设的广大企业及其从业人员，严格监督我区公职人员落实“十个不准”，并在与我区公职人员交往中切实做到“十个不得”。</w:t>
      </w:r>
    </w:p>
    <w:p w14:paraId="72BC5450">
      <w:pPr>
        <w:pStyle w:val="4"/>
        <w:numPr>
          <w:ilvl w:val="0"/>
          <w:numId w:val="1"/>
        </w:numPr>
        <w:spacing w:before="11" w:after="0" w:line="520" w:lineRule="exact"/>
        <w:ind w:right="478" w:firstLine="480" w:firstLineChars="200"/>
        <w:jc w:val="left"/>
        <w:rPr>
          <w:rFonts w:ascii="宋体" w:hAnsi="宋体" w:cs="宋体"/>
          <w:sz w:val="24"/>
        </w:rPr>
      </w:pPr>
      <w:r>
        <w:rPr>
          <w:rFonts w:hint="eastAsia" w:ascii="宋体" w:hAnsi="宋体" w:cs="宋体"/>
          <w:sz w:val="24"/>
        </w:rPr>
        <w:t>不得向公职人员赠送礼品、礼金、消费卡等财物。</w:t>
      </w:r>
    </w:p>
    <w:p w14:paraId="257FEFBE">
      <w:pPr>
        <w:pStyle w:val="4"/>
        <w:numPr>
          <w:ilvl w:val="0"/>
          <w:numId w:val="1"/>
        </w:numPr>
        <w:spacing w:before="11" w:after="0" w:line="520" w:lineRule="exact"/>
        <w:ind w:right="478" w:firstLine="480" w:firstLineChars="200"/>
        <w:jc w:val="left"/>
        <w:rPr>
          <w:rFonts w:ascii="宋体" w:hAnsi="宋体" w:cs="宋体"/>
          <w:sz w:val="24"/>
        </w:rPr>
      </w:pPr>
      <w:r>
        <w:rPr>
          <w:rFonts w:hint="eastAsia" w:ascii="宋体" w:hAnsi="宋体" w:cs="宋体"/>
          <w:sz w:val="24"/>
        </w:rPr>
        <w:t>不得违规向公职人员提供宴请、旅游、娱乐等安排。</w:t>
      </w:r>
    </w:p>
    <w:p w14:paraId="039D8226">
      <w:pPr>
        <w:pStyle w:val="4"/>
        <w:numPr>
          <w:ilvl w:val="0"/>
          <w:numId w:val="1"/>
        </w:numPr>
        <w:spacing w:before="11" w:after="0" w:line="520" w:lineRule="exact"/>
        <w:ind w:right="478" w:firstLine="480" w:firstLineChars="200"/>
        <w:jc w:val="left"/>
        <w:rPr>
          <w:rFonts w:ascii="宋体" w:hAnsi="宋体" w:cs="宋体"/>
          <w:sz w:val="24"/>
        </w:rPr>
      </w:pPr>
      <w:r>
        <w:rPr>
          <w:rFonts w:hint="eastAsia" w:ascii="宋体" w:hAnsi="宋体" w:cs="宋体"/>
          <w:sz w:val="24"/>
        </w:rPr>
        <w:t>不得通过打麻将等形式向公职人员输送利益。</w:t>
      </w:r>
    </w:p>
    <w:p w14:paraId="32F436B7">
      <w:pPr>
        <w:pStyle w:val="4"/>
        <w:numPr>
          <w:ilvl w:val="0"/>
          <w:numId w:val="1"/>
        </w:numPr>
        <w:spacing w:before="6" w:after="0" w:line="520" w:lineRule="exact"/>
        <w:ind w:right="1438" w:firstLine="480" w:firstLineChars="200"/>
        <w:jc w:val="left"/>
        <w:rPr>
          <w:rFonts w:ascii="宋体" w:hAnsi="宋体" w:cs="宋体"/>
          <w:sz w:val="24"/>
        </w:rPr>
      </w:pPr>
      <w:r>
        <w:rPr>
          <w:rFonts w:hint="eastAsia" w:ascii="宋体" w:hAnsi="宋体" w:cs="宋体"/>
          <w:sz w:val="24"/>
        </w:rPr>
        <w:t>不得为公职人员报销应由其个人支付的费用。</w:t>
      </w:r>
    </w:p>
    <w:p w14:paraId="6389BA4F">
      <w:pPr>
        <w:pStyle w:val="4"/>
        <w:numPr>
          <w:ilvl w:val="0"/>
          <w:numId w:val="1"/>
        </w:numPr>
        <w:spacing w:before="6" w:after="0" w:line="520" w:lineRule="exact"/>
        <w:ind w:right="1438" w:firstLine="480" w:firstLineChars="200"/>
        <w:jc w:val="left"/>
        <w:rPr>
          <w:rFonts w:ascii="宋体" w:hAnsi="宋体" w:cs="宋体"/>
          <w:sz w:val="24"/>
        </w:rPr>
      </w:pPr>
      <w:r>
        <w:rPr>
          <w:rFonts w:hint="eastAsia" w:ascii="宋体" w:hAnsi="宋体" w:cs="宋体"/>
          <w:sz w:val="24"/>
        </w:rPr>
        <w:t>不得违规向公职人员及其亲友借</w:t>
      </w:r>
      <w:bookmarkStart w:id="0" w:name="_GoBack"/>
      <w:r>
        <w:rPr>
          <w:rFonts w:hint="eastAsia" w:ascii="宋体" w:hAnsi="宋体" w:cs="宋体"/>
          <w:sz w:val="24"/>
        </w:rPr>
        <w:t>贷款</w:t>
      </w:r>
      <w:bookmarkEnd w:id="0"/>
      <w:r>
        <w:rPr>
          <w:rFonts w:hint="eastAsia" w:ascii="宋体" w:hAnsi="宋体" w:cs="宋体"/>
          <w:sz w:val="24"/>
        </w:rPr>
        <w:t>。</w:t>
      </w:r>
    </w:p>
    <w:p w14:paraId="7D74751F">
      <w:pPr>
        <w:pStyle w:val="4"/>
        <w:spacing w:before="3" w:after="0" w:line="520" w:lineRule="exact"/>
        <w:ind w:firstLine="480" w:firstLineChars="200"/>
        <w:jc w:val="left"/>
        <w:rPr>
          <w:rFonts w:ascii="宋体" w:hAnsi="宋体" w:cs="宋体"/>
          <w:sz w:val="24"/>
        </w:rPr>
      </w:pPr>
      <w:r>
        <w:rPr>
          <w:rFonts w:hint="eastAsia" w:ascii="宋体" w:hAnsi="宋体" w:cs="宋体"/>
          <w:sz w:val="24"/>
        </w:rPr>
        <w:t>六、不得违规将车辆、住房等借给公职人员使用。</w:t>
      </w:r>
    </w:p>
    <w:p w14:paraId="39748ED5">
      <w:pPr>
        <w:pStyle w:val="4"/>
        <w:spacing w:after="0" w:line="520" w:lineRule="exact"/>
        <w:ind w:right="271" w:firstLine="480" w:firstLineChars="200"/>
        <w:jc w:val="left"/>
        <w:rPr>
          <w:rFonts w:ascii="宋体" w:hAnsi="宋体" w:cs="宋体"/>
          <w:sz w:val="24"/>
        </w:rPr>
      </w:pPr>
      <w:r>
        <w:rPr>
          <w:rFonts w:hint="eastAsia" w:ascii="宋体" w:hAnsi="宋体" w:cs="宋体"/>
          <w:sz w:val="24"/>
        </w:rPr>
        <w:t>七、不得在招投标中与公职人员搞暗箱操作、围标串标。八、不得为利益相关人和公职人员牵线搭桥或者代为传递信息、传递财物。</w:t>
      </w:r>
    </w:p>
    <w:p w14:paraId="584AA223">
      <w:pPr>
        <w:pStyle w:val="4"/>
        <w:spacing w:after="0" w:line="520" w:lineRule="exact"/>
        <w:ind w:firstLine="480" w:firstLineChars="200"/>
        <w:jc w:val="left"/>
        <w:rPr>
          <w:rFonts w:ascii="宋体" w:hAnsi="宋体" w:cs="宋体"/>
          <w:sz w:val="24"/>
        </w:rPr>
      </w:pPr>
      <w:r>
        <w:rPr>
          <w:rFonts w:hint="eastAsia" w:ascii="宋体" w:hAnsi="宋体" w:cs="宋体"/>
          <w:sz w:val="24"/>
        </w:rPr>
        <w:t>九、不得让公职人员在企业违规兼职取酬。</w:t>
      </w:r>
    </w:p>
    <w:p w14:paraId="04478F2A">
      <w:pPr>
        <w:pStyle w:val="4"/>
        <w:spacing w:after="0" w:line="520" w:lineRule="exact"/>
        <w:ind w:firstLine="480" w:firstLineChars="200"/>
        <w:jc w:val="left"/>
        <w:rPr>
          <w:rFonts w:ascii="宋体" w:hAnsi="宋体" w:cs="宋体"/>
          <w:sz w:val="24"/>
        </w:rPr>
      </w:pPr>
      <w:r>
        <w:rPr>
          <w:rFonts w:hint="eastAsia" w:ascii="宋体" w:hAnsi="宋体" w:cs="宋体"/>
          <w:sz w:val="24"/>
        </w:rPr>
        <w:t>十、不得为公职人员亲友违规承揽业务提供便利。</w:t>
      </w:r>
    </w:p>
    <w:p w14:paraId="1F5645B8">
      <w:pPr>
        <w:pStyle w:val="4"/>
        <w:spacing w:after="0" w:line="520" w:lineRule="exact"/>
        <w:ind w:right="156" w:firstLine="480" w:firstLineChars="200"/>
        <w:jc w:val="left"/>
        <w:rPr>
          <w:rFonts w:ascii="宋体" w:hAnsi="宋体" w:cs="宋体"/>
          <w:sz w:val="24"/>
        </w:rPr>
      </w:pPr>
      <w:r>
        <w:rPr>
          <w:rFonts w:hint="eastAsia" w:ascii="宋体" w:hAnsi="宋体" w:cs="宋体"/>
          <w:sz w:val="24"/>
        </w:rPr>
        <w:t>上述“十个不得”，请您严格遵守。同时，在政商交往中， 如有发现我区公职人员存在违反“十个不准”的问题，请及时通过网络举报平台或者 12388 举报电话等方式，向纪检监察机关反映举报，我们将一律严格保密、一律优先处置、一律严肃查处。</w:t>
      </w:r>
    </w:p>
    <w:p w14:paraId="4372F601">
      <w:pPr>
        <w:pStyle w:val="4"/>
        <w:spacing w:line="520" w:lineRule="exact"/>
        <w:ind w:firstLine="480" w:firstLineChars="200"/>
        <w:jc w:val="left"/>
        <w:rPr>
          <w:rFonts w:ascii="宋体" w:hAnsi="宋体" w:cs="宋体"/>
          <w:sz w:val="24"/>
        </w:rPr>
      </w:pPr>
      <w:r>
        <w:rPr>
          <w:rFonts w:hint="eastAsia" w:ascii="宋体" w:hAnsi="宋体" w:cs="宋体"/>
          <w:sz w:val="24"/>
        </w:rPr>
        <w:t>本单位已知晓上述告知内容，并愿意遵照执行（公章）：</w:t>
      </w:r>
    </w:p>
    <w:p w14:paraId="24748811">
      <w:pPr>
        <w:rPr>
          <w:rFonts w:ascii="宋体" w:hAnsi="宋体" w:eastAsia="宋体" w:cs="宋体"/>
          <w:sz w:val="24"/>
        </w:rPr>
      </w:pPr>
    </w:p>
    <w:p w14:paraId="3224B47C">
      <w:pPr>
        <w:pStyle w:val="4"/>
        <w:tabs>
          <w:tab w:val="left" w:pos="7068"/>
          <w:tab w:val="left" w:pos="7827"/>
          <w:tab w:val="left" w:pos="8587"/>
        </w:tabs>
        <w:wordWrap w:val="0"/>
        <w:jc w:val="right"/>
        <w:rPr>
          <w:rFonts w:hint="eastAsia"/>
          <w:color w:val="auto"/>
        </w:rPr>
      </w:pPr>
      <w:r>
        <w:rPr>
          <w:rFonts w:hint="eastAsia" w:ascii="宋体" w:hAnsi="宋体" w:cs="宋体"/>
          <w:sz w:val="24"/>
        </w:rPr>
        <w:t>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sectPr>
      <w:headerReference r:id="rId3" w:type="default"/>
      <w:footerReference r:id="rId4" w:type="default"/>
      <w:pgSz w:w="11906" w:h="16838"/>
      <w:pgMar w:top="2098" w:right="1474" w:bottom="1474" w:left="1588" w:header="850"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4BD5B2A-189F-4783-9BB4-657C3D6ED17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D89EE175-B687-479B-B2B6-77D7E8A3E77A}"/>
  </w:font>
  <w:font w:name="Futura">
    <w:altName w:val="Segoe Print"/>
    <w:panose1 w:val="00000000000000000000"/>
    <w:charset w:val="00"/>
    <w:family w:val="roman"/>
    <w:pitch w:val="default"/>
    <w:sig w:usb0="00000000" w:usb1="00000000" w:usb2="00000000" w:usb3="00000000" w:csb0="00000001" w:csb1="00000000"/>
  </w:font>
  <w:font w:name="C059">
    <w:altName w:val="Segoe Print"/>
    <w:panose1 w:val="00000500000000000000"/>
    <w:charset w:val="00"/>
    <w:family w:val="auto"/>
    <w:pitch w:val="default"/>
    <w:sig w:usb0="00000000" w:usb1="00000000" w:usb2="00000000" w:usb3="00000000" w:csb0="600000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embedRegular r:id="rId3" w:fontKey="{327FA88F-B19B-47C0-A700-47DDF102A7F9}"/>
  </w:font>
  <w:font w:name="楷体">
    <w:panose1 w:val="02010609060101010101"/>
    <w:charset w:val="86"/>
    <w:family w:val="auto"/>
    <w:pitch w:val="default"/>
    <w:sig w:usb0="800002BF" w:usb1="38CF7CFA" w:usb2="00000016" w:usb3="00000000" w:csb0="00040001" w:csb1="00000000"/>
    <w:embedRegular r:id="rId4" w:fontKey="{2857B4A0-4785-456D-9E0B-EC3490FD344C}"/>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F61EB">
    <w:pPr>
      <w:pStyle w:val="6"/>
      <w:rPr>
        <w:rFonts w:ascii="宋体" w:hAnsi="宋体"/>
      </w:rPr>
    </w:pPr>
    <w:r>
      <w:rPr>
        <w:rFonts w:hint="eastAsia"/>
      </w:rPr>
      <w:t xml:space="preserve">                                        </w:t>
    </w:r>
    <w:r>
      <w:rPr>
        <w:rFonts w:hint="eastAsia" w:ascii="宋体" w:hAnsi="宋体"/>
      </w:rPr>
      <w:t xml:space="preserve">  </w:t>
    </w:r>
    <w:r>
      <w:rPr>
        <w:rFonts w:hint="eastAsia" w:ascii="宋体" w:hAnsi="宋体"/>
        <w:lang w:val="zh-CN"/>
      </w:rPr>
      <w:t>第</w:t>
    </w:r>
    <w:r>
      <w:rPr>
        <w:rFonts w:ascii="宋体" w:hAnsi="宋体"/>
      </w:rPr>
      <w:fldChar w:fldCharType="begin"/>
    </w:r>
    <w:r>
      <w:rPr>
        <w:rFonts w:ascii="宋体" w:hAnsi="宋体"/>
      </w:rPr>
      <w:instrText xml:space="preserve">PAGE</w:instrText>
    </w:r>
    <w:r>
      <w:rPr>
        <w:rFonts w:ascii="宋体" w:hAnsi="宋体"/>
      </w:rPr>
      <w:fldChar w:fldCharType="separate"/>
    </w:r>
    <w:r>
      <w:rPr>
        <w:rFonts w:ascii="宋体" w:hAnsi="宋体"/>
      </w:rPr>
      <w:t>2</w:t>
    </w:r>
    <w:r>
      <w:rPr>
        <w:rFonts w:ascii="宋体" w:hAnsi="宋体"/>
      </w:rPr>
      <w:fldChar w:fldCharType="end"/>
    </w:r>
    <w:r>
      <w:rPr>
        <w:rFonts w:hint="eastAsia" w:ascii="宋体" w:hAnsi="宋体"/>
        <w:lang w:val="zh-CN"/>
      </w:rPr>
      <w:t>页，共</w:t>
    </w:r>
    <w:r>
      <w:rPr>
        <w:rFonts w:hint="default" w:ascii="宋体" w:hAnsi="宋体"/>
      </w:rPr>
      <w:fldChar w:fldCharType="begin"/>
    </w:r>
    <w:r>
      <w:rPr>
        <w:rFonts w:hint="default" w:ascii="宋体" w:hAnsi="宋体"/>
      </w:rPr>
      <w:instrText xml:space="preserve"> SECTIONPAGES \* MERGEFORMAT </w:instrText>
    </w:r>
    <w:r>
      <w:rPr>
        <w:rFonts w:hint="default" w:ascii="宋体" w:hAnsi="宋体"/>
      </w:rPr>
      <w:fldChar w:fldCharType="separate"/>
    </w:r>
    <w:r>
      <w:rPr>
        <w:rFonts w:hint="default" w:ascii="宋体" w:hAnsi="宋体"/>
      </w:rPr>
      <w:t>1</w:t>
    </w:r>
    <w:r>
      <w:rPr>
        <w:rFonts w:hint="default" w:ascii="宋体" w:hAnsi="宋体"/>
      </w:rPr>
      <w:fldChar w:fldCharType="end"/>
    </w:r>
    <w:r>
      <w:rPr>
        <w:rFonts w:hint="eastAsia" w:ascii="宋体" w:hAnsi="宋体"/>
      </w:rPr>
      <w:t>页</w:t>
    </w:r>
  </w:p>
  <w:p w14:paraId="3C64A10C">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78F15">
    <w:pPr>
      <w:pStyle w:val="18"/>
      <w:jc w:val="right"/>
      <w:rPr>
        <w:rFonts w:ascii="楷体" w:hAnsi="楷体" w:eastAsia="楷体" w:cs="楷体"/>
        <w:b/>
        <w:bCs/>
        <w:sz w:val="21"/>
        <w:szCs w:val="21"/>
      </w:rPr>
    </w:pPr>
    <w:r>
      <w:rPr>
        <w:rFonts w:hint="eastAsia" w:eastAsia="宋体"/>
      </w:rPr>
      <w:t xml:space="preserve">                                                                   </w:t>
    </w:r>
    <w:r>
      <w:rPr>
        <w:rFonts w:hint="eastAsia" w:ascii="楷体" w:hAnsi="楷体" w:eastAsia="楷体" w:cs="楷体"/>
        <w:b/>
        <w:bCs/>
        <w:sz w:val="21"/>
        <w:szCs w:val="21"/>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F7763"/>
    <w:multiLevelType w:val="singleLevel"/>
    <w:tmpl w:val="E90F776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xMzVhMDlhOTk3ZTc4ZWFhYjJiOGFiYTU2ZTVjMzEifQ=="/>
    <w:docVar w:name="KGWebUrl" w:val="https://zhct.lggov.cn/sys/attachment/sys_att_main/jg_service.jsp"/>
  </w:docVars>
  <w:rsids>
    <w:rsidRoot w:val="002C1D68"/>
    <w:rsid w:val="000023DA"/>
    <w:rsid w:val="0002088B"/>
    <w:rsid w:val="00021C47"/>
    <w:rsid w:val="000228B3"/>
    <w:rsid w:val="00032FC3"/>
    <w:rsid w:val="00047F7E"/>
    <w:rsid w:val="00056F42"/>
    <w:rsid w:val="00092FD0"/>
    <w:rsid w:val="00094F14"/>
    <w:rsid w:val="00097C54"/>
    <w:rsid w:val="000A3A24"/>
    <w:rsid w:val="000A3C1F"/>
    <w:rsid w:val="000A4544"/>
    <w:rsid w:val="000C04B6"/>
    <w:rsid w:val="000C33AE"/>
    <w:rsid w:val="000C576B"/>
    <w:rsid w:val="000C7514"/>
    <w:rsid w:val="000D0F3D"/>
    <w:rsid w:val="000D6712"/>
    <w:rsid w:val="000D6B59"/>
    <w:rsid w:val="000D6D49"/>
    <w:rsid w:val="000F02C0"/>
    <w:rsid w:val="000F5F5D"/>
    <w:rsid w:val="00103168"/>
    <w:rsid w:val="00112763"/>
    <w:rsid w:val="0011385D"/>
    <w:rsid w:val="001431AD"/>
    <w:rsid w:val="0015717D"/>
    <w:rsid w:val="00194124"/>
    <w:rsid w:val="00195542"/>
    <w:rsid w:val="00195849"/>
    <w:rsid w:val="00197C77"/>
    <w:rsid w:val="001C6187"/>
    <w:rsid w:val="001E0D96"/>
    <w:rsid w:val="001E764A"/>
    <w:rsid w:val="001F6377"/>
    <w:rsid w:val="002272FB"/>
    <w:rsid w:val="00234ED8"/>
    <w:rsid w:val="002373BB"/>
    <w:rsid w:val="002423ED"/>
    <w:rsid w:val="002502A9"/>
    <w:rsid w:val="00261BFF"/>
    <w:rsid w:val="00265BFE"/>
    <w:rsid w:val="00267039"/>
    <w:rsid w:val="00274804"/>
    <w:rsid w:val="0029673B"/>
    <w:rsid w:val="002B5B89"/>
    <w:rsid w:val="002C1D68"/>
    <w:rsid w:val="002D05C7"/>
    <w:rsid w:val="002E051A"/>
    <w:rsid w:val="002E1514"/>
    <w:rsid w:val="002E5575"/>
    <w:rsid w:val="002F0800"/>
    <w:rsid w:val="002F31B6"/>
    <w:rsid w:val="003032D7"/>
    <w:rsid w:val="003061D0"/>
    <w:rsid w:val="00306985"/>
    <w:rsid w:val="00307040"/>
    <w:rsid w:val="003079B4"/>
    <w:rsid w:val="00310A23"/>
    <w:rsid w:val="003303BE"/>
    <w:rsid w:val="00343014"/>
    <w:rsid w:val="00346AD7"/>
    <w:rsid w:val="003559C2"/>
    <w:rsid w:val="00381A98"/>
    <w:rsid w:val="00384549"/>
    <w:rsid w:val="00387225"/>
    <w:rsid w:val="003A1796"/>
    <w:rsid w:val="003A2A12"/>
    <w:rsid w:val="003A42EE"/>
    <w:rsid w:val="003B3F04"/>
    <w:rsid w:val="003B56F7"/>
    <w:rsid w:val="003C0EB5"/>
    <w:rsid w:val="003C28B6"/>
    <w:rsid w:val="003D64AA"/>
    <w:rsid w:val="003E13E9"/>
    <w:rsid w:val="003F11F0"/>
    <w:rsid w:val="003F46C6"/>
    <w:rsid w:val="00405FAB"/>
    <w:rsid w:val="00426424"/>
    <w:rsid w:val="00427344"/>
    <w:rsid w:val="00445740"/>
    <w:rsid w:val="00470A10"/>
    <w:rsid w:val="00476F4B"/>
    <w:rsid w:val="00477598"/>
    <w:rsid w:val="00480FC1"/>
    <w:rsid w:val="0048421C"/>
    <w:rsid w:val="004846F6"/>
    <w:rsid w:val="00497AF1"/>
    <w:rsid w:val="004D79A3"/>
    <w:rsid w:val="004E00B3"/>
    <w:rsid w:val="004E1791"/>
    <w:rsid w:val="004F3D0E"/>
    <w:rsid w:val="0051133B"/>
    <w:rsid w:val="00523AC8"/>
    <w:rsid w:val="005439A8"/>
    <w:rsid w:val="005471F8"/>
    <w:rsid w:val="005560A1"/>
    <w:rsid w:val="0055786F"/>
    <w:rsid w:val="00564C66"/>
    <w:rsid w:val="00572258"/>
    <w:rsid w:val="005740E7"/>
    <w:rsid w:val="005775CD"/>
    <w:rsid w:val="00581505"/>
    <w:rsid w:val="005A0EC0"/>
    <w:rsid w:val="005A1254"/>
    <w:rsid w:val="005B139A"/>
    <w:rsid w:val="005C3B5E"/>
    <w:rsid w:val="005D5171"/>
    <w:rsid w:val="005E7FBD"/>
    <w:rsid w:val="00600CD3"/>
    <w:rsid w:val="0062071E"/>
    <w:rsid w:val="00631667"/>
    <w:rsid w:val="00642837"/>
    <w:rsid w:val="00644C28"/>
    <w:rsid w:val="00672E86"/>
    <w:rsid w:val="00674385"/>
    <w:rsid w:val="006951A6"/>
    <w:rsid w:val="006974CD"/>
    <w:rsid w:val="006A363C"/>
    <w:rsid w:val="006A42BD"/>
    <w:rsid w:val="006B2BA5"/>
    <w:rsid w:val="006D3B64"/>
    <w:rsid w:val="006E11D0"/>
    <w:rsid w:val="006E23A0"/>
    <w:rsid w:val="006F6BBB"/>
    <w:rsid w:val="00743388"/>
    <w:rsid w:val="0075274E"/>
    <w:rsid w:val="00760756"/>
    <w:rsid w:val="0076322B"/>
    <w:rsid w:val="00764761"/>
    <w:rsid w:val="00764E99"/>
    <w:rsid w:val="007763E1"/>
    <w:rsid w:val="00777346"/>
    <w:rsid w:val="0078574E"/>
    <w:rsid w:val="00791FB4"/>
    <w:rsid w:val="00795FDC"/>
    <w:rsid w:val="007A5000"/>
    <w:rsid w:val="007B4825"/>
    <w:rsid w:val="007C3961"/>
    <w:rsid w:val="007C5F80"/>
    <w:rsid w:val="007C72D2"/>
    <w:rsid w:val="007D1D4E"/>
    <w:rsid w:val="007E6C73"/>
    <w:rsid w:val="007F710C"/>
    <w:rsid w:val="007F78A5"/>
    <w:rsid w:val="008007B0"/>
    <w:rsid w:val="00807F44"/>
    <w:rsid w:val="00834DF1"/>
    <w:rsid w:val="00843BA1"/>
    <w:rsid w:val="00853010"/>
    <w:rsid w:val="00864C80"/>
    <w:rsid w:val="00890F0D"/>
    <w:rsid w:val="008B4615"/>
    <w:rsid w:val="008B7C59"/>
    <w:rsid w:val="008D2716"/>
    <w:rsid w:val="00900910"/>
    <w:rsid w:val="00901E44"/>
    <w:rsid w:val="00912DC6"/>
    <w:rsid w:val="0091709A"/>
    <w:rsid w:val="0092593B"/>
    <w:rsid w:val="00946AEF"/>
    <w:rsid w:val="009567F6"/>
    <w:rsid w:val="00957D53"/>
    <w:rsid w:val="0097021D"/>
    <w:rsid w:val="00973DD8"/>
    <w:rsid w:val="00974F3C"/>
    <w:rsid w:val="00986006"/>
    <w:rsid w:val="009A0C4C"/>
    <w:rsid w:val="009A1CAB"/>
    <w:rsid w:val="009B013C"/>
    <w:rsid w:val="009B2EE4"/>
    <w:rsid w:val="009B5E3C"/>
    <w:rsid w:val="009B6F10"/>
    <w:rsid w:val="009C4803"/>
    <w:rsid w:val="009D1F78"/>
    <w:rsid w:val="009E4017"/>
    <w:rsid w:val="009E66C0"/>
    <w:rsid w:val="009E67DC"/>
    <w:rsid w:val="009E7AC0"/>
    <w:rsid w:val="009F747A"/>
    <w:rsid w:val="00A02320"/>
    <w:rsid w:val="00A05ABA"/>
    <w:rsid w:val="00A23DB7"/>
    <w:rsid w:val="00A31444"/>
    <w:rsid w:val="00A36D45"/>
    <w:rsid w:val="00A66EFC"/>
    <w:rsid w:val="00A90E4C"/>
    <w:rsid w:val="00A920C2"/>
    <w:rsid w:val="00AB1696"/>
    <w:rsid w:val="00AC107F"/>
    <w:rsid w:val="00AC203B"/>
    <w:rsid w:val="00B10D40"/>
    <w:rsid w:val="00B17A9B"/>
    <w:rsid w:val="00B2151D"/>
    <w:rsid w:val="00B217E2"/>
    <w:rsid w:val="00B2663A"/>
    <w:rsid w:val="00B67718"/>
    <w:rsid w:val="00B77465"/>
    <w:rsid w:val="00B933B6"/>
    <w:rsid w:val="00B9704F"/>
    <w:rsid w:val="00B97944"/>
    <w:rsid w:val="00BA0553"/>
    <w:rsid w:val="00BA537C"/>
    <w:rsid w:val="00BB39C3"/>
    <w:rsid w:val="00BC24E9"/>
    <w:rsid w:val="00BE3F2A"/>
    <w:rsid w:val="00BE6C41"/>
    <w:rsid w:val="00BF41F1"/>
    <w:rsid w:val="00C03438"/>
    <w:rsid w:val="00C14246"/>
    <w:rsid w:val="00C17759"/>
    <w:rsid w:val="00C2703F"/>
    <w:rsid w:val="00C35A47"/>
    <w:rsid w:val="00C424F7"/>
    <w:rsid w:val="00C44660"/>
    <w:rsid w:val="00C57424"/>
    <w:rsid w:val="00C63647"/>
    <w:rsid w:val="00C726DF"/>
    <w:rsid w:val="00C7364E"/>
    <w:rsid w:val="00C8531D"/>
    <w:rsid w:val="00C86226"/>
    <w:rsid w:val="00C876CE"/>
    <w:rsid w:val="00C91C4B"/>
    <w:rsid w:val="00C92614"/>
    <w:rsid w:val="00C966C1"/>
    <w:rsid w:val="00CA76DE"/>
    <w:rsid w:val="00CB700F"/>
    <w:rsid w:val="00CE3A10"/>
    <w:rsid w:val="00CE5790"/>
    <w:rsid w:val="00CE76B9"/>
    <w:rsid w:val="00CF5C9A"/>
    <w:rsid w:val="00D02CAB"/>
    <w:rsid w:val="00D14995"/>
    <w:rsid w:val="00D14E66"/>
    <w:rsid w:val="00D17950"/>
    <w:rsid w:val="00D43D50"/>
    <w:rsid w:val="00D473AA"/>
    <w:rsid w:val="00D5380F"/>
    <w:rsid w:val="00D728B9"/>
    <w:rsid w:val="00D909E8"/>
    <w:rsid w:val="00D978C9"/>
    <w:rsid w:val="00DA1B65"/>
    <w:rsid w:val="00DA1F12"/>
    <w:rsid w:val="00DA4512"/>
    <w:rsid w:val="00DB15AD"/>
    <w:rsid w:val="00DB319C"/>
    <w:rsid w:val="00DB37F0"/>
    <w:rsid w:val="00DB491C"/>
    <w:rsid w:val="00DB4ABF"/>
    <w:rsid w:val="00DC0544"/>
    <w:rsid w:val="00DC6B8D"/>
    <w:rsid w:val="00DD3812"/>
    <w:rsid w:val="00DD64B4"/>
    <w:rsid w:val="00DD7E12"/>
    <w:rsid w:val="00DE3D51"/>
    <w:rsid w:val="00E017BC"/>
    <w:rsid w:val="00E07F60"/>
    <w:rsid w:val="00E13A22"/>
    <w:rsid w:val="00E221EB"/>
    <w:rsid w:val="00E26D5F"/>
    <w:rsid w:val="00E5321E"/>
    <w:rsid w:val="00E6170C"/>
    <w:rsid w:val="00E6171D"/>
    <w:rsid w:val="00E62508"/>
    <w:rsid w:val="00E6565D"/>
    <w:rsid w:val="00E7509C"/>
    <w:rsid w:val="00E92A18"/>
    <w:rsid w:val="00EA2574"/>
    <w:rsid w:val="00EA2FAD"/>
    <w:rsid w:val="00EC44CC"/>
    <w:rsid w:val="00EE54FA"/>
    <w:rsid w:val="00EF7CB5"/>
    <w:rsid w:val="00F0304B"/>
    <w:rsid w:val="00F203D5"/>
    <w:rsid w:val="00F302F0"/>
    <w:rsid w:val="00F335B4"/>
    <w:rsid w:val="00F735EF"/>
    <w:rsid w:val="00F7718E"/>
    <w:rsid w:val="00F82EA6"/>
    <w:rsid w:val="00F83664"/>
    <w:rsid w:val="00F85BAF"/>
    <w:rsid w:val="00F92FD8"/>
    <w:rsid w:val="00FA224D"/>
    <w:rsid w:val="00FD1866"/>
    <w:rsid w:val="00FE3089"/>
    <w:rsid w:val="00FE3773"/>
    <w:rsid w:val="021E3B85"/>
    <w:rsid w:val="04954AC7"/>
    <w:rsid w:val="050E162C"/>
    <w:rsid w:val="06053772"/>
    <w:rsid w:val="061D3CD9"/>
    <w:rsid w:val="06906652"/>
    <w:rsid w:val="09462FB9"/>
    <w:rsid w:val="09EB2C7F"/>
    <w:rsid w:val="09F861E2"/>
    <w:rsid w:val="0A490986"/>
    <w:rsid w:val="0ABD461B"/>
    <w:rsid w:val="0C5F032B"/>
    <w:rsid w:val="0C874EE1"/>
    <w:rsid w:val="0CC126D9"/>
    <w:rsid w:val="0F520BCC"/>
    <w:rsid w:val="10AB132C"/>
    <w:rsid w:val="111B210F"/>
    <w:rsid w:val="145558C5"/>
    <w:rsid w:val="15DC08B0"/>
    <w:rsid w:val="16565924"/>
    <w:rsid w:val="17113771"/>
    <w:rsid w:val="1770292B"/>
    <w:rsid w:val="18BB28C0"/>
    <w:rsid w:val="190D49C0"/>
    <w:rsid w:val="19E219A9"/>
    <w:rsid w:val="1C980A44"/>
    <w:rsid w:val="1DD46B73"/>
    <w:rsid w:val="1DEFD675"/>
    <w:rsid w:val="206B4350"/>
    <w:rsid w:val="20FA376B"/>
    <w:rsid w:val="23983E0B"/>
    <w:rsid w:val="260638ED"/>
    <w:rsid w:val="27481489"/>
    <w:rsid w:val="274D75BC"/>
    <w:rsid w:val="28324A94"/>
    <w:rsid w:val="28E868B0"/>
    <w:rsid w:val="2A273408"/>
    <w:rsid w:val="2C3F3DE5"/>
    <w:rsid w:val="2DD53871"/>
    <w:rsid w:val="2E245471"/>
    <w:rsid w:val="2E3D144C"/>
    <w:rsid w:val="2F013F2E"/>
    <w:rsid w:val="3152083C"/>
    <w:rsid w:val="3156506D"/>
    <w:rsid w:val="31BB2325"/>
    <w:rsid w:val="32690DD4"/>
    <w:rsid w:val="33FD0A1E"/>
    <w:rsid w:val="35E6686D"/>
    <w:rsid w:val="38134D6C"/>
    <w:rsid w:val="39114A51"/>
    <w:rsid w:val="39D72460"/>
    <w:rsid w:val="3A7617BC"/>
    <w:rsid w:val="3B5D3716"/>
    <w:rsid w:val="3C0B3CDE"/>
    <w:rsid w:val="3C1C2372"/>
    <w:rsid w:val="3C4A5400"/>
    <w:rsid w:val="3D126C05"/>
    <w:rsid w:val="3F7BAE47"/>
    <w:rsid w:val="3FDF5569"/>
    <w:rsid w:val="415D1D1E"/>
    <w:rsid w:val="430D624F"/>
    <w:rsid w:val="43792ACE"/>
    <w:rsid w:val="48DF8E16"/>
    <w:rsid w:val="49271415"/>
    <w:rsid w:val="4C102465"/>
    <w:rsid w:val="4D4C6BC4"/>
    <w:rsid w:val="4D600D64"/>
    <w:rsid w:val="4ED35788"/>
    <w:rsid w:val="4FD25EEE"/>
    <w:rsid w:val="50744D49"/>
    <w:rsid w:val="537B63EF"/>
    <w:rsid w:val="540675C0"/>
    <w:rsid w:val="553EB3F9"/>
    <w:rsid w:val="55731378"/>
    <w:rsid w:val="560F1B96"/>
    <w:rsid w:val="5697070F"/>
    <w:rsid w:val="56FA0D87"/>
    <w:rsid w:val="5B10566E"/>
    <w:rsid w:val="5C4A4BB0"/>
    <w:rsid w:val="5E2751A9"/>
    <w:rsid w:val="5FBF49D1"/>
    <w:rsid w:val="61776921"/>
    <w:rsid w:val="637B02D1"/>
    <w:rsid w:val="6541173A"/>
    <w:rsid w:val="658C5E6E"/>
    <w:rsid w:val="66014531"/>
    <w:rsid w:val="66B0260F"/>
    <w:rsid w:val="68C6C276"/>
    <w:rsid w:val="69233294"/>
    <w:rsid w:val="6A0C5CF9"/>
    <w:rsid w:val="6CF7043C"/>
    <w:rsid w:val="6D7447E3"/>
    <w:rsid w:val="6F413BF1"/>
    <w:rsid w:val="6F62540E"/>
    <w:rsid w:val="6F7C6062"/>
    <w:rsid w:val="6FDC8EE9"/>
    <w:rsid w:val="73C8288A"/>
    <w:rsid w:val="75D6274E"/>
    <w:rsid w:val="76E97048"/>
    <w:rsid w:val="777F6A44"/>
    <w:rsid w:val="780E5397"/>
    <w:rsid w:val="788D2137"/>
    <w:rsid w:val="79984D55"/>
    <w:rsid w:val="7B9FC540"/>
    <w:rsid w:val="7CC0262B"/>
    <w:rsid w:val="7D5F0B1B"/>
    <w:rsid w:val="7D7B92C8"/>
    <w:rsid w:val="7FBF41B3"/>
    <w:rsid w:val="7FF7997A"/>
    <w:rsid w:val="7FFE5F02"/>
    <w:rsid w:val="86BB44E5"/>
    <w:rsid w:val="977ABF7C"/>
    <w:rsid w:val="9B67F8B9"/>
    <w:rsid w:val="9BBF5E1F"/>
    <w:rsid w:val="9E7D8D6F"/>
    <w:rsid w:val="9FF6EF30"/>
    <w:rsid w:val="B6F7370D"/>
    <w:rsid w:val="CDDF56E9"/>
    <w:rsid w:val="D7F664FE"/>
    <w:rsid w:val="DB6D0FA2"/>
    <w:rsid w:val="DEA71360"/>
    <w:rsid w:val="DFBF67B8"/>
    <w:rsid w:val="FA97ECC3"/>
    <w:rsid w:val="FBB76896"/>
    <w:rsid w:val="FBBAE920"/>
    <w:rsid w:val="FCF939D1"/>
    <w:rsid w:val="FD5E785C"/>
    <w:rsid w:val="FF33C615"/>
    <w:rsid w:val="FF4CB065"/>
    <w:rsid w:val="FFB76DE1"/>
    <w:rsid w:val="FFF17398"/>
    <w:rsid w:val="FFF4D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qFormat/>
    <w:uiPriority w:val="0"/>
    <w:pPr>
      <w:ind w:left="1400" w:leftChars="1400"/>
    </w:pPr>
  </w:style>
  <w:style w:type="paragraph" w:styleId="4">
    <w:name w:val="Body Text"/>
    <w:basedOn w:val="1"/>
    <w:qFormat/>
    <w:uiPriority w:val="1"/>
    <w:pPr>
      <w:spacing w:before="10"/>
      <w:ind w:left="747"/>
    </w:pPr>
    <w:rPr>
      <w:rFonts w:ascii="仿宋_GB2312" w:hAnsi="仿宋_GB2312" w:eastAsia="仿宋_GB2312" w:cs="仿宋_GB2312"/>
      <w:sz w:val="32"/>
      <w:szCs w:val="32"/>
      <w:lang w:val="zh-CN" w:eastAsia="zh-CN" w:bidi="zh-CN"/>
    </w:rPr>
  </w:style>
  <w:style w:type="paragraph" w:styleId="5">
    <w:name w:val="Balloon Text"/>
    <w:basedOn w:val="1"/>
    <w:link w:val="13"/>
    <w:qFormat/>
    <w:uiPriority w:val="0"/>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16"/>
    <w:qFormat/>
    <w:uiPriority w:val="0"/>
    <w:pPr>
      <w:spacing w:after="120"/>
      <w:ind w:left="420" w:leftChars="200"/>
    </w:pPr>
    <w:rPr>
      <w:sz w:val="16"/>
      <w:szCs w:val="16"/>
    </w:rPr>
  </w:style>
  <w:style w:type="paragraph" w:styleId="9">
    <w:name w:val="toc 2"/>
    <w:basedOn w:val="1"/>
    <w:next w:val="1"/>
    <w:qFormat/>
    <w:uiPriority w:val="0"/>
    <w:pPr>
      <w:tabs>
        <w:tab w:val="right" w:leader="dot" w:pos="8949"/>
      </w:tabs>
      <w:adjustRightInd w:val="0"/>
      <w:snapToGrid w:val="0"/>
      <w:spacing w:line="360" w:lineRule="auto"/>
      <w:ind w:right="420" w:rightChars="200" w:firstLine="964" w:firstLineChars="400"/>
      <w:jc w:val="distribute"/>
    </w:pPr>
    <w:rPr>
      <w:rFonts w:ascii="宋体" w:hAnsi="宋体"/>
      <w:b/>
      <w:smallCaps/>
      <w:sz w:val="24"/>
    </w:rPr>
  </w:style>
  <w:style w:type="character" w:styleId="12">
    <w:name w:val="page number"/>
    <w:qFormat/>
    <w:uiPriority w:val="0"/>
  </w:style>
  <w:style w:type="character" w:customStyle="1" w:styleId="13">
    <w:name w:val="批注框文本 字符"/>
    <w:link w:val="5"/>
    <w:qFormat/>
    <w:uiPriority w:val="0"/>
    <w:rPr>
      <w:kern w:val="2"/>
      <w:sz w:val="18"/>
      <w:szCs w:val="18"/>
    </w:rPr>
  </w:style>
  <w:style w:type="character" w:customStyle="1" w:styleId="14">
    <w:name w:val="页脚 字符"/>
    <w:link w:val="6"/>
    <w:qFormat/>
    <w:uiPriority w:val="99"/>
    <w:rPr>
      <w:kern w:val="2"/>
      <w:sz w:val="18"/>
      <w:szCs w:val="18"/>
    </w:rPr>
  </w:style>
  <w:style w:type="character" w:customStyle="1" w:styleId="15">
    <w:name w:val="页眉 字符"/>
    <w:link w:val="7"/>
    <w:qFormat/>
    <w:uiPriority w:val="99"/>
    <w:rPr>
      <w:kern w:val="2"/>
      <w:sz w:val="18"/>
      <w:szCs w:val="18"/>
    </w:rPr>
  </w:style>
  <w:style w:type="character" w:customStyle="1" w:styleId="16">
    <w:name w:val="正文文本缩进 3 字符"/>
    <w:link w:val="8"/>
    <w:qFormat/>
    <w:uiPriority w:val="0"/>
    <w:rPr>
      <w:kern w:val="2"/>
      <w:sz w:val="16"/>
      <w:szCs w:val="16"/>
    </w:rPr>
  </w:style>
  <w:style w:type="character" w:customStyle="1" w:styleId="17">
    <w:name w:val="金色"/>
    <w:qFormat/>
    <w:uiPriority w:val="0"/>
    <w:rPr>
      <w:color w:val="9BA04B"/>
    </w:rPr>
  </w:style>
  <w:style w:type="paragraph" w:customStyle="1" w:styleId="18">
    <w:name w:val="地址"/>
    <w:qFormat/>
    <w:uiPriority w:val="0"/>
    <w:pPr>
      <w:tabs>
        <w:tab w:val="right" w:pos="8640"/>
      </w:tabs>
    </w:pPr>
    <w:rPr>
      <w:rFonts w:ascii="Futura" w:hAnsi="Futura" w:eastAsia="Times New Roman" w:cs="Times New Roman"/>
      <w:color w:val="000000"/>
      <w:sz w:val="16"/>
      <w:lang w:val="en-US" w:eastAsia="zh-CN" w:bidi="ar-SA"/>
    </w:rPr>
  </w:style>
  <w:style w:type="paragraph" w:styleId="19">
    <w:name w:val="No Spacing"/>
    <w:link w:val="20"/>
    <w:qFormat/>
    <w:uiPriority w:val="1"/>
    <w:rPr>
      <w:rFonts w:ascii="Calibri" w:hAnsi="Calibri" w:eastAsia="宋体" w:cs="Times New Roman"/>
      <w:sz w:val="22"/>
      <w:szCs w:val="22"/>
      <w:lang w:val="en-US" w:eastAsia="zh-CN" w:bidi="ar-SA"/>
    </w:rPr>
  </w:style>
  <w:style w:type="character" w:customStyle="1" w:styleId="20">
    <w:name w:val="无间隔 字符"/>
    <w:link w:val="19"/>
    <w:qFormat/>
    <w:uiPriority w:val="1"/>
    <w:rPr>
      <w:rFonts w:ascii="Calibri" w:hAnsi="Calibri"/>
      <w:sz w:val="22"/>
      <w:szCs w:val="22"/>
      <w:lang w:val="en-US" w:eastAsia="zh-CN" w:bidi="ar-SA"/>
    </w:rPr>
  </w:style>
  <w:style w:type="paragraph" w:customStyle="1" w:styleId="21">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22">
    <w:name w:val="正文 A"/>
    <w:qFormat/>
    <w:uiPriority w:val="0"/>
    <w:pPr>
      <w:widowControl w:val="0"/>
      <w:spacing w:after="240" w:line="580" w:lineRule="exact"/>
      <w:ind w:left="646"/>
      <w:jc w:val="both"/>
    </w:pPr>
    <w:rPr>
      <w:rFonts w:ascii="Calibri" w:hAnsi="Calibri" w:eastAsia="Calibri" w:cs="Calibri"/>
      <w:color w:val="000000"/>
      <w:kern w:val="2"/>
      <w:sz w:val="21"/>
      <w:szCs w:val="21"/>
      <w:lang w:val="en-US" w:eastAsia="zh-CN" w:bidi="ar-SA"/>
    </w:rPr>
  </w:style>
  <w:style w:type="paragraph" w:customStyle="1" w:styleId="23">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4382</Words>
  <Characters>4456</Characters>
  <Lines>18</Lines>
  <Paragraphs>5</Paragraphs>
  <TotalTime>14</TotalTime>
  <ScaleCrop>false</ScaleCrop>
  <LinksUpToDate>false</LinksUpToDate>
  <CharactersWithSpaces>4852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2022-10-17T15:24:00Z</dcterms:created>
  <dc:creator>IBM</dc:creator>
  <cp:lastModifiedBy>實誠</cp:lastModifiedBy>
  <cp:lastPrinted>2025-03-28T17:30:00Z</cp:lastPrinted>
  <dcterms:modified xsi:type="dcterms:W3CDTF">2025-06-04T09:00:23Z</dcterms:modified>
  <dc:title>刑事辩护委托合同</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5E17A243FEF627A81329DD67021BA09C</vt:lpwstr>
  </property>
  <property fmtid="{D5CDD505-2E9C-101B-9397-08002B2CF9AE}" pid="4" name="KSOTemplateDocerSaveRecord">
    <vt:lpwstr>eyJoZGlkIjoiZjYxZTUyYjc1MzQwNWRmNjlmMWQyYmQ2NmM1M2U4MmMiLCJ1c2VySWQiOiI2OTk3NTA5NDAifQ==</vt:lpwstr>
  </property>
</Properties>
</file>