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AB604">
      <w:pPr>
        <w:keepNext/>
        <w:keepLines/>
        <w:pageBreakBefore w:val="0"/>
        <w:widowControl w:val="0"/>
        <w:kinsoku/>
        <w:wordWrap/>
        <w:overflowPunct/>
        <w:topLinePunct w:val="0"/>
        <w:autoSpaceDE/>
        <w:autoSpaceDN/>
        <w:bidi w:val="0"/>
        <w:adjustRightInd/>
        <w:snapToGrid/>
        <w:spacing w:before="156" w:after="156" w:line="400" w:lineRule="exact"/>
        <w:jc w:val="left"/>
        <w:textAlignment w:val="auto"/>
        <w:outlineLvl w:val="0"/>
        <w:rPr>
          <w:rFonts w:hint="eastAsia" w:ascii="仿宋_GB2312" w:eastAsia="仿宋_GB2312"/>
          <w:b/>
          <w:bCs/>
          <w:sz w:val="30"/>
          <w:szCs w:val="30"/>
          <w:lang w:eastAsia="zh-CN"/>
        </w:rPr>
      </w:pPr>
      <w:bookmarkStart w:id="0" w:name="_GoBack"/>
      <w:r>
        <w:rPr>
          <w:rFonts w:hint="eastAsia" w:ascii="仿宋_GB2312" w:eastAsia="仿宋_GB2312"/>
          <w:b/>
          <w:bCs/>
          <w:sz w:val="30"/>
          <w:szCs w:val="30"/>
          <w:lang w:eastAsia="zh-CN"/>
        </w:rPr>
        <w:t>附件二：综合评分表</w:t>
      </w:r>
    </w:p>
    <w:bookmarkEnd w:id="0"/>
    <w:p w14:paraId="1AB8E78C">
      <w:pPr>
        <w:pStyle w:val="8"/>
        <w:rPr>
          <w:rFonts w:hint="eastAsia"/>
          <w:lang w:eastAsia="zh-CN"/>
        </w:rPr>
      </w:pPr>
    </w:p>
    <w:p w14:paraId="61F7541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Calibri" w:hAnsi="Calibri" w:eastAsia="PingFang SC Regular" w:cs="Times New Roman"/>
          <w:sz w:val="36"/>
          <w:szCs w:val="36"/>
          <w:lang w:val="en-US" w:eastAsia="zh-CN"/>
        </w:rPr>
      </w:pPr>
      <w:r>
        <w:rPr>
          <w:rFonts w:hint="eastAsia" w:ascii="Calibri" w:hAnsi="Calibri" w:eastAsia="PingFang SC Regular" w:cs="Times New Roman"/>
          <w:sz w:val="36"/>
          <w:szCs w:val="36"/>
          <w:lang w:val="en-US" w:eastAsia="zh-CN"/>
        </w:rPr>
        <w:t>海科兴留学生产业园</w:t>
      </w:r>
      <w:r>
        <w:rPr>
          <w:rFonts w:hint="default" w:ascii="Calibri" w:hAnsi="Calibri" w:eastAsia="PingFang SC Regular" w:cs="Times New Roman"/>
          <w:sz w:val="36"/>
          <w:szCs w:val="36"/>
          <w:lang w:val="en-US" w:eastAsia="zh-CN"/>
        </w:rPr>
        <w:t>一期</w:t>
      </w:r>
    </w:p>
    <w:p w14:paraId="628790A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eastAsia" w:ascii="PingFang SC Regular" w:hAnsi="PingFang SC Regular" w:eastAsia="宋体" w:cs="PingFang SC Regular"/>
          <w:sz w:val="36"/>
          <w:szCs w:val="36"/>
          <w:lang w:val="en-US" w:eastAsia="zh-CN"/>
        </w:rPr>
      </w:pPr>
      <w:r>
        <w:rPr>
          <w:rFonts w:hint="eastAsia" w:eastAsia="PingFang SC Regular"/>
          <w:sz w:val="36"/>
          <w:szCs w:val="36"/>
          <w:lang w:val="zh-CN" w:eastAsia="zh-CN"/>
        </w:rPr>
        <w:t>竣工财务决算</w:t>
      </w:r>
      <w:r>
        <w:rPr>
          <w:rFonts w:hint="eastAsia" w:eastAsia="宋体"/>
          <w:sz w:val="36"/>
          <w:szCs w:val="36"/>
          <w:lang w:val="en-US" w:eastAsia="zh-CN"/>
        </w:rPr>
        <w:t>服务采购</w:t>
      </w:r>
    </w:p>
    <w:p w14:paraId="6E12672E">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556"/>
        <w:gridCol w:w="795"/>
        <w:gridCol w:w="3751"/>
        <w:gridCol w:w="1420"/>
        <w:gridCol w:w="810"/>
        <w:gridCol w:w="840"/>
        <w:gridCol w:w="956"/>
        <w:gridCol w:w="827"/>
      </w:tblGrid>
      <w:tr w14:paraId="6838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620" w:hRule="atLeast"/>
          <w:tblHeader/>
          <w:jc w:val="center"/>
        </w:trPr>
        <w:tc>
          <w:tcPr>
            <w:tcW w:w="556" w:type="dxa"/>
            <w:shd w:val="clear" w:color="auto" w:fill="DEEAF6"/>
            <w:noWrap w:val="0"/>
            <w:tcMar>
              <w:top w:w="80" w:type="dxa"/>
              <w:left w:w="80" w:type="dxa"/>
              <w:bottom w:w="80" w:type="dxa"/>
              <w:right w:w="80" w:type="dxa"/>
            </w:tcMar>
            <w:vAlign w:val="center"/>
          </w:tcPr>
          <w:p w14:paraId="02D584EA">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序号</w:t>
            </w:r>
          </w:p>
        </w:tc>
        <w:tc>
          <w:tcPr>
            <w:tcW w:w="795" w:type="dxa"/>
            <w:shd w:val="clear" w:color="auto" w:fill="DEEAF6"/>
            <w:noWrap w:val="0"/>
            <w:tcMar>
              <w:top w:w="80" w:type="dxa"/>
              <w:left w:w="80" w:type="dxa"/>
              <w:bottom w:w="80" w:type="dxa"/>
              <w:right w:w="80" w:type="dxa"/>
            </w:tcMar>
            <w:vAlign w:val="center"/>
          </w:tcPr>
          <w:p w14:paraId="79ABFF8E">
            <w:pPr>
              <w:tabs>
                <w:tab w:val="left" w:pos="420"/>
              </w:tabs>
              <w:spacing w:before="0" w:line="20" w:lineRule="atLeast"/>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评审</w:t>
            </w:r>
          </w:p>
          <w:p w14:paraId="1DDFCAE2">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项目</w:t>
            </w:r>
          </w:p>
        </w:tc>
        <w:tc>
          <w:tcPr>
            <w:tcW w:w="3751" w:type="dxa"/>
            <w:shd w:val="clear" w:color="auto" w:fill="DEEAF6"/>
            <w:noWrap w:val="0"/>
            <w:tcMar>
              <w:top w:w="80" w:type="dxa"/>
              <w:left w:w="80" w:type="dxa"/>
              <w:bottom w:w="80" w:type="dxa"/>
              <w:right w:w="80" w:type="dxa"/>
            </w:tcMar>
            <w:vAlign w:val="center"/>
          </w:tcPr>
          <w:p w14:paraId="6F9E1304">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color w:val="auto"/>
              </w:rPr>
            </w:pPr>
            <w:r>
              <w:rPr>
                <w:rFonts w:ascii="宋体" w:hAnsi="宋体" w:eastAsia="宋体" w:cs="宋体"/>
                <w:b/>
                <w:bCs/>
                <w:color w:val="auto"/>
                <w:kern w:val="2"/>
                <w:sz w:val="21"/>
                <w:szCs w:val="21"/>
              </w:rPr>
              <w:t>评审标准</w:t>
            </w:r>
          </w:p>
        </w:tc>
        <w:tc>
          <w:tcPr>
            <w:tcW w:w="1420" w:type="dxa"/>
            <w:shd w:val="clear" w:color="auto" w:fill="DEEAF6"/>
            <w:noWrap w:val="0"/>
            <w:tcMar>
              <w:top w:w="80" w:type="dxa"/>
              <w:left w:w="80" w:type="dxa"/>
              <w:bottom w:w="80" w:type="dxa"/>
              <w:right w:w="80" w:type="dxa"/>
            </w:tcMar>
            <w:vAlign w:val="center"/>
          </w:tcPr>
          <w:p w14:paraId="25080A3C">
            <w:pPr>
              <w:tabs>
                <w:tab w:val="left" w:pos="420"/>
                <w:tab w:val="left" w:pos="840"/>
                <w:tab w:val="left" w:pos="1260"/>
              </w:tabs>
              <w:spacing w:before="0" w:line="20" w:lineRule="atLeast"/>
              <w:jc w:val="center"/>
              <w:rPr>
                <w:rFonts w:hint="default"/>
                <w:color w:val="auto"/>
              </w:rPr>
            </w:pPr>
            <w:r>
              <w:rPr>
                <w:rFonts w:ascii="宋体" w:hAnsi="宋体" w:eastAsia="宋体" w:cs="宋体"/>
                <w:b/>
                <w:bCs/>
                <w:color w:val="auto"/>
                <w:kern w:val="2"/>
                <w:sz w:val="21"/>
                <w:szCs w:val="21"/>
              </w:rPr>
              <w:t>证明材料</w:t>
            </w:r>
          </w:p>
        </w:tc>
        <w:tc>
          <w:tcPr>
            <w:tcW w:w="810" w:type="dxa"/>
            <w:shd w:val="clear" w:color="auto" w:fill="DEEAF6"/>
            <w:noWrap w:val="0"/>
            <w:tcMar>
              <w:top w:w="80" w:type="dxa"/>
              <w:left w:w="80" w:type="dxa"/>
              <w:bottom w:w="80" w:type="dxa"/>
              <w:right w:w="80" w:type="dxa"/>
            </w:tcMar>
            <w:vAlign w:val="center"/>
          </w:tcPr>
          <w:p w14:paraId="5FAB012E">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分值</w:t>
            </w:r>
          </w:p>
        </w:tc>
        <w:tc>
          <w:tcPr>
            <w:tcW w:w="840" w:type="dxa"/>
            <w:shd w:val="clear" w:color="auto" w:fill="DEEAF6"/>
            <w:noWrap w:val="0"/>
            <w:tcMar>
              <w:top w:w="80" w:type="dxa"/>
              <w:left w:w="80" w:type="dxa"/>
              <w:bottom w:w="80" w:type="dxa"/>
              <w:right w:w="80" w:type="dxa"/>
            </w:tcMar>
            <w:vAlign w:val="center"/>
          </w:tcPr>
          <w:p w14:paraId="7452F261">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A</w:t>
            </w:r>
          </w:p>
        </w:tc>
        <w:tc>
          <w:tcPr>
            <w:tcW w:w="956" w:type="dxa"/>
            <w:shd w:val="clear" w:color="auto" w:fill="DEEAF6"/>
            <w:noWrap w:val="0"/>
            <w:tcMar>
              <w:top w:w="80" w:type="dxa"/>
              <w:left w:w="80" w:type="dxa"/>
              <w:bottom w:w="80" w:type="dxa"/>
              <w:right w:w="80" w:type="dxa"/>
            </w:tcMar>
            <w:vAlign w:val="center"/>
          </w:tcPr>
          <w:p w14:paraId="7B4EDC64">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B</w:t>
            </w:r>
          </w:p>
        </w:tc>
        <w:tc>
          <w:tcPr>
            <w:tcW w:w="827" w:type="dxa"/>
            <w:shd w:val="clear" w:color="auto" w:fill="DEEAF6"/>
            <w:noWrap w:val="0"/>
            <w:tcMar>
              <w:top w:w="80" w:type="dxa"/>
              <w:left w:w="80" w:type="dxa"/>
              <w:bottom w:w="80" w:type="dxa"/>
              <w:right w:w="80" w:type="dxa"/>
            </w:tcMar>
            <w:vAlign w:val="center"/>
          </w:tcPr>
          <w:p w14:paraId="29B4B76A">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C</w:t>
            </w:r>
          </w:p>
        </w:tc>
      </w:tr>
      <w:tr w14:paraId="5A6C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15" w:hRule="atLeast"/>
          <w:jc w:val="center"/>
        </w:trPr>
        <w:tc>
          <w:tcPr>
            <w:tcW w:w="556" w:type="dxa"/>
            <w:shd w:val="clear" w:color="auto" w:fill="auto"/>
            <w:noWrap w:val="0"/>
            <w:tcMar>
              <w:top w:w="80" w:type="dxa"/>
              <w:left w:w="80" w:type="dxa"/>
              <w:bottom w:w="80" w:type="dxa"/>
              <w:right w:w="80" w:type="dxa"/>
            </w:tcMar>
            <w:vAlign w:val="center"/>
          </w:tcPr>
          <w:p w14:paraId="2AA95048">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1</w:t>
            </w:r>
          </w:p>
        </w:tc>
        <w:tc>
          <w:tcPr>
            <w:tcW w:w="795" w:type="dxa"/>
            <w:shd w:val="clear" w:color="auto" w:fill="auto"/>
            <w:noWrap w:val="0"/>
            <w:tcMar>
              <w:top w:w="80" w:type="dxa"/>
              <w:left w:w="80" w:type="dxa"/>
              <w:bottom w:w="80" w:type="dxa"/>
              <w:right w:w="80" w:type="dxa"/>
            </w:tcMar>
            <w:vAlign w:val="center"/>
          </w:tcPr>
          <w:p w14:paraId="06BBEB2F">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团队成员配置评分</w:t>
            </w:r>
          </w:p>
        </w:tc>
        <w:tc>
          <w:tcPr>
            <w:tcW w:w="3751" w:type="dxa"/>
            <w:shd w:val="clear" w:color="auto" w:fill="auto"/>
            <w:noWrap w:val="0"/>
            <w:tcMar>
              <w:top w:w="80" w:type="dxa"/>
              <w:left w:w="80" w:type="dxa"/>
              <w:bottom w:w="80" w:type="dxa"/>
              <w:right w:w="80" w:type="dxa"/>
            </w:tcMar>
            <w:vAlign w:val="center"/>
          </w:tcPr>
          <w:p w14:paraId="5BBDF5A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lang w:val="en-US" w:eastAsia="zh-CN"/>
              </w:rPr>
            </w:pPr>
            <w:r>
              <w:rPr>
                <w:rFonts w:ascii="宋体" w:hAnsi="宋体" w:eastAsia="宋体" w:cs="宋体"/>
                <w:color w:val="auto"/>
                <w:kern w:val="2"/>
                <w:sz w:val="21"/>
                <w:szCs w:val="21"/>
              </w:rPr>
              <w:t>根据拟派本项目服务人员人数、岗位、从业经验情况，进行横向比较打分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最高分得分10分。</w:t>
            </w:r>
          </w:p>
          <w:p w14:paraId="30DEACA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eastAsia="宋体"/>
                <w:color w:val="auto"/>
                <w:lang w:val="en-US" w:eastAsia="zh-CN"/>
              </w:rPr>
            </w:pPr>
            <w:r>
              <w:rPr>
                <w:rFonts w:ascii="宋体" w:hAnsi="宋体" w:eastAsia="宋体" w:cs="宋体"/>
                <w:color w:val="auto"/>
                <w:sz w:val="21"/>
                <w:szCs w:val="21"/>
              </w:rPr>
              <w:t>注：须提供拟派遣人员的业绩合同（需要体现业绩类型、时间、种类以及服务人员名称）原件扫描件，如不能体现须提供业绩工作单位证明扫描件。</w:t>
            </w:r>
            <w:r>
              <w:rPr>
                <w:rFonts w:hint="eastAsia" w:ascii="宋体" w:hAnsi="宋体" w:eastAsia="宋体" w:cs="宋体"/>
                <w:color w:val="auto"/>
                <w:sz w:val="21"/>
                <w:szCs w:val="21"/>
                <w:lang w:val="en-US" w:eastAsia="zh-CN"/>
              </w:rPr>
              <w:t>服务团队人员更换需征得我司书面同意，否则按服务合同进行相应扣款。</w:t>
            </w:r>
          </w:p>
        </w:tc>
        <w:tc>
          <w:tcPr>
            <w:tcW w:w="1420" w:type="dxa"/>
            <w:shd w:val="clear" w:color="auto" w:fill="auto"/>
            <w:noWrap w:val="0"/>
            <w:tcMar>
              <w:top w:w="80" w:type="dxa"/>
              <w:left w:w="80" w:type="dxa"/>
              <w:bottom w:w="80" w:type="dxa"/>
              <w:right w:w="80" w:type="dxa"/>
            </w:tcMar>
            <w:vAlign w:val="center"/>
          </w:tcPr>
          <w:p w14:paraId="4350AC03">
            <w:pPr>
              <w:widowControl w:val="0"/>
              <w:tabs>
                <w:tab w:val="left" w:pos="420"/>
                <w:tab w:val="left" w:pos="840"/>
                <w:tab w:val="left" w:pos="1260"/>
              </w:tabs>
              <w:spacing w:before="0" w:line="20" w:lineRule="atLeast"/>
              <w:jc w:val="center"/>
              <w:rPr>
                <w:rFonts w:hint="eastAsia" w:eastAsia="宋体"/>
                <w:color w:val="auto"/>
                <w:lang w:val="en-US" w:eastAsia="zh-CN"/>
              </w:rPr>
            </w:pPr>
            <w:r>
              <w:rPr>
                <w:rFonts w:ascii="宋体" w:hAnsi="宋体" w:eastAsia="宋体" w:cs="宋体"/>
                <w:color w:val="auto"/>
                <w:kern w:val="2"/>
                <w:sz w:val="21"/>
                <w:szCs w:val="21"/>
              </w:rPr>
              <w:t>提供拟派遣人员的业绩合同和专业证书（如相关专业毕业证、从业证等）复印件加盖公章</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（业绩合同可以仅提供关键页及盖章页，其它具体内容可不提供）</w:t>
            </w:r>
          </w:p>
        </w:tc>
        <w:tc>
          <w:tcPr>
            <w:tcW w:w="810" w:type="dxa"/>
            <w:shd w:val="clear" w:color="auto" w:fill="auto"/>
            <w:noWrap w:val="0"/>
            <w:tcMar>
              <w:top w:w="80" w:type="dxa"/>
              <w:left w:w="80" w:type="dxa"/>
              <w:bottom w:w="80" w:type="dxa"/>
              <w:right w:w="80" w:type="dxa"/>
            </w:tcMar>
            <w:vAlign w:val="center"/>
          </w:tcPr>
          <w:p w14:paraId="1C9357F3">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16FC1D6D">
            <w:pPr>
              <w:rPr>
                <w:rFonts w:hint="default"/>
                <w:color w:val="auto"/>
              </w:rPr>
            </w:pPr>
          </w:p>
        </w:tc>
        <w:tc>
          <w:tcPr>
            <w:tcW w:w="956" w:type="dxa"/>
            <w:shd w:val="clear" w:color="auto" w:fill="auto"/>
            <w:noWrap w:val="0"/>
            <w:tcMar>
              <w:top w:w="80" w:type="dxa"/>
              <w:left w:w="80" w:type="dxa"/>
              <w:bottom w:w="80" w:type="dxa"/>
              <w:right w:w="80" w:type="dxa"/>
            </w:tcMar>
            <w:vAlign w:val="center"/>
          </w:tcPr>
          <w:p w14:paraId="43F699CF">
            <w:pPr>
              <w:rPr>
                <w:rFonts w:hint="default"/>
                <w:color w:val="auto"/>
              </w:rPr>
            </w:pPr>
          </w:p>
        </w:tc>
        <w:tc>
          <w:tcPr>
            <w:tcW w:w="827" w:type="dxa"/>
            <w:shd w:val="clear" w:color="auto" w:fill="auto"/>
            <w:noWrap w:val="0"/>
            <w:tcMar>
              <w:top w:w="80" w:type="dxa"/>
              <w:left w:w="80" w:type="dxa"/>
              <w:bottom w:w="80" w:type="dxa"/>
              <w:right w:w="80" w:type="dxa"/>
            </w:tcMar>
            <w:vAlign w:val="center"/>
          </w:tcPr>
          <w:p w14:paraId="45D58BE9">
            <w:pPr>
              <w:rPr>
                <w:rFonts w:hint="default"/>
                <w:color w:val="auto"/>
              </w:rPr>
            </w:pPr>
          </w:p>
        </w:tc>
      </w:tr>
      <w:tr w14:paraId="76F8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60" w:hRule="atLeast"/>
          <w:jc w:val="center"/>
        </w:trPr>
        <w:tc>
          <w:tcPr>
            <w:tcW w:w="556" w:type="dxa"/>
            <w:shd w:val="clear" w:color="auto" w:fill="auto"/>
            <w:noWrap w:val="0"/>
            <w:tcMar>
              <w:top w:w="80" w:type="dxa"/>
              <w:left w:w="80" w:type="dxa"/>
              <w:bottom w:w="80" w:type="dxa"/>
              <w:right w:w="80" w:type="dxa"/>
            </w:tcMar>
            <w:vAlign w:val="center"/>
          </w:tcPr>
          <w:p w14:paraId="08C3C34B">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2</w:t>
            </w:r>
          </w:p>
        </w:tc>
        <w:tc>
          <w:tcPr>
            <w:tcW w:w="795" w:type="dxa"/>
            <w:shd w:val="clear" w:color="auto" w:fill="auto"/>
            <w:noWrap w:val="0"/>
            <w:tcMar>
              <w:top w:w="80" w:type="dxa"/>
              <w:left w:w="80" w:type="dxa"/>
              <w:bottom w:w="80" w:type="dxa"/>
              <w:right w:w="80" w:type="dxa"/>
            </w:tcMar>
            <w:vAlign w:val="center"/>
          </w:tcPr>
          <w:p w14:paraId="290E5E8D">
            <w:pPr>
              <w:widowControl w:val="0"/>
              <w:tabs>
                <w:tab w:val="left" w:pos="420"/>
              </w:tabs>
              <w:spacing w:before="0" w:line="20" w:lineRule="atLeast"/>
              <w:jc w:val="center"/>
              <w:rPr>
                <w:rFonts w:hint="default"/>
                <w:color w:val="auto"/>
              </w:rPr>
            </w:pPr>
            <w:r>
              <w:rPr>
                <w:rFonts w:ascii="宋体" w:hAnsi="宋体" w:eastAsia="宋体" w:cs="宋体"/>
                <w:color w:val="auto"/>
                <w:sz w:val="21"/>
                <w:szCs w:val="21"/>
              </w:rPr>
              <w:t>响应文件编制质量</w:t>
            </w:r>
          </w:p>
        </w:tc>
        <w:tc>
          <w:tcPr>
            <w:tcW w:w="3751" w:type="dxa"/>
            <w:shd w:val="clear" w:color="auto" w:fill="auto"/>
            <w:noWrap w:val="0"/>
            <w:tcMar>
              <w:top w:w="80" w:type="dxa"/>
              <w:left w:w="80" w:type="dxa"/>
              <w:bottom w:w="80" w:type="dxa"/>
              <w:right w:w="80" w:type="dxa"/>
            </w:tcMar>
            <w:vAlign w:val="center"/>
          </w:tcPr>
          <w:p w14:paraId="28C555C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1</w:t>
            </w:r>
            <w:r>
              <w:rPr>
                <w:rFonts w:ascii="宋体" w:hAnsi="宋体" w:eastAsia="宋体" w:cs="宋体"/>
                <w:color w:val="auto"/>
                <w:sz w:val="21"/>
                <w:szCs w:val="21"/>
              </w:rPr>
              <w:t>、响应文件有缺漏项或出现前后不一致但未导致实质性偏离的；</w:t>
            </w:r>
          </w:p>
          <w:p w14:paraId="290E9A7D">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2</w:t>
            </w:r>
            <w:r>
              <w:rPr>
                <w:rFonts w:ascii="宋体" w:hAnsi="宋体" w:eastAsia="宋体" w:cs="宋体"/>
                <w:color w:val="auto"/>
                <w:sz w:val="21"/>
                <w:szCs w:val="21"/>
              </w:rPr>
              <w:t>、响应文件资料扫描不清晰的；</w:t>
            </w:r>
          </w:p>
          <w:p w14:paraId="22446877">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3</w:t>
            </w:r>
            <w:r>
              <w:rPr>
                <w:rFonts w:ascii="宋体" w:hAnsi="宋体" w:eastAsia="宋体" w:cs="宋体"/>
                <w:color w:val="auto"/>
                <w:sz w:val="21"/>
                <w:szCs w:val="21"/>
              </w:rPr>
              <w:t>、响应文件未按节点编排的。</w:t>
            </w:r>
          </w:p>
          <w:p w14:paraId="53F6354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sz w:val="21"/>
                <w:szCs w:val="21"/>
              </w:rPr>
              <w:t>以上情况每出现一种扣</w:t>
            </w: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分，最低</w:t>
            </w:r>
            <w:r>
              <w:rPr>
                <w:rFonts w:ascii="宋体" w:hAnsi="宋体" w:eastAsia="宋体" w:cs="宋体"/>
                <w:color w:val="auto"/>
                <w:sz w:val="21"/>
                <w:szCs w:val="21"/>
                <w:lang w:val="en-US"/>
              </w:rPr>
              <w:t>0</w:t>
            </w:r>
            <w:r>
              <w:rPr>
                <w:rFonts w:ascii="宋体" w:hAnsi="宋体" w:eastAsia="宋体" w:cs="宋体"/>
                <w:color w:val="auto"/>
                <w:sz w:val="21"/>
                <w:szCs w:val="21"/>
              </w:rPr>
              <w:t>分。无上述情况本项得</w:t>
            </w:r>
            <w:r>
              <w:rPr>
                <w:rFonts w:hint="eastAsia" w:ascii="宋体" w:hAnsi="宋体" w:eastAsia="宋体" w:cs="宋体"/>
                <w:color w:val="auto"/>
                <w:sz w:val="21"/>
                <w:szCs w:val="21"/>
                <w:lang w:val="en-US" w:eastAsia="zh-CN"/>
              </w:rPr>
              <w:t>5</w:t>
            </w:r>
            <w:r>
              <w:rPr>
                <w:rFonts w:ascii="宋体" w:hAnsi="宋体" w:eastAsia="宋体" w:cs="宋体"/>
                <w:color w:val="auto"/>
                <w:sz w:val="21"/>
                <w:szCs w:val="21"/>
              </w:rPr>
              <w:t>分。</w:t>
            </w:r>
          </w:p>
        </w:tc>
        <w:tc>
          <w:tcPr>
            <w:tcW w:w="1420" w:type="dxa"/>
            <w:shd w:val="clear" w:color="auto" w:fill="auto"/>
            <w:noWrap w:val="0"/>
            <w:tcMar>
              <w:top w:w="80" w:type="dxa"/>
              <w:left w:w="80" w:type="dxa"/>
              <w:bottom w:w="80" w:type="dxa"/>
              <w:right w:w="80" w:type="dxa"/>
            </w:tcMar>
            <w:vAlign w:val="center"/>
          </w:tcPr>
          <w:p w14:paraId="2CE3BD9A">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sz w:val="21"/>
                <w:szCs w:val="21"/>
              </w:rPr>
              <w:t>提供完整投标文件</w:t>
            </w:r>
          </w:p>
        </w:tc>
        <w:tc>
          <w:tcPr>
            <w:tcW w:w="810" w:type="dxa"/>
            <w:shd w:val="clear" w:color="auto" w:fill="auto"/>
            <w:noWrap w:val="0"/>
            <w:tcMar>
              <w:top w:w="80" w:type="dxa"/>
              <w:left w:w="80" w:type="dxa"/>
              <w:bottom w:w="80" w:type="dxa"/>
              <w:right w:w="80" w:type="dxa"/>
            </w:tcMar>
            <w:vAlign w:val="center"/>
          </w:tcPr>
          <w:p w14:paraId="71BB13FA">
            <w:pPr>
              <w:widowControl w:val="0"/>
              <w:tabs>
                <w:tab w:val="left" w:pos="420"/>
              </w:tabs>
              <w:spacing w:before="0" w:line="20" w:lineRule="atLeast"/>
              <w:jc w:val="center"/>
              <w:rPr>
                <w:rFonts w:hint="eastAsia" w:eastAsia="宋体"/>
                <w:color w:val="auto"/>
                <w:lang w:val="en-US" w:eastAsia="zh-CN"/>
              </w:rPr>
            </w:pPr>
            <w:r>
              <w:rPr>
                <w:rFonts w:hint="eastAsia" w:ascii="宋体" w:hAnsi="宋体" w:eastAsia="宋体" w:cs="宋体"/>
                <w:color w:val="auto"/>
                <w:sz w:val="21"/>
                <w:szCs w:val="21"/>
                <w:lang w:val="en-US" w:eastAsia="zh-CN"/>
              </w:rPr>
              <w:t>5分</w:t>
            </w:r>
          </w:p>
        </w:tc>
        <w:tc>
          <w:tcPr>
            <w:tcW w:w="840" w:type="dxa"/>
            <w:shd w:val="clear" w:color="auto" w:fill="auto"/>
            <w:noWrap w:val="0"/>
            <w:tcMar>
              <w:top w:w="80" w:type="dxa"/>
              <w:left w:w="80" w:type="dxa"/>
              <w:bottom w:w="80" w:type="dxa"/>
              <w:right w:w="80" w:type="dxa"/>
            </w:tcMar>
            <w:vAlign w:val="center"/>
          </w:tcPr>
          <w:p w14:paraId="3D572404">
            <w:pPr>
              <w:rPr>
                <w:rFonts w:hint="default"/>
                <w:color w:val="auto"/>
              </w:rPr>
            </w:pPr>
          </w:p>
        </w:tc>
        <w:tc>
          <w:tcPr>
            <w:tcW w:w="956" w:type="dxa"/>
            <w:shd w:val="clear" w:color="auto" w:fill="auto"/>
            <w:noWrap w:val="0"/>
            <w:tcMar>
              <w:top w:w="80" w:type="dxa"/>
              <w:left w:w="80" w:type="dxa"/>
              <w:bottom w:w="80" w:type="dxa"/>
              <w:right w:w="80" w:type="dxa"/>
            </w:tcMar>
            <w:vAlign w:val="center"/>
          </w:tcPr>
          <w:p w14:paraId="48E0B993">
            <w:pPr>
              <w:rPr>
                <w:rFonts w:hint="default"/>
                <w:color w:val="auto"/>
              </w:rPr>
            </w:pPr>
          </w:p>
        </w:tc>
        <w:tc>
          <w:tcPr>
            <w:tcW w:w="827" w:type="dxa"/>
            <w:shd w:val="clear" w:color="auto" w:fill="auto"/>
            <w:noWrap w:val="0"/>
            <w:tcMar>
              <w:top w:w="80" w:type="dxa"/>
              <w:left w:w="80" w:type="dxa"/>
              <w:bottom w:w="80" w:type="dxa"/>
              <w:right w:w="80" w:type="dxa"/>
            </w:tcMar>
            <w:vAlign w:val="center"/>
          </w:tcPr>
          <w:p w14:paraId="3105E462">
            <w:pPr>
              <w:rPr>
                <w:rFonts w:hint="default"/>
                <w:color w:val="auto"/>
              </w:rPr>
            </w:pPr>
          </w:p>
        </w:tc>
      </w:tr>
      <w:tr w14:paraId="034E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545" w:hRule="atLeast"/>
          <w:jc w:val="center"/>
        </w:trPr>
        <w:tc>
          <w:tcPr>
            <w:tcW w:w="556" w:type="dxa"/>
            <w:shd w:val="clear" w:color="auto" w:fill="auto"/>
            <w:noWrap w:val="0"/>
            <w:tcMar>
              <w:top w:w="80" w:type="dxa"/>
              <w:left w:w="80" w:type="dxa"/>
              <w:bottom w:w="80" w:type="dxa"/>
              <w:right w:w="80" w:type="dxa"/>
            </w:tcMar>
            <w:vAlign w:val="center"/>
          </w:tcPr>
          <w:p w14:paraId="3363865D">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3</w:t>
            </w:r>
          </w:p>
        </w:tc>
        <w:tc>
          <w:tcPr>
            <w:tcW w:w="795" w:type="dxa"/>
            <w:shd w:val="clear" w:color="auto" w:fill="auto"/>
            <w:noWrap w:val="0"/>
            <w:tcMar>
              <w:top w:w="80" w:type="dxa"/>
              <w:left w:w="80" w:type="dxa"/>
              <w:bottom w:w="80" w:type="dxa"/>
              <w:right w:w="80" w:type="dxa"/>
            </w:tcMar>
            <w:vAlign w:val="center"/>
          </w:tcPr>
          <w:p w14:paraId="0FAB0B8D">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技术服务方案评审</w:t>
            </w:r>
          </w:p>
        </w:tc>
        <w:tc>
          <w:tcPr>
            <w:tcW w:w="3751" w:type="dxa"/>
            <w:shd w:val="clear" w:color="auto" w:fill="auto"/>
            <w:noWrap w:val="0"/>
            <w:tcMar>
              <w:top w:w="80" w:type="dxa"/>
              <w:left w:w="80" w:type="dxa"/>
              <w:bottom w:w="80" w:type="dxa"/>
              <w:right w:w="80" w:type="dxa"/>
            </w:tcMar>
            <w:vAlign w:val="center"/>
          </w:tcPr>
          <w:p w14:paraId="1681FB5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对本项目工作内容的理解是否全面、准确进行横向比较评分：</w:t>
            </w:r>
          </w:p>
          <w:p w14:paraId="204E1BB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评优得</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分，良得</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分，中得</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分，差得</w:t>
            </w:r>
            <w:r>
              <w:rPr>
                <w:rFonts w:ascii="宋体" w:hAnsi="宋体" w:eastAsia="宋体" w:cs="宋体"/>
                <w:color w:val="auto"/>
                <w:kern w:val="2"/>
                <w:sz w:val="21"/>
                <w:szCs w:val="21"/>
                <w:lang w:val="en-US"/>
              </w:rPr>
              <w:t>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p w14:paraId="2B225EF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kern w:val="2"/>
                <w:sz w:val="21"/>
                <w:szCs w:val="21"/>
              </w:rPr>
              <w:t>打分参考：综合评审服务方案中对我集团服务需求及配套需求进行任务分解情况、技术服务团队工作职责及运作安排情况、各项过程技术服务成果质量把控能力、过程资料及档案管理、其他相关事宜。</w:t>
            </w:r>
          </w:p>
        </w:tc>
        <w:tc>
          <w:tcPr>
            <w:tcW w:w="1420" w:type="dxa"/>
            <w:shd w:val="clear" w:color="auto" w:fill="auto"/>
            <w:noWrap w:val="0"/>
            <w:tcMar>
              <w:top w:w="80" w:type="dxa"/>
              <w:left w:w="80" w:type="dxa"/>
              <w:bottom w:w="80" w:type="dxa"/>
              <w:right w:w="80" w:type="dxa"/>
            </w:tcMar>
            <w:vAlign w:val="center"/>
          </w:tcPr>
          <w:p w14:paraId="068259BA">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kern w:val="2"/>
                <w:sz w:val="21"/>
                <w:szCs w:val="21"/>
              </w:rPr>
              <w:t>提供技术服务方案，并加盖公章</w:t>
            </w:r>
          </w:p>
        </w:tc>
        <w:tc>
          <w:tcPr>
            <w:tcW w:w="810" w:type="dxa"/>
            <w:shd w:val="clear" w:color="auto" w:fill="auto"/>
            <w:noWrap w:val="0"/>
            <w:tcMar>
              <w:top w:w="80" w:type="dxa"/>
              <w:left w:w="80" w:type="dxa"/>
              <w:bottom w:w="80" w:type="dxa"/>
              <w:right w:w="80" w:type="dxa"/>
            </w:tcMar>
            <w:vAlign w:val="center"/>
          </w:tcPr>
          <w:p w14:paraId="1F4617F0">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6BBF1632">
            <w:pPr>
              <w:rPr>
                <w:rFonts w:hint="default"/>
                <w:color w:val="auto"/>
              </w:rPr>
            </w:pPr>
          </w:p>
        </w:tc>
        <w:tc>
          <w:tcPr>
            <w:tcW w:w="956" w:type="dxa"/>
            <w:shd w:val="clear" w:color="auto" w:fill="auto"/>
            <w:noWrap w:val="0"/>
            <w:tcMar>
              <w:top w:w="80" w:type="dxa"/>
              <w:left w:w="80" w:type="dxa"/>
              <w:bottom w:w="80" w:type="dxa"/>
              <w:right w:w="80" w:type="dxa"/>
            </w:tcMar>
            <w:vAlign w:val="center"/>
          </w:tcPr>
          <w:p w14:paraId="7FD19C19">
            <w:pPr>
              <w:rPr>
                <w:rFonts w:hint="default"/>
                <w:color w:val="auto"/>
              </w:rPr>
            </w:pPr>
          </w:p>
        </w:tc>
        <w:tc>
          <w:tcPr>
            <w:tcW w:w="827" w:type="dxa"/>
            <w:shd w:val="clear" w:color="auto" w:fill="auto"/>
            <w:noWrap w:val="0"/>
            <w:tcMar>
              <w:top w:w="80" w:type="dxa"/>
              <w:left w:w="80" w:type="dxa"/>
              <w:bottom w:w="80" w:type="dxa"/>
              <w:right w:w="80" w:type="dxa"/>
            </w:tcMar>
            <w:vAlign w:val="center"/>
          </w:tcPr>
          <w:p w14:paraId="25740744">
            <w:pPr>
              <w:rPr>
                <w:rFonts w:hint="default"/>
                <w:color w:val="auto"/>
              </w:rPr>
            </w:pPr>
          </w:p>
        </w:tc>
      </w:tr>
      <w:tr w14:paraId="72C7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990" w:hRule="atLeast"/>
          <w:jc w:val="center"/>
        </w:trPr>
        <w:tc>
          <w:tcPr>
            <w:tcW w:w="556" w:type="dxa"/>
            <w:shd w:val="clear" w:color="auto" w:fill="auto"/>
            <w:noWrap w:val="0"/>
            <w:tcMar>
              <w:top w:w="80" w:type="dxa"/>
              <w:left w:w="80" w:type="dxa"/>
              <w:bottom w:w="80" w:type="dxa"/>
              <w:right w:w="80" w:type="dxa"/>
            </w:tcMar>
            <w:vAlign w:val="center"/>
          </w:tcPr>
          <w:p w14:paraId="77EB5B54">
            <w:pPr>
              <w:tabs>
                <w:tab w:val="left" w:pos="420"/>
              </w:tabs>
              <w:spacing w:before="0" w:line="20" w:lineRule="atLeas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w:t>
            </w:r>
          </w:p>
        </w:tc>
        <w:tc>
          <w:tcPr>
            <w:tcW w:w="795" w:type="dxa"/>
            <w:shd w:val="clear" w:color="auto" w:fill="auto"/>
            <w:noWrap w:val="0"/>
            <w:tcMar>
              <w:top w:w="80" w:type="dxa"/>
              <w:left w:w="80" w:type="dxa"/>
              <w:bottom w:w="80" w:type="dxa"/>
              <w:right w:w="80" w:type="dxa"/>
            </w:tcMar>
            <w:vAlign w:val="center"/>
          </w:tcPr>
          <w:p w14:paraId="1DE95BDD">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报价</w:t>
            </w:r>
          </w:p>
          <w:p w14:paraId="27FDFDBA">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得分</w:t>
            </w:r>
          </w:p>
        </w:tc>
        <w:tc>
          <w:tcPr>
            <w:tcW w:w="3751" w:type="dxa"/>
            <w:shd w:val="clear" w:color="auto" w:fill="auto"/>
            <w:noWrap w:val="0"/>
            <w:tcMar>
              <w:top w:w="80" w:type="dxa"/>
              <w:left w:w="80" w:type="dxa"/>
              <w:bottom w:w="80" w:type="dxa"/>
              <w:right w:w="80" w:type="dxa"/>
            </w:tcMar>
            <w:vAlign w:val="center"/>
          </w:tcPr>
          <w:p w14:paraId="6A6802EC">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价格分计算方法：报价为平均数的为最高分即满分。假设供应商的报价结果分别为B1、B2、B3...Bn， 则报价的平均数为C=[B1＋B2＋B3＋……＋Bn]÷n，供应商n的报价得分=30</w:t>
            </w:r>
            <w:r>
              <w:rPr>
                <w:rFonts w:hint="default"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lang w:val="en-US" w:eastAsia="zh-CN"/>
              </w:rPr>
              <w:t>{1-(∣Bn－C∣)÷C}</w:t>
            </w:r>
          </w:p>
        </w:tc>
        <w:tc>
          <w:tcPr>
            <w:tcW w:w="1420" w:type="dxa"/>
            <w:shd w:val="clear" w:color="auto" w:fill="auto"/>
            <w:noWrap w:val="0"/>
            <w:tcMar>
              <w:top w:w="80" w:type="dxa"/>
              <w:left w:w="80" w:type="dxa"/>
              <w:bottom w:w="80" w:type="dxa"/>
              <w:right w:w="80" w:type="dxa"/>
            </w:tcMar>
            <w:vAlign w:val="center"/>
          </w:tcPr>
          <w:p w14:paraId="0A3736D3">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提供响应报价，并加盖公章</w:t>
            </w:r>
          </w:p>
        </w:tc>
        <w:tc>
          <w:tcPr>
            <w:tcW w:w="810" w:type="dxa"/>
            <w:shd w:val="clear" w:color="auto" w:fill="auto"/>
            <w:noWrap w:val="0"/>
            <w:tcMar>
              <w:top w:w="80" w:type="dxa"/>
              <w:left w:w="80" w:type="dxa"/>
              <w:bottom w:w="80" w:type="dxa"/>
              <w:right w:w="80" w:type="dxa"/>
            </w:tcMar>
            <w:vAlign w:val="center"/>
          </w:tcPr>
          <w:p w14:paraId="6C7D3FD8">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30分</w:t>
            </w:r>
          </w:p>
        </w:tc>
        <w:tc>
          <w:tcPr>
            <w:tcW w:w="840" w:type="dxa"/>
            <w:shd w:val="clear" w:color="auto" w:fill="auto"/>
            <w:noWrap w:val="0"/>
            <w:tcMar>
              <w:top w:w="80" w:type="dxa"/>
              <w:left w:w="80" w:type="dxa"/>
              <w:bottom w:w="80" w:type="dxa"/>
              <w:right w:w="80" w:type="dxa"/>
            </w:tcMar>
            <w:vAlign w:val="center"/>
          </w:tcPr>
          <w:p w14:paraId="3F72B665">
            <w:pPr>
              <w:tabs>
                <w:tab w:val="left" w:pos="420"/>
              </w:tabs>
              <w:spacing w:before="0" w:line="20" w:lineRule="atLeast"/>
              <w:jc w:val="center"/>
              <w:rPr>
                <w:rFonts w:hint="default" w:ascii="宋体" w:hAnsi="宋体" w:eastAsia="宋体" w:cs="宋体"/>
                <w:color w:val="auto"/>
                <w:kern w:val="2"/>
                <w:sz w:val="21"/>
                <w:szCs w:val="21"/>
                <w:lang w:val="en-US" w:eastAsia="zh-CN"/>
              </w:rPr>
            </w:pPr>
          </w:p>
        </w:tc>
        <w:tc>
          <w:tcPr>
            <w:tcW w:w="956" w:type="dxa"/>
            <w:shd w:val="clear" w:color="auto" w:fill="auto"/>
            <w:noWrap w:val="0"/>
            <w:tcMar>
              <w:top w:w="80" w:type="dxa"/>
              <w:left w:w="80" w:type="dxa"/>
              <w:bottom w:w="80" w:type="dxa"/>
              <w:right w:w="80" w:type="dxa"/>
            </w:tcMar>
            <w:vAlign w:val="center"/>
          </w:tcPr>
          <w:p w14:paraId="0331DD58">
            <w:pPr>
              <w:tabs>
                <w:tab w:val="left" w:pos="420"/>
              </w:tabs>
              <w:spacing w:before="0" w:line="20" w:lineRule="atLeast"/>
              <w:jc w:val="center"/>
              <w:rPr>
                <w:rFonts w:hint="default" w:ascii="宋体" w:hAnsi="宋体" w:eastAsia="宋体" w:cs="宋体"/>
                <w:color w:val="auto"/>
                <w:kern w:val="2"/>
                <w:sz w:val="21"/>
                <w:szCs w:val="21"/>
                <w:lang w:val="en-US" w:eastAsia="zh-CN"/>
              </w:rPr>
            </w:pPr>
          </w:p>
        </w:tc>
        <w:tc>
          <w:tcPr>
            <w:tcW w:w="827" w:type="dxa"/>
            <w:shd w:val="clear" w:color="auto" w:fill="auto"/>
            <w:noWrap w:val="0"/>
            <w:tcMar>
              <w:top w:w="80" w:type="dxa"/>
              <w:left w:w="80" w:type="dxa"/>
              <w:bottom w:w="80" w:type="dxa"/>
              <w:right w:w="80" w:type="dxa"/>
            </w:tcMar>
            <w:vAlign w:val="center"/>
          </w:tcPr>
          <w:p w14:paraId="136BFDE0">
            <w:pPr>
              <w:tabs>
                <w:tab w:val="left" w:pos="420"/>
              </w:tabs>
              <w:spacing w:before="0" w:line="20" w:lineRule="atLeast"/>
              <w:jc w:val="center"/>
              <w:rPr>
                <w:rFonts w:hint="default" w:ascii="宋体" w:hAnsi="宋体" w:eastAsia="宋体" w:cs="宋体"/>
                <w:color w:val="auto"/>
                <w:kern w:val="2"/>
                <w:sz w:val="21"/>
                <w:szCs w:val="21"/>
                <w:lang w:val="en-US" w:eastAsia="zh-CN"/>
              </w:rPr>
            </w:pPr>
          </w:p>
        </w:tc>
      </w:tr>
      <w:tr w14:paraId="2121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auto"/>
            <w:noWrap w:val="0"/>
            <w:tcMar>
              <w:top w:w="80" w:type="dxa"/>
              <w:left w:w="80" w:type="dxa"/>
              <w:bottom w:w="80" w:type="dxa"/>
              <w:right w:w="80" w:type="dxa"/>
            </w:tcMar>
            <w:vAlign w:val="center"/>
          </w:tcPr>
          <w:p w14:paraId="66A16BFA">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795" w:type="dxa"/>
            <w:shd w:val="clear" w:color="auto" w:fill="auto"/>
            <w:noWrap w:val="0"/>
            <w:tcMar>
              <w:top w:w="80" w:type="dxa"/>
              <w:left w:w="80" w:type="dxa"/>
              <w:bottom w:w="80" w:type="dxa"/>
              <w:right w:w="80" w:type="dxa"/>
            </w:tcMar>
            <w:vAlign w:val="center"/>
          </w:tcPr>
          <w:p w14:paraId="5CB16317">
            <w:pPr>
              <w:widowControl w:val="0"/>
              <w:tabs>
                <w:tab w:val="left" w:pos="420"/>
              </w:tabs>
              <w:spacing w:before="0" w:line="20" w:lineRule="atLeast"/>
              <w:jc w:val="center"/>
              <w:rPr>
                <w:rFonts w:hint="default" w:ascii="宋体" w:hAnsi="宋体" w:eastAsia="宋体" w:cs="宋体"/>
                <w:color w:val="auto"/>
                <w:kern w:val="2"/>
                <w:sz w:val="21"/>
                <w:szCs w:val="21"/>
                <w:lang w:val="en-US"/>
              </w:rPr>
            </w:pPr>
          </w:p>
          <w:p w14:paraId="58A38992">
            <w:pPr>
              <w:widowControl w:val="0"/>
              <w:tabs>
                <w:tab w:val="left" w:pos="420"/>
              </w:tabs>
              <w:spacing w:before="0" w:line="20" w:lineRule="atLeas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服务业绩得分</w:t>
            </w:r>
          </w:p>
        </w:tc>
        <w:tc>
          <w:tcPr>
            <w:tcW w:w="3751" w:type="dxa"/>
            <w:shd w:val="clear" w:color="auto" w:fill="auto"/>
            <w:noWrap w:val="0"/>
            <w:tcMar>
              <w:top w:w="80" w:type="dxa"/>
              <w:left w:w="80" w:type="dxa"/>
              <w:bottom w:w="80" w:type="dxa"/>
              <w:right w:w="80" w:type="dxa"/>
            </w:tcMar>
            <w:vAlign w:val="center"/>
          </w:tcPr>
          <w:p w14:paraId="74C73F4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提供近三年从事竣工财务决算编制相关业绩：</w:t>
            </w:r>
          </w:p>
          <w:p w14:paraId="5AF798E7">
            <w:pPr>
              <w:widowControl w:val="0"/>
              <w:numPr>
                <w:ilvl w:val="0"/>
                <w:numId w:val="1"/>
              </w:numPr>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提供5项及以上业绩，得25分</w:t>
            </w:r>
          </w:p>
          <w:p w14:paraId="199F68D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2、提供3-4项业绩，得20分；</w:t>
            </w:r>
          </w:p>
          <w:p w14:paraId="7829F08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3、提供2项业绩，得10分。</w:t>
            </w:r>
          </w:p>
          <w:p w14:paraId="681C493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4、提供0-1项业绩，得0分。</w:t>
            </w:r>
          </w:p>
          <w:p w14:paraId="34A58252">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重复项目仅作一次统计。</w:t>
            </w:r>
          </w:p>
        </w:tc>
        <w:tc>
          <w:tcPr>
            <w:tcW w:w="1420" w:type="dxa"/>
            <w:shd w:val="clear" w:color="auto" w:fill="auto"/>
            <w:noWrap w:val="0"/>
            <w:tcMar>
              <w:top w:w="80" w:type="dxa"/>
              <w:left w:w="80" w:type="dxa"/>
              <w:bottom w:w="80" w:type="dxa"/>
              <w:right w:w="80" w:type="dxa"/>
            </w:tcMar>
            <w:vAlign w:val="center"/>
          </w:tcPr>
          <w:p w14:paraId="7FDD57E5">
            <w:pPr>
              <w:widowControl w:val="0"/>
              <w:tabs>
                <w:tab w:val="left" w:pos="420"/>
                <w:tab w:val="left" w:pos="840"/>
                <w:tab w:val="left" w:pos="1260"/>
              </w:tabs>
              <w:spacing w:before="0" w:line="20" w:lineRule="atLeas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提供合同复印件加盖公章（如相关合同涉及商业秘密，响应单位可自行隐去关键内容，体现合同签订时间、合同双方签字盖章即可）</w:t>
            </w:r>
          </w:p>
        </w:tc>
        <w:tc>
          <w:tcPr>
            <w:tcW w:w="810" w:type="dxa"/>
            <w:shd w:val="clear" w:color="auto" w:fill="auto"/>
            <w:noWrap w:val="0"/>
            <w:tcMar>
              <w:top w:w="80" w:type="dxa"/>
              <w:left w:w="80" w:type="dxa"/>
              <w:bottom w:w="80" w:type="dxa"/>
              <w:right w:w="80" w:type="dxa"/>
            </w:tcMar>
            <w:vAlign w:val="center"/>
          </w:tcPr>
          <w:p w14:paraId="15687B45">
            <w:pPr>
              <w:widowControl w:val="0"/>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25分</w:t>
            </w:r>
          </w:p>
        </w:tc>
        <w:tc>
          <w:tcPr>
            <w:tcW w:w="840" w:type="dxa"/>
            <w:shd w:val="clear" w:color="auto" w:fill="auto"/>
            <w:noWrap w:val="0"/>
            <w:tcMar>
              <w:top w:w="80" w:type="dxa"/>
              <w:left w:w="80" w:type="dxa"/>
              <w:bottom w:w="80" w:type="dxa"/>
              <w:right w:w="80" w:type="dxa"/>
            </w:tcMar>
            <w:vAlign w:val="center"/>
          </w:tcPr>
          <w:p w14:paraId="36045F02">
            <w:pPr>
              <w:rPr>
                <w:rFonts w:hint="default"/>
                <w:color w:val="auto"/>
                <w:lang w:val="en-US"/>
              </w:rPr>
            </w:pPr>
          </w:p>
        </w:tc>
        <w:tc>
          <w:tcPr>
            <w:tcW w:w="956" w:type="dxa"/>
            <w:shd w:val="clear" w:color="auto" w:fill="auto"/>
            <w:noWrap w:val="0"/>
            <w:tcMar>
              <w:top w:w="80" w:type="dxa"/>
              <w:left w:w="80" w:type="dxa"/>
              <w:bottom w:w="80" w:type="dxa"/>
              <w:right w:w="80" w:type="dxa"/>
            </w:tcMar>
            <w:vAlign w:val="center"/>
          </w:tcPr>
          <w:p w14:paraId="1806C61E">
            <w:pPr>
              <w:rPr>
                <w:rFonts w:hint="default"/>
                <w:color w:val="auto"/>
                <w:lang w:val="en-US"/>
              </w:rPr>
            </w:pPr>
          </w:p>
        </w:tc>
        <w:tc>
          <w:tcPr>
            <w:tcW w:w="827" w:type="dxa"/>
            <w:shd w:val="clear" w:color="auto" w:fill="auto"/>
            <w:noWrap w:val="0"/>
            <w:tcMar>
              <w:top w:w="80" w:type="dxa"/>
              <w:left w:w="80" w:type="dxa"/>
              <w:bottom w:w="80" w:type="dxa"/>
              <w:right w:w="80" w:type="dxa"/>
            </w:tcMar>
            <w:vAlign w:val="center"/>
          </w:tcPr>
          <w:p w14:paraId="6B2A7142">
            <w:pPr>
              <w:rPr>
                <w:rFonts w:hint="default"/>
                <w:color w:val="auto"/>
                <w:lang w:val="en-US"/>
              </w:rPr>
            </w:pPr>
          </w:p>
        </w:tc>
      </w:tr>
      <w:tr w14:paraId="2429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6" w:hRule="atLeast"/>
          <w:jc w:val="center"/>
        </w:trPr>
        <w:tc>
          <w:tcPr>
            <w:tcW w:w="6522" w:type="dxa"/>
            <w:gridSpan w:val="4"/>
            <w:shd w:val="clear" w:color="auto" w:fill="auto"/>
            <w:noWrap w:val="0"/>
            <w:tcMar>
              <w:top w:w="80" w:type="dxa"/>
              <w:left w:w="80" w:type="dxa"/>
              <w:bottom w:w="80" w:type="dxa"/>
              <w:right w:w="80" w:type="dxa"/>
            </w:tcMar>
            <w:vAlign w:val="center"/>
          </w:tcPr>
          <w:p w14:paraId="15B4A61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color w:val="auto"/>
                <w:kern w:val="2"/>
                <w:sz w:val="21"/>
                <w:szCs w:val="21"/>
              </w:rPr>
              <w:t>合计</w:t>
            </w:r>
          </w:p>
        </w:tc>
        <w:tc>
          <w:tcPr>
            <w:tcW w:w="810" w:type="dxa"/>
            <w:shd w:val="clear" w:color="auto" w:fill="auto"/>
            <w:noWrap w:val="0"/>
            <w:tcMar>
              <w:top w:w="80" w:type="dxa"/>
              <w:left w:w="80" w:type="dxa"/>
              <w:bottom w:w="80" w:type="dxa"/>
              <w:right w:w="80" w:type="dxa"/>
            </w:tcMar>
            <w:vAlign w:val="center"/>
          </w:tcPr>
          <w:p w14:paraId="64D4C783">
            <w:pPr>
              <w:tabs>
                <w:tab w:val="left" w:pos="420"/>
              </w:tabs>
              <w:spacing w:before="0" w:line="20" w:lineRule="atLeast"/>
              <w:jc w:val="center"/>
              <w:rPr>
                <w:rFonts w:hint="default"/>
                <w:color w:val="auto"/>
              </w:rPr>
            </w:pPr>
            <w:r>
              <w:rPr>
                <w:rFonts w:ascii="宋体" w:hAnsi="宋体" w:eastAsia="宋体" w:cs="宋体"/>
                <w:color w:val="auto"/>
                <w:kern w:val="2"/>
                <w:sz w:val="21"/>
                <w:szCs w:val="21"/>
                <w:lang w:val="en-US"/>
              </w:rPr>
              <w:t>100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3FFFE843">
            <w:pPr>
              <w:rPr>
                <w:rFonts w:hint="default"/>
                <w:color w:val="auto"/>
              </w:rPr>
            </w:pPr>
          </w:p>
        </w:tc>
        <w:tc>
          <w:tcPr>
            <w:tcW w:w="956" w:type="dxa"/>
            <w:shd w:val="clear" w:color="auto" w:fill="auto"/>
            <w:noWrap w:val="0"/>
            <w:tcMar>
              <w:top w:w="80" w:type="dxa"/>
              <w:left w:w="80" w:type="dxa"/>
              <w:bottom w:w="80" w:type="dxa"/>
              <w:right w:w="80" w:type="dxa"/>
            </w:tcMar>
            <w:vAlign w:val="center"/>
          </w:tcPr>
          <w:p w14:paraId="62FFBF78">
            <w:pPr>
              <w:rPr>
                <w:rFonts w:hint="default"/>
                <w:color w:val="auto"/>
              </w:rPr>
            </w:pPr>
          </w:p>
        </w:tc>
        <w:tc>
          <w:tcPr>
            <w:tcW w:w="827" w:type="dxa"/>
            <w:shd w:val="clear" w:color="auto" w:fill="auto"/>
            <w:noWrap w:val="0"/>
            <w:tcMar>
              <w:top w:w="80" w:type="dxa"/>
              <w:left w:w="80" w:type="dxa"/>
              <w:bottom w:w="80" w:type="dxa"/>
              <w:right w:w="80" w:type="dxa"/>
            </w:tcMar>
            <w:vAlign w:val="center"/>
          </w:tcPr>
          <w:p w14:paraId="2E29F12C">
            <w:pPr>
              <w:rPr>
                <w:rFonts w:hint="default"/>
                <w:color w:val="auto"/>
              </w:rPr>
            </w:pPr>
          </w:p>
        </w:tc>
      </w:tr>
      <w:tr w14:paraId="6456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7" w:hRule="atLeast"/>
          <w:jc w:val="center"/>
        </w:trPr>
        <w:tc>
          <w:tcPr>
            <w:tcW w:w="6522" w:type="dxa"/>
            <w:gridSpan w:val="4"/>
            <w:shd w:val="clear" w:color="auto" w:fill="FFFFFF"/>
            <w:noWrap w:val="0"/>
            <w:tcMar>
              <w:top w:w="80" w:type="dxa"/>
              <w:left w:w="80" w:type="dxa"/>
              <w:bottom w:w="80" w:type="dxa"/>
              <w:right w:w="80" w:type="dxa"/>
            </w:tcMar>
            <w:vAlign w:val="center"/>
          </w:tcPr>
          <w:p w14:paraId="3B6B379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3433" w:type="dxa"/>
            <w:gridSpan w:val="4"/>
            <w:shd w:val="clear" w:color="auto" w:fill="FFFFFF"/>
            <w:noWrap w:val="0"/>
            <w:tcMar>
              <w:top w:w="80" w:type="dxa"/>
              <w:left w:w="80" w:type="dxa"/>
              <w:bottom w:w="80" w:type="dxa"/>
              <w:right w:w="80" w:type="dxa"/>
            </w:tcMar>
            <w:vAlign w:val="center"/>
          </w:tcPr>
          <w:p w14:paraId="6EDE581D">
            <w:pPr>
              <w:rPr>
                <w:rFonts w:hint="default"/>
                <w:color w:val="auto"/>
              </w:rPr>
            </w:pPr>
          </w:p>
        </w:tc>
      </w:tr>
    </w:tbl>
    <w:p w14:paraId="03FD5C3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2296AE2F">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2315BFA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r>
        <w:rPr>
          <w:rFonts w:ascii="黑体" w:hAnsi="黑体" w:eastAsia="黑体" w:cs="黑体"/>
          <w:kern w:val="2"/>
          <w:sz w:val="21"/>
          <w:szCs w:val="21"/>
          <w:highlight w:val="none"/>
          <w:lang w:val="en-US"/>
        </w:rPr>
        <w:t xml:space="preserve">          2.</w:t>
      </w: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p>
    <w:p w14:paraId="0D9604AE"/>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FE13C"/>
    <w:multiLevelType w:val="singleLevel"/>
    <w:tmpl w:val="D61FE1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E423A"/>
    <w:rsid w:val="0DEB14A0"/>
    <w:rsid w:val="3AB62A61"/>
    <w:rsid w:val="60B5557B"/>
    <w:rsid w:val="65CE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 w:type="paragraph" w:customStyle="1" w:styleId="8">
    <w:name w:val="首行缩进"/>
    <w:basedOn w:val="1"/>
    <w:qFormat/>
    <w:uiPriority w:val="0"/>
    <w:pPr>
      <w:ind w:firstLine="480" w:firstLineChars="200"/>
    </w:pPr>
    <w:rPr>
      <w:lang w:val="zh-CN"/>
    </w:rPr>
  </w:style>
  <w:style w:type="table" w:customStyle="1" w:styleId="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2025-05-27T08:10:00Z</dcterms:created>
  <dc:creator>實誠</dc:creator>
  <cp:lastModifiedBy>實誠</cp:lastModifiedBy>
  <dcterms:modified xsi:type="dcterms:W3CDTF">2025-05-27T08:11:14Z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B8111B74953D48F7B3210B7656F6D08E_13</vt:lpwstr>
  </property>
  <property fmtid="{D5CDD505-2E9C-101B-9397-08002B2CF9AE}" pid="4" name="KSOTemplateDocerSaveRecord">
    <vt:lpwstr>eyJoZGlkIjoiZjYxZTUyYjc1MzQwNWRmNjlmMWQyYmQ2NmM1M2U4MmMiLCJ1c2VySWQiOiI2OTk3NTA5NDAifQ==</vt:lpwstr>
  </property>
</Properties>
</file>