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97942">
      <w:pPr>
        <w:numPr>
          <w:ilvl w:val="0"/>
          <w:numId w:val="0"/>
        </w:numPr>
        <w:spacing w:before="156" w:beforeLines="50"/>
        <w:jc w:val="center"/>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2"/>
          <w:szCs w:val="36"/>
          <w:lang w:val="en-US" w:eastAsia="zh-CN"/>
          <w14:textFill>
            <w14:solidFill>
              <w14:schemeClr w14:val="tx1"/>
            </w14:solidFill>
          </w14:textFill>
        </w:rPr>
        <w:t>分体式直流充电机技术要求</w:t>
      </w:r>
    </w:p>
    <w:p w14:paraId="498246BA">
      <w:pPr>
        <w:numPr>
          <w:ilvl w:val="0"/>
          <w:numId w:val="1"/>
        </w:numPr>
        <w:spacing w:before="156" w:beforeLines="50"/>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产品选型要求</w:t>
      </w:r>
    </w:p>
    <w:p w14:paraId="27706C28">
      <w:pPr>
        <w:numPr>
          <w:ilvl w:val="0"/>
          <w:numId w:val="0"/>
        </w:numPr>
        <w:spacing w:before="156" w:beforeLines="50"/>
        <w:rPr>
          <w:rFonts w:hint="default" w:ascii="Times New Roman" w:hAnsi="Times New Roman" w:cs="Times New Roman" w:eastAsiaTheme="majorEastAsia"/>
          <w:color w:val="000000" w:themeColor="text1"/>
          <w:lang w:val="en-US" w:eastAsia="zh-CN"/>
          <w14:textFill>
            <w14:solidFill>
              <w14:schemeClr w14:val="tx1"/>
            </w14:solidFill>
          </w14:textFill>
        </w:rPr>
      </w:pPr>
    </w:p>
    <w:tbl>
      <w:tblPr>
        <w:tblStyle w:val="10"/>
        <w:tblW w:w="8801" w:type="dxa"/>
        <w:jc w:val="center"/>
        <w:tblLayout w:type="fixed"/>
        <w:tblCellMar>
          <w:top w:w="0" w:type="dxa"/>
          <w:left w:w="108" w:type="dxa"/>
          <w:bottom w:w="0" w:type="dxa"/>
          <w:right w:w="108" w:type="dxa"/>
        </w:tblCellMar>
      </w:tblPr>
      <w:tblGrid>
        <w:gridCol w:w="704"/>
        <w:gridCol w:w="1276"/>
        <w:gridCol w:w="5403"/>
        <w:gridCol w:w="708"/>
        <w:gridCol w:w="710"/>
      </w:tblGrid>
      <w:tr w14:paraId="08DE6C4E">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756C">
            <w:pPr>
              <w:jc w:val="center"/>
              <w:textAlignment w:val="center"/>
              <w:rPr>
                <w:rFonts w:cs="宋体" w:asciiTheme="minorEastAsia" w:hAnsiTheme="minorEastAsia"/>
                <w:color w:val="000000" w:themeColor="text1"/>
                <w:sz w:val="18"/>
                <w:szCs w:val="18"/>
                <w14:textFill>
                  <w14:solidFill>
                    <w14:schemeClr w14:val="tx1"/>
                  </w14:solidFill>
                </w14:textFill>
              </w:rPr>
            </w:pPr>
            <w:r>
              <w:rPr>
                <w:rFonts w:hint="eastAsia" w:cs="宋体" w:asciiTheme="minorEastAsia" w:hAnsiTheme="minorEastAsia"/>
                <w:color w:val="000000" w:themeColor="text1"/>
                <w:kern w:val="0"/>
                <w:sz w:val="18"/>
                <w:szCs w:val="18"/>
                <w:lang w:bidi="ar"/>
                <w14:textFill>
                  <w14:solidFill>
                    <w14:schemeClr w14:val="tx1"/>
                  </w14:solidFill>
                </w14:textFill>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7D6B">
            <w:pPr>
              <w:jc w:val="center"/>
              <w:textAlignment w:val="center"/>
              <w:rPr>
                <w:rFonts w:cs="宋体"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名称</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B469">
            <w:pPr>
              <w:jc w:val="center"/>
              <w:textAlignment w:val="center"/>
              <w:rPr>
                <w:rFonts w:cs="宋体" w:asciiTheme="minorEastAsia" w:hAnsiTheme="minorEastAsia"/>
                <w:color w:val="000000" w:themeColor="text1"/>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参数</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F578">
            <w:pPr>
              <w:jc w:val="center"/>
              <w:textAlignment w:val="center"/>
              <w:rPr>
                <w:rFonts w:cs="宋体" w:asciiTheme="minorEastAsia" w:hAnsiTheme="minorEastAsia"/>
                <w:color w:val="000000" w:themeColor="text1"/>
                <w:sz w:val="18"/>
                <w:szCs w:val="18"/>
                <w14:textFill>
                  <w14:solidFill>
                    <w14:schemeClr w14:val="tx1"/>
                  </w14:solidFill>
                </w14:textFill>
              </w:rPr>
            </w:pPr>
            <w:r>
              <w:rPr>
                <w:rFonts w:hint="eastAsia" w:cs="宋体" w:asciiTheme="minorEastAsia" w:hAnsiTheme="minorEastAsia"/>
                <w:color w:val="000000" w:themeColor="text1"/>
                <w:kern w:val="0"/>
                <w:sz w:val="18"/>
                <w:szCs w:val="18"/>
                <w:lang w:bidi="ar"/>
                <w14:textFill>
                  <w14:solidFill>
                    <w14:schemeClr w14:val="tx1"/>
                  </w14:solidFill>
                </w14:textFill>
              </w:rPr>
              <w:t>数量</w:t>
            </w:r>
          </w:p>
        </w:tc>
        <w:tc>
          <w:tcPr>
            <w:tcW w:w="710" w:type="dxa"/>
            <w:tcBorders>
              <w:top w:val="single" w:color="000000" w:sz="4" w:space="0"/>
              <w:left w:val="single" w:color="000000" w:sz="4" w:space="0"/>
              <w:bottom w:val="single" w:color="000000" w:sz="4" w:space="0"/>
              <w:right w:val="single" w:color="000000" w:sz="4" w:space="0"/>
            </w:tcBorders>
            <w:vAlign w:val="center"/>
          </w:tcPr>
          <w:p w14:paraId="77D60487">
            <w:pPr>
              <w:jc w:val="center"/>
              <w:textAlignment w:val="center"/>
              <w:rPr>
                <w:rFonts w:cs="宋体" w:asciiTheme="minorEastAsia" w:hAnsiTheme="minorEastAsia"/>
                <w:color w:val="000000" w:themeColor="text1"/>
                <w:kern w:val="0"/>
                <w:sz w:val="18"/>
                <w:szCs w:val="18"/>
                <w:lang w:bidi="ar"/>
                <w14:textFill>
                  <w14:solidFill>
                    <w14:schemeClr w14:val="tx1"/>
                  </w14:solidFill>
                </w14:textFill>
              </w:rPr>
            </w:pPr>
            <w:r>
              <w:rPr>
                <w:rFonts w:hint="eastAsia" w:cs="宋体" w:asciiTheme="minorEastAsia" w:hAnsiTheme="minorEastAsia"/>
                <w:color w:val="000000" w:themeColor="text1"/>
                <w:kern w:val="0"/>
                <w:sz w:val="18"/>
                <w:szCs w:val="18"/>
                <w:lang w:bidi="ar"/>
                <w14:textFill>
                  <w14:solidFill>
                    <w14:schemeClr w14:val="tx1"/>
                  </w14:solidFill>
                </w14:textFill>
              </w:rPr>
              <w:t>单位</w:t>
            </w:r>
          </w:p>
        </w:tc>
      </w:tr>
      <w:tr w14:paraId="3FF24757">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37BC">
            <w:pPr>
              <w:jc w:val="center"/>
              <w:textAlignment w:val="cente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BFD0">
            <w:pPr>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分体式直流充电机</w:t>
            </w:r>
          </w:p>
          <w:p w14:paraId="247BDF25">
            <w:pPr>
              <w:jc w:val="center"/>
              <w:textAlignment w:val="center"/>
              <w:rPr>
                <w:rFonts w:hint="eastAsia"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（整流柜）</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9143">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1）额定输出功率：</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lang w:val="en-US" w:eastAsia="zh-CN"/>
                <w14:textFill>
                  <w14:solidFill>
                    <w14:schemeClr w14:val="tx1"/>
                  </w14:solidFill>
                </w14:textFill>
              </w:rPr>
              <w:t>600</w:t>
            </w:r>
            <w:r>
              <w:rPr>
                <w:rFonts w:ascii="Times New Roman" w:hAnsi="Times New Roman" w:cs="Times New Roman"/>
                <w:color w:val="000000" w:themeColor="text1"/>
                <w:sz w:val="18"/>
                <w:szCs w:val="18"/>
                <w:u w:val="single"/>
                <w14:textFill>
                  <w14:solidFill>
                    <w14:schemeClr w14:val="tx1"/>
                  </w14:solidFill>
                </w14:textFill>
              </w:rPr>
              <w:t xml:space="preserve">kW </w:t>
            </w:r>
          </w:p>
          <w:p w14:paraId="573078CF">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2）输出电压范围：</w:t>
            </w:r>
            <w:r>
              <w:rPr>
                <w:rFonts w:ascii="Times New Roman" w:hAnsi="Times New Roman" w:cs="Times New Roman"/>
                <w:color w:val="000000" w:themeColor="text1"/>
                <w:sz w:val="18"/>
                <w:szCs w:val="18"/>
                <w:u w:val="single"/>
                <w14:textFill>
                  <w14:solidFill>
                    <w14:schemeClr w14:val="tx1"/>
                  </w14:solidFill>
                </w14:textFill>
              </w:rPr>
              <w:t xml:space="preserve"> DC 200～1000V </w:t>
            </w:r>
          </w:p>
          <w:p w14:paraId="4571828D">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3）恒功率输出电压范围：</w:t>
            </w:r>
            <w:r>
              <w:rPr>
                <w:rFonts w:ascii="Times New Roman" w:hAnsi="Times New Roman" w:cs="Times New Roman"/>
                <w:color w:val="000000" w:themeColor="text1"/>
                <w:sz w:val="18"/>
                <w:szCs w:val="18"/>
                <w:u w:val="single"/>
                <w14:textFill>
                  <w14:solidFill>
                    <w14:schemeClr w14:val="tx1"/>
                  </w14:solidFill>
                </w14:textFill>
              </w:rPr>
              <w:t xml:space="preserve"> DC 300～1000V </w:t>
            </w:r>
          </w:p>
          <w:p w14:paraId="62BA59DA">
            <w:pPr>
              <w:rPr>
                <w:rFonts w:hint="default" w:ascii="Times New Roman" w:hAnsi="Times New Roman" w:cs="Times New Roman" w:eastAsiaTheme="minorEastAsia"/>
                <w:color w:val="000000" w:themeColor="text1"/>
                <w:sz w:val="18"/>
                <w:szCs w:val="18"/>
                <w:u w:val="single"/>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4）充电接口数量：</w:t>
            </w:r>
            <w:r>
              <w:rPr>
                <w:rFonts w:ascii="Times New Roman" w:hAnsi="Times New Roman" w:cs="Times New Roman"/>
                <w:color w:val="000000" w:themeColor="text1"/>
                <w:sz w:val="18"/>
                <w:szCs w:val="18"/>
                <w:u w:val="single"/>
                <w14:textFill>
                  <w14:solidFill>
                    <w14:schemeClr w14:val="tx1"/>
                  </w14:solidFill>
                </w14:textFill>
              </w:rPr>
              <w:t xml:space="preserve"> 250A</w:t>
            </w:r>
            <w:r>
              <w:rPr>
                <w:rFonts w:hint="eastAsia" w:ascii="Times New Roman" w:hAnsi="Times New Roman" w:cs="Times New Roman"/>
                <w:color w:val="000000" w:themeColor="text1"/>
                <w:sz w:val="18"/>
                <w:szCs w:val="18"/>
                <w:u w:val="single"/>
                <w14:textFill>
                  <w14:solidFill>
                    <w14:schemeClr w14:val="tx1"/>
                  </w14:solidFill>
                </w14:textFill>
              </w:rPr>
              <w:t>快充接口≥</w:t>
            </w:r>
            <w:r>
              <w:rPr>
                <w:rFonts w:hint="eastAsia" w:ascii="Times New Roman" w:hAnsi="Times New Roman" w:cs="Times New Roman"/>
                <w:color w:val="000000" w:themeColor="text1"/>
                <w:sz w:val="18"/>
                <w:szCs w:val="18"/>
                <w:u w:val="single"/>
                <w:lang w:val="en-US" w:eastAsia="zh-CN"/>
                <w14:textFill>
                  <w14:solidFill>
                    <w14:schemeClr w14:val="tx1"/>
                  </w14:solidFill>
                </w14:textFill>
              </w:rPr>
              <w:t>10</w:t>
            </w:r>
            <w:r>
              <w:rPr>
                <w:rFonts w:hint="eastAsia" w:ascii="Times New Roman" w:hAnsi="Times New Roman" w:cs="Times New Roman"/>
                <w:color w:val="000000" w:themeColor="text1"/>
                <w:sz w:val="18"/>
                <w:szCs w:val="18"/>
                <w:u w:val="single"/>
                <w14:textFill>
                  <w14:solidFill>
                    <w14:schemeClr w14:val="tx1"/>
                  </w14:solidFill>
                </w14:textFill>
              </w:rPr>
              <w:t>个</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lang w:val="en-US" w:eastAsia="zh-CN"/>
                <w14:textFill>
                  <w14:solidFill>
                    <w14:schemeClr w14:val="tx1"/>
                  </w14:solidFill>
                </w14:textFill>
              </w:rPr>
              <w:t>600A超充接口1个</w:t>
            </w:r>
          </w:p>
          <w:p w14:paraId="35C7FA8D">
            <w:pPr>
              <w:rPr>
                <w:rFonts w:hint="eastAsia" w:ascii="Times New Roman" w:hAnsi="Times New Roman" w:cs="Times New Roman" w:eastAsiaTheme="minorEastAsia"/>
                <w:color w:val="000000" w:themeColor="text1"/>
                <w:sz w:val="18"/>
                <w:szCs w:val="18"/>
                <w:u w:val="single"/>
                <w:lang w:val="en-US" w:eastAsia="zh-C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14:textFill>
                  <w14:solidFill>
                    <w14:schemeClr w14:val="tx1"/>
                  </w14:solidFill>
                </w14:textFill>
              </w:rPr>
              <w:t>）单模块功率：</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lang w:val="en-US" w:eastAsia="zh-CN"/>
                <w14:textFill>
                  <w14:solidFill>
                    <w14:schemeClr w14:val="tx1"/>
                  </w14:solidFill>
                </w14:textFill>
              </w:rPr>
              <w:t>4</w:t>
            </w:r>
            <w:r>
              <w:rPr>
                <w:rFonts w:ascii="Times New Roman" w:hAnsi="Times New Roman" w:cs="Times New Roman"/>
                <w:color w:val="000000" w:themeColor="text1"/>
                <w:sz w:val="18"/>
                <w:szCs w:val="18"/>
                <w:u w:val="single"/>
                <w14:textFill>
                  <w14:solidFill>
                    <w14:schemeClr w14:val="tx1"/>
                  </w14:solidFill>
                </w14:textFill>
              </w:rPr>
              <w:t xml:space="preserve">0kW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7BC8">
            <w:pPr>
              <w:jc w:val="center"/>
              <w:textAlignment w:val="center"/>
              <w:rPr>
                <w:rFonts w:hint="eastAsia" w:ascii="Times New Roman" w:hAnsi="Times New Roman" w:cs="Times New Roman" w:eastAsiaTheme="minorEastAsia"/>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w:t>
            </w:r>
          </w:p>
        </w:tc>
        <w:tc>
          <w:tcPr>
            <w:tcW w:w="710" w:type="dxa"/>
            <w:tcBorders>
              <w:top w:val="single" w:color="000000" w:sz="4" w:space="0"/>
              <w:left w:val="single" w:color="000000" w:sz="4" w:space="0"/>
              <w:bottom w:val="single" w:color="000000" w:sz="4" w:space="0"/>
              <w:right w:val="single" w:color="000000" w:sz="4" w:space="0"/>
            </w:tcBorders>
            <w:vAlign w:val="center"/>
          </w:tcPr>
          <w:p w14:paraId="5473F7EF">
            <w:pPr>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台</w:t>
            </w:r>
          </w:p>
        </w:tc>
      </w:tr>
      <w:tr w14:paraId="2010D8BC">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14C1">
            <w:pPr>
              <w:jc w:val="center"/>
              <w:textAlignment w:val="cente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4A8E">
            <w:pPr>
              <w:jc w:val="center"/>
              <w:textAlignment w:val="center"/>
              <w:rPr>
                <w:rFonts w:ascii="Times New Roman" w:hAnsi="Times New Roman" w:cs="Times New Roman"/>
                <w:color w:val="000000" w:themeColor="text1"/>
                <w:kern w:val="0"/>
                <w:sz w:val="18"/>
                <w:szCs w:val="18"/>
                <w:lang w:bidi="ar"/>
                <w14:textFill>
                  <w14:solidFill>
                    <w14:schemeClr w14:val="tx1"/>
                  </w14:solidFill>
                </w14:textFill>
              </w:rPr>
            </w:pPr>
            <w:r>
              <w:rPr>
                <w:rFonts w:hint="eastAsia" w:ascii="Times New Roman" w:hAnsi="Times New Roman" w:cs="Times New Roman"/>
                <w:color w:val="000000" w:themeColor="text1"/>
                <w:kern w:val="0"/>
                <w:sz w:val="18"/>
                <w:szCs w:val="18"/>
                <w:lang w:bidi="ar"/>
                <w14:textFill>
                  <w14:solidFill>
                    <w14:schemeClr w14:val="tx1"/>
                  </w14:solidFill>
                </w14:textFill>
              </w:rPr>
              <w:t>快充双枪终端</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0AFD">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1）输出电压范围：</w:t>
            </w:r>
            <w:r>
              <w:rPr>
                <w:rFonts w:ascii="Times New Roman" w:hAnsi="Times New Roman" w:cs="Times New Roman"/>
                <w:color w:val="000000" w:themeColor="text1"/>
                <w:sz w:val="18"/>
                <w:szCs w:val="18"/>
                <w:u w:val="single"/>
                <w14:textFill>
                  <w14:solidFill>
                    <w14:schemeClr w14:val="tx1"/>
                  </w14:solidFill>
                </w14:textFill>
              </w:rPr>
              <w:t xml:space="preserve"> DC 200～1000V </w:t>
            </w:r>
          </w:p>
          <w:p w14:paraId="44A2B255">
            <w:pP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2）充电接口数量：</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单桩双枪</w:t>
            </w:r>
            <w:r>
              <w:rPr>
                <w:rFonts w:ascii="Times New Roman" w:hAnsi="Times New Roman" w:cs="Times New Roman"/>
                <w:color w:val="000000" w:themeColor="text1"/>
                <w:sz w:val="18"/>
                <w:szCs w:val="18"/>
                <w:u w:val="single"/>
                <w14:textFill>
                  <w14:solidFill>
                    <w14:schemeClr w14:val="tx1"/>
                  </w14:solidFill>
                </w14:textFill>
              </w:rPr>
              <w:t xml:space="preserve"> </w:t>
            </w:r>
          </w:p>
          <w:p w14:paraId="3924914C">
            <w:pPr>
              <w:rPr>
                <w:rFonts w:hint="default" w:ascii="Times New Roman" w:hAnsi="Times New Roman" w:cs="Times New Roman" w:eastAsiaTheme="minorEastAsia"/>
                <w:color w:val="000000" w:themeColor="text1"/>
                <w:sz w:val="18"/>
                <w:szCs w:val="18"/>
                <w:u w:val="single"/>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r>
              <w:rPr>
                <w:rFonts w:hint="eastAsia" w:ascii="Times New Roman" w:hAnsi="Times New Roman" w:cs="Times New Roman"/>
                <w:color w:val="000000" w:themeColor="text1"/>
                <w:sz w:val="18"/>
                <w:szCs w:val="18"/>
                <w14:textFill>
                  <w14:solidFill>
                    <w14:schemeClr w14:val="tx1"/>
                  </w14:solidFill>
                </w14:textFill>
              </w:rPr>
              <w:t>单个</w:t>
            </w:r>
            <w:r>
              <w:rPr>
                <w:rFonts w:ascii="Times New Roman" w:hAnsi="Times New Roman" w:cs="Times New Roman"/>
                <w:color w:val="000000" w:themeColor="text1"/>
                <w:sz w:val="18"/>
                <w:szCs w:val="18"/>
                <w14:textFill>
                  <w14:solidFill>
                    <w14:schemeClr w14:val="tx1"/>
                  </w14:solidFill>
                </w14:textFill>
              </w:rPr>
              <w:t>充电接口</w:t>
            </w:r>
            <w:r>
              <w:rPr>
                <w:rFonts w:hint="eastAsia" w:ascii="Times New Roman" w:hAnsi="Times New Roman" w:cs="Times New Roman"/>
                <w:color w:val="000000" w:themeColor="text1"/>
                <w:sz w:val="18"/>
                <w:szCs w:val="18"/>
                <w14:textFill>
                  <w14:solidFill>
                    <w14:schemeClr w14:val="tx1"/>
                  </w14:solidFill>
                </w14:textFill>
              </w:rPr>
              <w:t>最大输出电流</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2</w:t>
            </w:r>
            <w:r>
              <w:rPr>
                <w:rFonts w:ascii="Times New Roman" w:hAnsi="Times New Roman" w:cs="Times New Roman"/>
                <w:color w:val="000000" w:themeColor="text1"/>
                <w:sz w:val="18"/>
                <w:szCs w:val="18"/>
                <w:u w:val="single"/>
                <w14:textFill>
                  <w14:solidFill>
                    <w14:schemeClr w14:val="tx1"/>
                  </w14:solidFill>
                </w14:textFill>
              </w:rPr>
              <w:t>50A</w:t>
            </w:r>
          </w:p>
          <w:p w14:paraId="3CD57DAF">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4）充电枪长度：</w:t>
            </w:r>
            <w:r>
              <w:rPr>
                <w:rFonts w:ascii="Times New Roman" w:hAnsi="Times New Roman" w:cs="Times New Roman"/>
                <w:color w:val="000000" w:themeColor="text1"/>
                <w:sz w:val="18"/>
                <w:szCs w:val="18"/>
                <w:u w:val="single"/>
                <w14:textFill>
                  <w14:solidFill>
                    <w14:schemeClr w14:val="tx1"/>
                  </w14:solidFill>
                </w14:textFill>
              </w:rPr>
              <w:t xml:space="preserve"> 外露5米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6434">
            <w:pPr>
              <w:jc w:val="center"/>
              <w:textAlignment w:val="center"/>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10</w:t>
            </w:r>
          </w:p>
        </w:tc>
        <w:tc>
          <w:tcPr>
            <w:tcW w:w="710" w:type="dxa"/>
            <w:tcBorders>
              <w:top w:val="single" w:color="000000" w:sz="4" w:space="0"/>
              <w:left w:val="single" w:color="000000" w:sz="4" w:space="0"/>
              <w:bottom w:val="single" w:color="000000" w:sz="4" w:space="0"/>
              <w:right w:val="single" w:color="000000" w:sz="4" w:space="0"/>
            </w:tcBorders>
            <w:vAlign w:val="center"/>
          </w:tcPr>
          <w:p w14:paraId="5E80B711">
            <w:pPr>
              <w:jc w:val="center"/>
              <w:textAlignment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台</w:t>
            </w:r>
          </w:p>
        </w:tc>
      </w:tr>
      <w:tr w14:paraId="1B42D844">
        <w:tblPrEx>
          <w:tblCellMar>
            <w:top w:w="0" w:type="dxa"/>
            <w:left w:w="108" w:type="dxa"/>
            <w:bottom w:w="0" w:type="dxa"/>
            <w:right w:w="108" w:type="dxa"/>
          </w:tblCellMar>
        </w:tblPrEx>
        <w:trPr>
          <w:trHeight w:val="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CB3">
            <w:pPr>
              <w:jc w:val="center"/>
              <w:textAlignment w:val="center"/>
              <w:rPr>
                <w:rFonts w:hint="default" w:ascii="Times New Roman" w:hAnsi="Times New Roman" w:cs="Times New Roman"/>
                <w:color w:val="000000" w:themeColor="text1"/>
                <w:kern w:val="0"/>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0"/>
                <w:sz w:val="18"/>
                <w:szCs w:val="18"/>
                <w:lang w:val="en-US" w:eastAsia="zh-CN" w:bidi="ar"/>
                <w14:textFill>
                  <w14:solidFill>
                    <w14:schemeClr w14:val="tx1"/>
                  </w14:solidFill>
                </w14:textFill>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3758">
            <w:pPr>
              <w:jc w:val="center"/>
              <w:textAlignment w:val="center"/>
              <w:rPr>
                <w:rFonts w:hint="eastAsia" w:ascii="Times New Roman" w:hAnsi="Times New Roman" w:cs="Times New Roman" w:eastAsiaTheme="minorEastAsia"/>
                <w:color w:val="000000" w:themeColor="text1"/>
                <w:kern w:val="0"/>
                <w:sz w:val="18"/>
                <w:szCs w:val="18"/>
                <w:lang w:eastAsia="zh-CN" w:bidi="ar"/>
                <w14:textFill>
                  <w14:solidFill>
                    <w14:schemeClr w14:val="tx1"/>
                  </w14:solidFill>
                </w14:textFill>
              </w:rPr>
            </w:pPr>
            <w:r>
              <w:rPr>
                <w:rFonts w:hint="eastAsia" w:ascii="Times New Roman" w:hAnsi="Times New Roman" w:cs="Times New Roman"/>
                <w:color w:val="000000" w:themeColor="text1"/>
                <w:kern w:val="0"/>
                <w:sz w:val="18"/>
                <w:szCs w:val="18"/>
                <w:lang w:eastAsia="zh-CN" w:bidi="ar"/>
                <w14:textFill>
                  <w14:solidFill>
                    <w14:schemeClr w14:val="tx1"/>
                  </w14:solidFill>
                </w14:textFill>
              </w:rPr>
              <w:t>超充终端</w:t>
            </w:r>
          </w:p>
        </w:tc>
        <w:tc>
          <w:tcPr>
            <w:tcW w:w="5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422A">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1）输出电压范围：</w:t>
            </w:r>
            <w:r>
              <w:rPr>
                <w:rFonts w:ascii="Times New Roman" w:hAnsi="Times New Roman" w:cs="Times New Roman"/>
                <w:color w:val="000000" w:themeColor="text1"/>
                <w:sz w:val="18"/>
                <w:szCs w:val="18"/>
                <w:u w:val="single"/>
                <w14:textFill>
                  <w14:solidFill>
                    <w14:schemeClr w14:val="tx1"/>
                  </w14:solidFill>
                </w14:textFill>
              </w:rPr>
              <w:t xml:space="preserve"> DC 200～1000V </w:t>
            </w:r>
          </w:p>
          <w:p w14:paraId="122B63EF">
            <w:pP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2）充电接口数量：</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14:textFill>
                  <w14:solidFill>
                    <w14:schemeClr w14:val="tx1"/>
                  </w14:solidFill>
                </w14:textFill>
              </w:rPr>
              <w:t>单桩</w:t>
            </w:r>
            <w:r>
              <w:rPr>
                <w:rFonts w:hint="eastAsia" w:ascii="Times New Roman" w:hAnsi="Times New Roman" w:cs="Times New Roman"/>
                <w:color w:val="000000" w:themeColor="text1"/>
                <w:sz w:val="18"/>
                <w:szCs w:val="18"/>
                <w:u w:val="single"/>
                <w:lang w:eastAsia="zh-CN"/>
                <w14:textFill>
                  <w14:solidFill>
                    <w14:schemeClr w14:val="tx1"/>
                  </w14:solidFill>
                </w14:textFill>
              </w:rPr>
              <w:t>单</w:t>
            </w:r>
            <w:r>
              <w:rPr>
                <w:rFonts w:hint="eastAsia" w:ascii="Times New Roman" w:hAnsi="Times New Roman" w:cs="Times New Roman"/>
                <w:color w:val="000000" w:themeColor="text1"/>
                <w:sz w:val="18"/>
                <w:szCs w:val="18"/>
                <w:u w:val="single"/>
                <w14:textFill>
                  <w14:solidFill>
                    <w14:schemeClr w14:val="tx1"/>
                  </w14:solidFill>
                </w14:textFill>
              </w:rPr>
              <w:t>枪</w:t>
            </w:r>
            <w:r>
              <w:rPr>
                <w:rFonts w:ascii="Times New Roman" w:hAnsi="Times New Roman" w:cs="Times New Roman"/>
                <w:color w:val="000000" w:themeColor="text1"/>
                <w:sz w:val="18"/>
                <w:szCs w:val="18"/>
                <w:u w:val="single"/>
                <w14:textFill>
                  <w14:solidFill>
                    <w14:schemeClr w14:val="tx1"/>
                  </w14:solidFill>
                </w14:textFill>
              </w:rPr>
              <w:t xml:space="preserve"> </w:t>
            </w:r>
          </w:p>
          <w:p w14:paraId="7CB969C3">
            <w:pPr>
              <w:rPr>
                <w:rFonts w:hint="default" w:ascii="Times New Roman" w:hAnsi="Times New Roman" w:cs="Times New Roman" w:eastAsiaTheme="minorEastAsia"/>
                <w:color w:val="000000" w:themeColor="text1"/>
                <w:sz w:val="18"/>
                <w:szCs w:val="18"/>
                <w:u w:val="single"/>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r>
              <w:rPr>
                <w:rFonts w:hint="eastAsia" w:ascii="Times New Roman" w:hAnsi="Times New Roman" w:cs="Times New Roman"/>
                <w:color w:val="000000" w:themeColor="text1"/>
                <w:sz w:val="18"/>
                <w:szCs w:val="18"/>
                <w14:textFill>
                  <w14:solidFill>
                    <w14:schemeClr w14:val="tx1"/>
                  </w14:solidFill>
                </w14:textFill>
              </w:rPr>
              <w:t>最大输出电流</w:t>
            </w:r>
            <w:r>
              <w:rPr>
                <w:rFonts w:ascii="Times New Roman" w:hAnsi="Times New Roman" w:cs="Times New Roman"/>
                <w:color w:val="000000" w:themeColor="text1"/>
                <w:sz w:val="18"/>
                <w:szCs w:val="18"/>
                <w14:textFill>
                  <w14:solidFill>
                    <w14:schemeClr w14:val="tx1"/>
                  </w14:solidFill>
                </w14:textFill>
              </w:rPr>
              <w:t>：</w:t>
            </w:r>
            <w:r>
              <w:rPr>
                <w:rFonts w:ascii="Times New Roman" w:hAnsi="Times New Roman" w:cs="Times New Roman"/>
                <w:color w:val="000000" w:themeColor="text1"/>
                <w:sz w:val="18"/>
                <w:szCs w:val="18"/>
                <w:u w:val="single"/>
                <w14:textFill>
                  <w14:solidFill>
                    <w14:schemeClr w14:val="tx1"/>
                  </w14:solidFill>
                </w14:textFill>
              </w:rPr>
              <w:t xml:space="preserve"> </w:t>
            </w:r>
            <w:r>
              <w:rPr>
                <w:rFonts w:hint="eastAsia" w:ascii="Times New Roman" w:hAnsi="Times New Roman" w:cs="Times New Roman"/>
                <w:color w:val="000000" w:themeColor="text1"/>
                <w:sz w:val="18"/>
                <w:szCs w:val="18"/>
                <w:u w:val="single"/>
                <w:lang w:val="en-US" w:eastAsia="zh-CN"/>
                <w14:textFill>
                  <w14:solidFill>
                    <w14:schemeClr w14:val="tx1"/>
                  </w14:solidFill>
                </w14:textFill>
              </w:rPr>
              <w:t>60</w:t>
            </w:r>
            <w:r>
              <w:rPr>
                <w:rFonts w:ascii="Times New Roman" w:hAnsi="Times New Roman" w:cs="Times New Roman"/>
                <w:color w:val="000000" w:themeColor="text1"/>
                <w:sz w:val="18"/>
                <w:szCs w:val="18"/>
                <w:u w:val="single"/>
                <w14:textFill>
                  <w14:solidFill>
                    <w14:schemeClr w14:val="tx1"/>
                  </w14:solidFill>
                </w14:textFill>
              </w:rPr>
              <w:t>0A</w:t>
            </w:r>
          </w:p>
          <w:p w14:paraId="23637CEE">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4）充电枪长度：</w:t>
            </w:r>
            <w:r>
              <w:rPr>
                <w:rFonts w:ascii="Times New Roman" w:hAnsi="Times New Roman" w:cs="Times New Roman"/>
                <w:color w:val="000000" w:themeColor="text1"/>
                <w:sz w:val="18"/>
                <w:szCs w:val="18"/>
                <w:u w:val="single"/>
                <w14:textFill>
                  <w14:solidFill>
                    <w14:schemeClr w14:val="tx1"/>
                  </w14:solidFill>
                </w14:textFill>
              </w:rPr>
              <w:t xml:space="preserve"> 外露5米 </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5DA9">
            <w:pPr>
              <w:jc w:val="center"/>
              <w:textAlignment w:val="center"/>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w:t>
            </w:r>
          </w:p>
        </w:tc>
        <w:tc>
          <w:tcPr>
            <w:tcW w:w="710" w:type="dxa"/>
            <w:tcBorders>
              <w:top w:val="single" w:color="000000" w:sz="4" w:space="0"/>
              <w:left w:val="single" w:color="000000" w:sz="4" w:space="0"/>
              <w:bottom w:val="single" w:color="000000" w:sz="4" w:space="0"/>
              <w:right w:val="single" w:color="000000" w:sz="4" w:space="0"/>
            </w:tcBorders>
            <w:vAlign w:val="center"/>
          </w:tcPr>
          <w:p w14:paraId="0ADE184A">
            <w:pPr>
              <w:jc w:val="center"/>
              <w:textAlignment w:val="center"/>
              <w:rPr>
                <w:rFonts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台</w:t>
            </w:r>
          </w:p>
        </w:tc>
      </w:tr>
    </w:tbl>
    <w:p w14:paraId="540DA511">
      <w:pPr>
        <w:spacing w:line="360" w:lineRule="auto"/>
        <w:rPr>
          <w:rFonts w:ascii="Times New Roman" w:hAnsi="Times New Roman" w:cs="Times New Roman" w:eastAsiaTheme="majorEastAsia"/>
          <w:color w:val="000000" w:themeColor="text1"/>
          <w:sz w:val="24"/>
          <w:szCs w:val="28"/>
          <w14:textFill>
            <w14:solidFill>
              <w14:schemeClr w14:val="tx1"/>
            </w14:solidFill>
          </w14:textFill>
        </w:rPr>
      </w:pPr>
    </w:p>
    <w:p w14:paraId="3D328E05">
      <w:pPr>
        <w:spacing w:line="360" w:lineRule="auto"/>
        <w:rPr>
          <w:rFonts w:ascii="Times New Roman" w:hAnsi="Times New Roman" w:cs="Times New Roman" w:eastAsiaTheme="majorEastAsia"/>
          <w:color w:val="000000" w:themeColor="text1"/>
          <w:sz w:val="24"/>
          <w:szCs w:val="28"/>
          <w14:textFill>
            <w14:solidFill>
              <w14:schemeClr w14:val="tx1"/>
            </w14:solidFill>
          </w14:textFill>
        </w:rPr>
      </w:pPr>
      <w:r>
        <w:rPr>
          <w:rFonts w:ascii="Times New Roman" w:hAnsi="Times New Roman" w:cs="Times New Roman" w:eastAsiaTheme="majorEastAsia"/>
          <w:color w:val="000000" w:themeColor="text1"/>
          <w:sz w:val="24"/>
          <w:szCs w:val="28"/>
          <w14:textFill>
            <w14:solidFill>
              <w14:schemeClr w14:val="tx1"/>
            </w14:solidFill>
          </w14:textFill>
        </w:rPr>
        <w:t>二、充电</w:t>
      </w:r>
      <w:r>
        <w:rPr>
          <w:rFonts w:hint="eastAsia" w:ascii="Times New Roman" w:hAnsi="Times New Roman" w:cs="Times New Roman" w:eastAsiaTheme="majorEastAsia"/>
          <w:color w:val="000000" w:themeColor="text1"/>
          <w:sz w:val="24"/>
          <w:szCs w:val="28"/>
          <w14:textFill>
            <w14:solidFill>
              <w14:schemeClr w14:val="tx1"/>
            </w14:solidFill>
          </w14:textFill>
        </w:rPr>
        <w:t>机</w:t>
      </w:r>
      <w:r>
        <w:rPr>
          <w:rFonts w:ascii="Times New Roman" w:hAnsi="Times New Roman" w:cs="Times New Roman" w:eastAsiaTheme="majorEastAsia"/>
          <w:color w:val="000000" w:themeColor="text1"/>
          <w:sz w:val="24"/>
          <w:szCs w:val="28"/>
          <w14:textFill>
            <w14:solidFill>
              <w14:schemeClr w14:val="tx1"/>
            </w14:solidFill>
          </w14:textFill>
        </w:rPr>
        <w:t>技术规范</w:t>
      </w:r>
    </w:p>
    <w:p w14:paraId="58E4A282">
      <w:pPr>
        <w:spacing w:before="156" w:beforeLines="50"/>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1 标准和规范</w:t>
      </w:r>
    </w:p>
    <w:p w14:paraId="580F9FDE">
      <w:pPr>
        <w:jc w:val="center"/>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表2供方提供的设备需要满足的主要标准</w:t>
      </w:r>
    </w:p>
    <w:tbl>
      <w:tblPr>
        <w:tblStyle w:val="10"/>
        <w:tblW w:w="89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070"/>
      </w:tblGrid>
      <w:tr w14:paraId="2C65D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852" w:type="dxa"/>
            <w:tcMar>
              <w:left w:w="0" w:type="dxa"/>
              <w:right w:w="0" w:type="dxa"/>
            </w:tcMar>
            <w:vAlign w:val="center"/>
          </w:tcPr>
          <w:p w14:paraId="2483E32A">
            <w:pPr>
              <w:topLinePunct/>
              <w:snapToGrid w:val="0"/>
              <w:spacing w:before="60" w:after="60"/>
              <w:ind w:left="124" w:leftChars="59"/>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标   准   号</w:t>
            </w:r>
          </w:p>
        </w:tc>
        <w:tc>
          <w:tcPr>
            <w:tcW w:w="7070" w:type="dxa"/>
            <w:tcMar>
              <w:left w:w="0" w:type="dxa"/>
              <w:right w:w="0" w:type="dxa"/>
            </w:tcMar>
            <w:vAlign w:val="center"/>
          </w:tcPr>
          <w:p w14:paraId="000E9997">
            <w:pPr>
              <w:topLinePunct/>
              <w:snapToGrid w:val="0"/>
              <w:spacing w:before="60" w:after="60"/>
              <w:ind w:left="124" w:leftChars="59"/>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标  准  名  称</w:t>
            </w:r>
          </w:p>
        </w:tc>
      </w:tr>
      <w:tr w14:paraId="56E41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852" w:type="dxa"/>
            <w:tcMar>
              <w:left w:w="0" w:type="dxa"/>
              <w:right w:w="0" w:type="dxa"/>
            </w:tcMar>
            <w:vAlign w:val="center"/>
          </w:tcPr>
          <w:p w14:paraId="4913285C">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2423.1-2008</w:t>
            </w:r>
          </w:p>
        </w:tc>
        <w:tc>
          <w:tcPr>
            <w:tcW w:w="7070" w:type="dxa"/>
            <w:tcMar>
              <w:left w:w="0" w:type="dxa"/>
              <w:right w:w="0" w:type="dxa"/>
            </w:tcMar>
            <w:vAlign w:val="center"/>
          </w:tcPr>
          <w:p w14:paraId="5796D9F2">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第2部分：试验方法  试验A：低温</w:t>
            </w:r>
          </w:p>
        </w:tc>
      </w:tr>
      <w:tr w14:paraId="14ACD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470BC9FE">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2423.2-2008</w:t>
            </w:r>
          </w:p>
        </w:tc>
        <w:tc>
          <w:tcPr>
            <w:tcW w:w="7070" w:type="dxa"/>
            <w:tcMar>
              <w:left w:w="0" w:type="dxa"/>
              <w:right w:w="0" w:type="dxa"/>
            </w:tcMar>
            <w:vAlign w:val="center"/>
          </w:tcPr>
          <w:p w14:paraId="6D5FA36E">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第2部分：试验方法  试验B：高温</w:t>
            </w:r>
          </w:p>
        </w:tc>
      </w:tr>
      <w:tr w14:paraId="63C04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529822B2">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2423.4-2008</w:t>
            </w:r>
          </w:p>
        </w:tc>
        <w:tc>
          <w:tcPr>
            <w:tcW w:w="7070" w:type="dxa"/>
            <w:tcMar>
              <w:left w:w="0" w:type="dxa"/>
              <w:right w:w="0" w:type="dxa"/>
            </w:tcMar>
            <w:vAlign w:val="center"/>
          </w:tcPr>
          <w:p w14:paraId="1BB4EED0">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第2部分：试验方法  试验Db：交变湿热（12h+12h循环）</w:t>
            </w:r>
          </w:p>
        </w:tc>
      </w:tr>
      <w:tr w14:paraId="2B82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74A4B61">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2423.16-2008</w:t>
            </w:r>
          </w:p>
        </w:tc>
        <w:tc>
          <w:tcPr>
            <w:tcW w:w="7070" w:type="dxa"/>
            <w:tcMar>
              <w:left w:w="0" w:type="dxa"/>
              <w:right w:w="0" w:type="dxa"/>
            </w:tcMar>
            <w:vAlign w:val="center"/>
          </w:tcPr>
          <w:p w14:paraId="61E43A69">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第2部分：试验方法  试验J及导则：长霉</w:t>
            </w:r>
          </w:p>
        </w:tc>
      </w:tr>
      <w:tr w14:paraId="449B6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77274B5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2423.17-2008</w:t>
            </w:r>
          </w:p>
        </w:tc>
        <w:tc>
          <w:tcPr>
            <w:tcW w:w="7070" w:type="dxa"/>
            <w:tcMar>
              <w:left w:w="0" w:type="dxa"/>
              <w:right w:w="0" w:type="dxa"/>
            </w:tcMar>
            <w:vAlign w:val="center"/>
          </w:tcPr>
          <w:p w14:paraId="511924E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第2部分：试验方法  试验Ka：盐雾</w:t>
            </w:r>
          </w:p>
        </w:tc>
      </w:tr>
      <w:tr w14:paraId="6129F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5F1DA726">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2423.55-2006</w:t>
            </w:r>
          </w:p>
        </w:tc>
        <w:tc>
          <w:tcPr>
            <w:tcW w:w="7070" w:type="dxa"/>
            <w:tcMar>
              <w:left w:w="0" w:type="dxa"/>
              <w:right w:w="0" w:type="dxa"/>
            </w:tcMar>
            <w:vAlign w:val="center"/>
          </w:tcPr>
          <w:p w14:paraId="0DBB9627">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电工电子产品环境试验  第2部分：环境测试实验Eh：锤击试验</w:t>
            </w:r>
          </w:p>
        </w:tc>
      </w:tr>
      <w:tr w14:paraId="6D42C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039CEB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4208</w:t>
            </w:r>
          </w:p>
        </w:tc>
        <w:tc>
          <w:tcPr>
            <w:tcW w:w="7070" w:type="dxa"/>
            <w:tcMar>
              <w:left w:w="0" w:type="dxa"/>
              <w:right w:w="0" w:type="dxa"/>
            </w:tcMar>
            <w:vAlign w:val="center"/>
          </w:tcPr>
          <w:p w14:paraId="6D1495E5">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外壳防护等级（IP代码）</w:t>
            </w:r>
          </w:p>
        </w:tc>
      </w:tr>
      <w:tr w14:paraId="2BEF5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0E6E410F">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4797.5-2008</w:t>
            </w:r>
          </w:p>
        </w:tc>
        <w:tc>
          <w:tcPr>
            <w:tcW w:w="7070" w:type="dxa"/>
            <w:tcMar>
              <w:left w:w="0" w:type="dxa"/>
              <w:right w:w="0" w:type="dxa"/>
            </w:tcMar>
            <w:vAlign w:val="center"/>
          </w:tcPr>
          <w:p w14:paraId="3A62EAD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电工电子产品自然环境条件降水和风</w:t>
            </w:r>
          </w:p>
        </w:tc>
      </w:tr>
      <w:tr w14:paraId="540D5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31A2B664">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18487.1-2015</w:t>
            </w:r>
          </w:p>
        </w:tc>
        <w:tc>
          <w:tcPr>
            <w:tcW w:w="7070" w:type="dxa"/>
            <w:tcMar>
              <w:left w:w="0" w:type="dxa"/>
              <w:right w:w="0" w:type="dxa"/>
            </w:tcMar>
            <w:vAlign w:val="center"/>
          </w:tcPr>
          <w:p w14:paraId="7E5E1D0C">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电动汽车传导充电系统 第1部分：一般要求</w:t>
            </w:r>
          </w:p>
        </w:tc>
      </w:tr>
      <w:tr w14:paraId="347FC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3742025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18487.2-2017</w:t>
            </w:r>
          </w:p>
        </w:tc>
        <w:tc>
          <w:tcPr>
            <w:tcW w:w="7070" w:type="dxa"/>
            <w:tcMar>
              <w:left w:w="0" w:type="dxa"/>
              <w:right w:w="0" w:type="dxa"/>
            </w:tcMar>
            <w:vAlign w:val="center"/>
          </w:tcPr>
          <w:p w14:paraId="0D9E2AA9">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电动汽车传导充电系统 第2部分：非车载传导供电设备电磁兼容要求</w:t>
            </w:r>
          </w:p>
        </w:tc>
      </w:tr>
      <w:tr w14:paraId="35C5C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250EA69B">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19596-2017</w:t>
            </w:r>
          </w:p>
        </w:tc>
        <w:tc>
          <w:tcPr>
            <w:tcW w:w="7070" w:type="dxa"/>
            <w:tcMar>
              <w:left w:w="0" w:type="dxa"/>
              <w:right w:w="0" w:type="dxa"/>
            </w:tcMar>
            <w:vAlign w:val="center"/>
          </w:tcPr>
          <w:p w14:paraId="137B89CF">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电动汽车术语</w:t>
            </w:r>
          </w:p>
        </w:tc>
      </w:tr>
      <w:tr w14:paraId="47E59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53BD6450">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20234.1-2015</w:t>
            </w:r>
          </w:p>
        </w:tc>
        <w:tc>
          <w:tcPr>
            <w:tcW w:w="7070" w:type="dxa"/>
            <w:tcMar>
              <w:left w:w="0" w:type="dxa"/>
              <w:right w:w="0" w:type="dxa"/>
            </w:tcMar>
            <w:vAlign w:val="center"/>
          </w:tcPr>
          <w:p w14:paraId="4B2CA97C">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电动汽车传导充电用连接装置 第1部分：通用要求</w:t>
            </w:r>
          </w:p>
        </w:tc>
      </w:tr>
      <w:tr w14:paraId="69BD3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BB5A6D6">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20234.3-2015</w:t>
            </w:r>
          </w:p>
        </w:tc>
        <w:tc>
          <w:tcPr>
            <w:tcW w:w="7070" w:type="dxa"/>
            <w:tcMar>
              <w:left w:w="0" w:type="dxa"/>
              <w:right w:w="0" w:type="dxa"/>
            </w:tcMar>
            <w:vAlign w:val="center"/>
          </w:tcPr>
          <w:p w14:paraId="5B932D92">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电动汽车传导充电用连接装置 第3部分：直流充电接口</w:t>
            </w:r>
          </w:p>
        </w:tc>
      </w:tr>
      <w:tr w14:paraId="2147F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6F66FA38">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27930-2015</w:t>
            </w:r>
          </w:p>
        </w:tc>
        <w:tc>
          <w:tcPr>
            <w:tcW w:w="7070" w:type="dxa"/>
            <w:tcMar>
              <w:left w:w="0" w:type="dxa"/>
              <w:right w:w="0" w:type="dxa"/>
            </w:tcMar>
            <w:vAlign w:val="center"/>
          </w:tcPr>
          <w:p w14:paraId="73F68E15">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电动汽车非车载传导式充电机与电池管理系统之间的通信协议</w:t>
            </w:r>
          </w:p>
        </w:tc>
      </w:tr>
      <w:tr w14:paraId="77114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2C501B3">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29317</w:t>
            </w:r>
          </w:p>
        </w:tc>
        <w:tc>
          <w:tcPr>
            <w:tcW w:w="7070" w:type="dxa"/>
            <w:tcMar>
              <w:left w:w="0" w:type="dxa"/>
              <w:right w:w="0" w:type="dxa"/>
            </w:tcMar>
            <w:vAlign w:val="center"/>
          </w:tcPr>
          <w:p w14:paraId="1DDA0DFA">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电动汽车充换电设施术语</w:t>
            </w:r>
          </w:p>
        </w:tc>
      </w:tr>
      <w:tr w14:paraId="590B6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7826C127">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29318</w:t>
            </w:r>
          </w:p>
        </w:tc>
        <w:tc>
          <w:tcPr>
            <w:tcW w:w="7070" w:type="dxa"/>
            <w:tcMar>
              <w:left w:w="0" w:type="dxa"/>
              <w:right w:w="0" w:type="dxa"/>
            </w:tcMar>
            <w:vAlign w:val="center"/>
          </w:tcPr>
          <w:p w14:paraId="71AC0C11">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电动汽车非车载充电机电能计量</w:t>
            </w:r>
          </w:p>
        </w:tc>
      </w:tr>
      <w:tr w14:paraId="051BC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7D802DAA">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34657.1-2017</w:t>
            </w:r>
          </w:p>
        </w:tc>
        <w:tc>
          <w:tcPr>
            <w:tcW w:w="7070" w:type="dxa"/>
            <w:tcMar>
              <w:left w:w="0" w:type="dxa"/>
              <w:right w:w="0" w:type="dxa"/>
            </w:tcMar>
            <w:vAlign w:val="center"/>
          </w:tcPr>
          <w:p w14:paraId="186C1656">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电动汽车传导充电互操作性测试规范 第1部分：供电设备</w:t>
            </w:r>
          </w:p>
        </w:tc>
      </w:tr>
      <w:tr w14:paraId="61766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25B3045">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GB/T 34658-2017</w:t>
            </w:r>
          </w:p>
        </w:tc>
        <w:tc>
          <w:tcPr>
            <w:tcW w:w="7070" w:type="dxa"/>
            <w:tcMar>
              <w:left w:w="0" w:type="dxa"/>
              <w:right w:w="0" w:type="dxa"/>
            </w:tcMar>
            <w:vAlign w:val="center"/>
          </w:tcPr>
          <w:p w14:paraId="23CA402B">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电动汽车非车载传导式充电机与电池管理系统之间的通信协议一致性测试</w:t>
            </w:r>
          </w:p>
        </w:tc>
      </w:tr>
      <w:tr w14:paraId="2589C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1E83DD46">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JJG 1149-2022</w:t>
            </w:r>
          </w:p>
        </w:tc>
        <w:tc>
          <w:tcPr>
            <w:tcW w:w="7070" w:type="dxa"/>
            <w:tcMar>
              <w:left w:w="0" w:type="dxa"/>
              <w:right w:w="0" w:type="dxa"/>
            </w:tcMar>
            <w:vAlign w:val="center"/>
          </w:tcPr>
          <w:p w14:paraId="0E30CB00">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电动汽车非车载充电机</w:t>
            </w:r>
          </w:p>
        </w:tc>
      </w:tr>
      <w:tr w14:paraId="4EE7D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767999FB">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NB/T 33001-2018</w:t>
            </w:r>
          </w:p>
        </w:tc>
        <w:tc>
          <w:tcPr>
            <w:tcW w:w="7070" w:type="dxa"/>
            <w:tcMar>
              <w:left w:w="0" w:type="dxa"/>
              <w:right w:w="0" w:type="dxa"/>
            </w:tcMar>
            <w:vAlign w:val="center"/>
          </w:tcPr>
          <w:p w14:paraId="60E6D6C3">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电动汽车非车载传导式充电机技术条件</w:t>
            </w:r>
          </w:p>
        </w:tc>
      </w:tr>
      <w:tr w14:paraId="45384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52" w:type="dxa"/>
            <w:tcMar>
              <w:left w:w="0" w:type="dxa"/>
              <w:right w:w="0" w:type="dxa"/>
            </w:tcMar>
            <w:vAlign w:val="center"/>
          </w:tcPr>
          <w:p w14:paraId="67BEB814">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NB/T 33008.1-2018</w:t>
            </w:r>
          </w:p>
        </w:tc>
        <w:tc>
          <w:tcPr>
            <w:tcW w:w="7070" w:type="dxa"/>
            <w:tcMar>
              <w:left w:w="0" w:type="dxa"/>
              <w:right w:w="0" w:type="dxa"/>
            </w:tcMar>
            <w:vAlign w:val="center"/>
          </w:tcPr>
          <w:p w14:paraId="2CF04902">
            <w:pPr>
              <w:topLinePunct/>
              <w:snapToGrid w:val="0"/>
              <w:spacing w:before="60" w:after="60"/>
              <w:ind w:left="124" w:leftChars="59"/>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电动汽车充电设备检验试验规范 第1部分：非车载充电机</w:t>
            </w:r>
          </w:p>
        </w:tc>
      </w:tr>
    </w:tbl>
    <w:p w14:paraId="2BC1C425">
      <w:pPr>
        <w:spacing w:before="156" w:beforeLines="50"/>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 技术要求</w:t>
      </w:r>
    </w:p>
    <w:p w14:paraId="5D8D561F">
      <w:pPr>
        <w:spacing w:before="156" w:beforeLines="50"/>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 技术原则</w:t>
      </w:r>
    </w:p>
    <w:p w14:paraId="17298EBE">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分体式直流充电机由整流柜和充电终端组成</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其中整流柜内部的充电控制器负责</w:t>
      </w:r>
      <w:r>
        <w:rPr>
          <w:rFonts w:ascii="Times New Roman" w:hAnsi="Times New Roman" w:cs="Times New Roman"/>
          <w:color w:val="000000" w:themeColor="text1"/>
          <w14:textFill>
            <w14:solidFill>
              <w14:schemeClr w14:val="tx1"/>
            </w14:solidFill>
          </w14:textFill>
        </w:rPr>
        <w:t>充电模块运行控制</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环境调控</w:t>
      </w:r>
      <w:r>
        <w:rPr>
          <w:rFonts w:hint="eastAsia" w:ascii="Times New Roman" w:hAnsi="Times New Roman" w:cs="Times New Roman"/>
          <w:color w:val="000000" w:themeColor="text1"/>
          <w14:textFill>
            <w14:solidFill>
              <w14:schemeClr w14:val="tx1"/>
            </w14:solidFill>
          </w14:textFill>
        </w:rPr>
        <w:t>、功率投切控制等业务功能，充电终端内部的充电控制器负责</w:t>
      </w:r>
      <w:r>
        <w:rPr>
          <w:rFonts w:ascii="Times New Roman" w:hAnsi="Times New Roman" w:cs="Times New Roman"/>
          <w:color w:val="000000" w:themeColor="text1"/>
          <w14:textFill>
            <w14:solidFill>
              <w14:schemeClr w14:val="tx1"/>
            </w14:solidFill>
          </w14:textFill>
        </w:rPr>
        <w:t>车辆交互、人机交互、平台通信等业务功能的实现。</w:t>
      </w:r>
    </w:p>
    <w:p w14:paraId="495AC38D">
      <w:pPr>
        <w:spacing w:before="156" w:beforeLines="50"/>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 技术参数</w:t>
      </w:r>
    </w:p>
    <w:p w14:paraId="6AB74C6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2.2.1 环境条件</w:t>
      </w:r>
    </w:p>
    <w:p w14:paraId="098D70FE">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环境温度：-20℃</w:t>
      </w:r>
      <w:r>
        <w:rPr>
          <w:rFonts w:ascii="Times New Roman" w:hAnsi="Times New Roman"/>
          <w:color w:val="000000" w:themeColor="text1"/>
          <w14:textFill>
            <w14:solidFill>
              <w14:schemeClr w14:val="tx1"/>
            </w14:solidFill>
          </w14:textFill>
        </w:rPr>
        <w:t>~65</w:t>
      </w:r>
      <w:r>
        <w:rPr>
          <w:rFonts w:cs="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50</w:t>
      </w:r>
      <w:r>
        <w:rPr>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以上降额输出）</w:t>
      </w:r>
      <w:r>
        <w:rPr>
          <w:rFonts w:ascii="Times New Roman" w:hAnsi="Times New Roman" w:cs="Times New Roman"/>
          <w:color w:val="000000" w:themeColor="text1"/>
          <w14:textFill>
            <w14:solidFill>
              <w14:schemeClr w14:val="tx1"/>
            </w14:solidFill>
          </w14:textFill>
        </w:rPr>
        <w:t>；</w:t>
      </w:r>
    </w:p>
    <w:p w14:paraId="6F14EC19">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相对湿度：5％～95％；</w:t>
      </w:r>
    </w:p>
    <w:p w14:paraId="11B87155">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海拔高度：≤2000m；</w:t>
      </w:r>
    </w:p>
    <w:p w14:paraId="259D1C5E">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 大气压强：80kPa～110kPa。</w:t>
      </w:r>
    </w:p>
    <w:p w14:paraId="2753935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2.2.2 电源条件</w:t>
      </w:r>
    </w:p>
    <w:p w14:paraId="43456361">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交流输入电压：380V±15％；</w:t>
      </w:r>
    </w:p>
    <w:p w14:paraId="3B1C1118">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交流电源频率：45</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65Hz。</w:t>
      </w:r>
      <w:r>
        <w:rPr>
          <w:rFonts w:hint="eastAsia" w:ascii="Times New Roman" w:hAnsi="Times New Roman" w:cs="Times New Roman"/>
          <w:color w:val="000000" w:themeColor="text1"/>
          <w14:textFill>
            <w14:solidFill>
              <w14:schemeClr w14:val="tx1"/>
            </w14:solidFill>
          </w14:textFill>
        </w:rPr>
        <w:t>50Hz±1Hz</w:t>
      </w:r>
    </w:p>
    <w:p w14:paraId="0945C1B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 xml:space="preserve">2.2.3 </w:t>
      </w:r>
      <w:r>
        <w:rPr>
          <w:rFonts w:hint="eastAsia" w:ascii="Times New Roman" w:hAnsi="Times New Roman" w:cs="Times New Roman" w:eastAsiaTheme="majorEastAsia"/>
          <w:color w:val="000000" w:themeColor="text1"/>
          <w14:textFill>
            <w14:solidFill>
              <w14:schemeClr w14:val="tx1"/>
            </w14:solidFill>
          </w14:textFill>
        </w:rPr>
        <w:t>整流柜</w:t>
      </w:r>
      <w:r>
        <w:rPr>
          <w:rFonts w:ascii="Times New Roman" w:hAnsi="Times New Roman" w:cs="Times New Roman" w:eastAsiaTheme="majorEastAsia"/>
          <w:color w:val="000000" w:themeColor="text1"/>
          <w14:textFill>
            <w14:solidFill>
              <w14:schemeClr w14:val="tx1"/>
            </w14:solidFill>
          </w14:textFill>
        </w:rPr>
        <w:t>输出电压和额定功率</w:t>
      </w:r>
    </w:p>
    <w:p w14:paraId="6ADDAE4B">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直流输出电压范围：DC 200V～1000V；</w:t>
      </w:r>
    </w:p>
    <w:p w14:paraId="06228608">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恒功率输出电压范围：DC 300V～1000V；</w:t>
      </w:r>
    </w:p>
    <w:p w14:paraId="6C1EC9F2">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额定输出功率：</w:t>
      </w:r>
      <w:r>
        <w:rPr>
          <w:rFonts w:hint="eastAsia" w:ascii="Times New Roman" w:hAnsi="Times New Roman" w:cs="Times New Roman"/>
          <w:color w:val="000000" w:themeColor="text1"/>
          <w14:textFill>
            <w14:solidFill>
              <w14:schemeClr w14:val="tx1"/>
            </w14:solidFill>
          </w14:textFill>
        </w:rPr>
        <w:t>360kW、4</w:t>
      </w:r>
      <w:r>
        <w:rPr>
          <w:rFonts w:ascii="Times New Roman" w:hAnsi="Times New Roman" w:cs="Times New Roman"/>
          <w:color w:val="000000" w:themeColor="text1"/>
          <w14:textFill>
            <w14:solidFill>
              <w14:schemeClr w14:val="tx1"/>
            </w14:solidFill>
          </w14:textFill>
        </w:rPr>
        <w:t>80</w:t>
      </w:r>
      <w:r>
        <w:rPr>
          <w:rFonts w:hint="eastAsia" w:ascii="Times New Roman" w:hAnsi="Times New Roman" w:cs="Times New Roman"/>
          <w:color w:val="000000" w:themeColor="text1"/>
          <w14:textFill>
            <w14:solidFill>
              <w14:schemeClr w14:val="tx1"/>
            </w14:solidFill>
          </w14:textFill>
        </w:rPr>
        <w:t>kW</w:t>
      </w:r>
      <w:r>
        <w:rPr>
          <w:rFonts w:ascii="Times New Roman" w:hAnsi="Times New Roman" w:cs="Times New Roman"/>
          <w:color w:val="000000" w:themeColor="text1"/>
          <w14:textFill>
            <w14:solidFill>
              <w14:schemeClr w14:val="tx1"/>
            </w14:solidFill>
          </w14:textFill>
        </w:rPr>
        <w:t>。</w:t>
      </w:r>
    </w:p>
    <w:p w14:paraId="1155B2CD">
      <w:pPr>
        <w:spacing w:line="360" w:lineRule="auto"/>
        <w:outlineLvl w:val="2"/>
        <w:rPr>
          <w:rFonts w:ascii="Times New Roman" w:hAnsi="Times New Roman" w:eastAsiaTheme="majorEastAsia"/>
          <w:color w:val="000000" w:themeColor="text1"/>
          <w14:textFill>
            <w14:solidFill>
              <w14:schemeClr w14:val="tx1"/>
            </w14:solidFill>
          </w14:textFill>
        </w:rPr>
      </w:pPr>
      <w:r>
        <w:rPr>
          <w:rFonts w:hint="eastAsia" w:ascii="Times New Roman" w:hAnsi="Times New Roman" w:eastAsiaTheme="majorEastAsia"/>
          <w:color w:val="000000" w:themeColor="text1"/>
          <w14:textFill>
            <w14:solidFill>
              <w14:schemeClr w14:val="tx1"/>
            </w14:solidFill>
          </w14:textFill>
        </w:rPr>
        <w:t>2.2.4</w:t>
      </w:r>
      <w:r>
        <w:rPr>
          <w:rFonts w:ascii="Times New Roman" w:hAnsi="Times New Roman" w:eastAsiaTheme="majorEastAsia"/>
          <w:color w:val="000000" w:themeColor="text1"/>
          <w14:textFill>
            <w14:solidFill>
              <w14:schemeClr w14:val="tx1"/>
            </w14:solidFill>
          </w14:textFill>
        </w:rPr>
        <w:t>低压辅助电源</w:t>
      </w:r>
    </w:p>
    <w:p w14:paraId="3461071C">
      <w:pPr>
        <w:snapToGrid w:val="0"/>
        <w:spacing w:before="156" w:beforeLines="50" w:line="360" w:lineRule="auto"/>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充电机应能为电动汽车提供低压辅助电源，低压辅助电源模块应具备过负荷、过压、过温保护功能。</w:t>
      </w:r>
    </w:p>
    <w:p w14:paraId="468430C6">
      <w:pPr>
        <w:numPr>
          <w:ilvl w:val="0"/>
          <w:numId w:val="2"/>
        </w:numPr>
        <w:adjustRightInd w:val="0"/>
        <w:snapToGrid w:val="0"/>
        <w:spacing w:line="360" w:lineRule="auto"/>
        <w:ind w:left="420" w:left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辅助电源电压：</w:t>
      </w:r>
      <w:r>
        <w:rPr>
          <w:rFonts w:hint="eastAsia" w:ascii="Times New Roman" w:hAnsi="Times New Roman"/>
          <w:color w:val="000000" w:themeColor="text1"/>
          <w14:textFill>
            <w14:solidFill>
              <w14:schemeClr w14:val="tx1"/>
            </w14:solidFill>
          </w14:textFill>
        </w:rPr>
        <w:t>12V。</w:t>
      </w:r>
    </w:p>
    <w:p w14:paraId="27E08042">
      <w:pPr>
        <w:adjustRightInd w:val="0"/>
        <w:snapToGrid w:val="0"/>
        <w:spacing w:line="360" w:lineRule="auto"/>
        <w:ind w:left="420" w:leftChars="200"/>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辅助电源额定电流：10A。</w:t>
      </w:r>
    </w:p>
    <w:p w14:paraId="625615A3">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w:t>
      </w:r>
      <w:r>
        <w:rPr>
          <w:rFonts w:hint="eastAsia" w:ascii="Times New Roman" w:hAnsi="Times New Roman" w:cs="Times New Roman" w:eastAsiaTheme="majorEastAsia"/>
          <w:color w:val="000000" w:themeColor="text1"/>
          <w14:textFill>
            <w14:solidFill>
              <w14:schemeClr w14:val="tx1"/>
            </w14:solidFill>
          </w14:textFill>
        </w:rPr>
        <w:t>5</w:t>
      </w:r>
      <w:r>
        <w:rPr>
          <w:rFonts w:ascii="Times New Roman" w:hAnsi="Times New Roman" w:cs="Times New Roman" w:eastAsiaTheme="majorEastAsia"/>
          <w:color w:val="000000" w:themeColor="text1"/>
          <w14:textFill>
            <w14:solidFill>
              <w14:schemeClr w14:val="tx1"/>
            </w14:solidFill>
          </w14:textFill>
        </w:rPr>
        <w:t xml:space="preserve"> 充电模块</w:t>
      </w:r>
    </w:p>
    <w:p w14:paraId="7EE72AD1">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直流输出电压范围为DC 200～1000V；</w:t>
      </w:r>
    </w:p>
    <w:p w14:paraId="30AF240A">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恒功率输出电压范围为DC 300～1000V；</w:t>
      </w:r>
    </w:p>
    <w:p w14:paraId="74841A8E">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hint="eastAsia" w:ascii="Times New Roman" w:hAnsi="Times New Roman" w:cs="Times New Roman"/>
          <w:color w:val="000000" w:themeColor="text1"/>
          <w14:textFill>
            <w14:solidFill>
              <w14:schemeClr w14:val="tx1"/>
            </w14:solidFill>
          </w14:textFill>
        </w:rPr>
        <w:t>恒功率输出范围内无需投切控制；</w:t>
      </w:r>
    </w:p>
    <w:p w14:paraId="5C0BE2BC">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 具备输入输出连接器在位检测功能</w:t>
      </w:r>
      <w:r>
        <w:rPr>
          <w:rFonts w:ascii="Times New Roman" w:hAnsi="Times New Roman" w:cs="Times New Roman"/>
          <w:color w:val="000000" w:themeColor="text1"/>
          <w14:textFill>
            <w14:solidFill>
              <w14:schemeClr w14:val="tx1"/>
            </w14:solidFill>
          </w14:textFill>
        </w:rPr>
        <w:t>；</w:t>
      </w:r>
    </w:p>
    <w:p w14:paraId="7ABDEDFD">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充电模块应内置泄放电路。</w:t>
      </w:r>
    </w:p>
    <w:p w14:paraId="0A7DFF7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w:t>
      </w:r>
      <w:r>
        <w:rPr>
          <w:rFonts w:hint="eastAsia" w:ascii="Times New Roman" w:hAnsi="Times New Roman" w:cs="Times New Roman" w:eastAsiaTheme="majorEastAsia"/>
          <w:color w:val="000000" w:themeColor="text1"/>
          <w14:textFill>
            <w14:solidFill>
              <w14:schemeClr w14:val="tx1"/>
            </w14:solidFill>
          </w14:textFill>
        </w:rPr>
        <w:t>6</w:t>
      </w:r>
      <w:r>
        <w:rPr>
          <w:rFonts w:ascii="Times New Roman" w:hAnsi="Times New Roman" w:cs="Times New Roman" w:eastAsiaTheme="majorEastAsia"/>
          <w:color w:val="000000" w:themeColor="text1"/>
          <w14:textFill>
            <w14:solidFill>
              <w14:schemeClr w14:val="tx1"/>
            </w14:solidFill>
          </w14:textFill>
        </w:rPr>
        <w:t xml:space="preserve"> </w:t>
      </w:r>
      <w:r>
        <w:rPr>
          <w:rFonts w:hint="eastAsia" w:ascii="Times New Roman" w:hAnsi="Times New Roman" w:cs="Times New Roman" w:eastAsiaTheme="majorEastAsia"/>
          <w:color w:val="000000" w:themeColor="text1"/>
          <w14:textFill>
            <w14:solidFill>
              <w14:schemeClr w14:val="tx1"/>
            </w14:solidFill>
          </w14:textFill>
        </w:rPr>
        <w:t>液冷超充终端</w:t>
      </w:r>
    </w:p>
    <w:p w14:paraId="6E6999FE">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直流输出电压范围为DC 200～1000V；</w:t>
      </w:r>
    </w:p>
    <w:p w14:paraId="513F52C4">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hint="eastAsia" w:ascii="Times New Roman" w:hAnsi="Times New Roman" w:cs="Times New Roman"/>
          <w:color w:val="000000" w:themeColor="text1"/>
          <w14:textFill>
            <w14:solidFill>
              <w14:schemeClr w14:val="tx1"/>
            </w14:solidFill>
          </w14:textFill>
        </w:rPr>
        <w:t>充电接口：1个，支持5</w:t>
      </w:r>
      <w:r>
        <w:rPr>
          <w:rFonts w:ascii="Times New Roman" w:hAnsi="Times New Roman" w:cs="Times New Roman"/>
          <w:color w:val="000000" w:themeColor="text1"/>
          <w14:textFill>
            <w14:solidFill>
              <w14:schemeClr w14:val="tx1"/>
            </w14:solidFill>
          </w14:textFill>
        </w:rPr>
        <w:t>00A</w:t>
      </w:r>
      <w:r>
        <w:rPr>
          <w:rFonts w:hint="eastAsia" w:ascii="Times New Roman" w:hAnsi="Times New Roman" w:cs="Times New Roman"/>
          <w:color w:val="000000" w:themeColor="text1"/>
          <w14:textFill>
            <w14:solidFill>
              <w14:schemeClr w14:val="tx1"/>
            </w14:solidFill>
          </w14:textFill>
        </w:rPr>
        <w:t>持续输出，支持6</w:t>
      </w:r>
      <w:r>
        <w:rPr>
          <w:rFonts w:ascii="Times New Roman" w:hAnsi="Times New Roman" w:cs="Times New Roman"/>
          <w:color w:val="000000" w:themeColor="text1"/>
          <w14:textFill>
            <w14:solidFill>
              <w14:schemeClr w14:val="tx1"/>
            </w14:solidFill>
          </w14:textFill>
        </w:rPr>
        <w:t>00A</w:t>
      </w:r>
      <w:r>
        <w:rPr>
          <w:rFonts w:hint="eastAsia" w:ascii="Times New Roman" w:hAnsi="Times New Roman" w:cs="Times New Roman"/>
          <w:color w:val="000000" w:themeColor="text1"/>
          <w14:textFill>
            <w14:solidFill>
              <w14:schemeClr w14:val="tx1"/>
            </w14:solidFill>
          </w14:textFill>
        </w:rPr>
        <w:t>持续</w:t>
      </w:r>
      <w:r>
        <w:rPr>
          <w:rFonts w:ascii="Times New Roman" w:hAnsi="Times New Roman" w:cs="Times New Roman"/>
          <w:color w:val="000000" w:themeColor="text1"/>
          <w14:textFill>
            <w14:solidFill>
              <w14:schemeClr w14:val="tx1"/>
            </w14:solidFill>
          </w14:textFill>
        </w:rPr>
        <w:t>10min</w:t>
      </w:r>
      <w:r>
        <w:rPr>
          <w:rFonts w:hint="eastAsia" w:ascii="Times New Roman" w:hAnsi="Times New Roman" w:cs="Times New Roman"/>
          <w:color w:val="000000" w:themeColor="text1"/>
          <w14:textFill>
            <w14:solidFill>
              <w14:schemeClr w14:val="tx1"/>
            </w14:solidFill>
          </w14:textFill>
        </w:rPr>
        <w:t>输出</w:t>
      </w:r>
      <w:r>
        <w:rPr>
          <w:rFonts w:ascii="Times New Roman" w:hAnsi="Times New Roman" w:cs="Times New Roman"/>
          <w:color w:val="000000" w:themeColor="text1"/>
          <w14:textFill>
            <w14:solidFill>
              <w14:schemeClr w14:val="tx1"/>
            </w14:solidFill>
          </w14:textFill>
        </w:rPr>
        <w:t>；</w:t>
      </w:r>
    </w:p>
    <w:p w14:paraId="55FCDC15">
      <w:pPr>
        <w:adjustRightInd w:val="0"/>
        <w:snapToGrid w:val="0"/>
        <w:spacing w:line="360" w:lineRule="auto"/>
        <w:ind w:left="420" w:left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c) 充电枪长度：外露≥</w:t>
      </w:r>
      <w:r>
        <w:rPr>
          <w:rFonts w:hint="eastAsia" w:ascii="Times New Roman" w:hAnsi="Times New Roman" w:cs="Times New Roman"/>
          <w:color w:val="000000" w:themeColor="text1"/>
          <w:lang w:val="en-US" w:eastAsia="zh-CN"/>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m；</w:t>
      </w:r>
    </w:p>
    <w:p w14:paraId="786D9EAB">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BMS</w:t>
      </w:r>
      <w:r>
        <w:rPr>
          <w:rFonts w:hint="eastAsia" w:ascii="Times New Roman" w:hAnsi="Times New Roman" w:cs="Times New Roman"/>
          <w:color w:val="000000" w:themeColor="text1"/>
          <w14:textFill>
            <w14:solidFill>
              <w14:schemeClr w14:val="tx1"/>
            </w14:solidFill>
          </w14:textFill>
        </w:rPr>
        <w:t>辅助电源电压：1</w:t>
      </w:r>
      <w:r>
        <w:rPr>
          <w:rFonts w:ascii="Times New Roman" w:hAnsi="Times New Roman" w:cs="Times New Roman"/>
          <w:color w:val="000000" w:themeColor="text1"/>
          <w14:textFill>
            <w14:solidFill>
              <w14:schemeClr w14:val="tx1"/>
            </w14:solidFill>
          </w14:textFill>
        </w:rPr>
        <w:t>2V；</w:t>
      </w:r>
    </w:p>
    <w:p w14:paraId="3E4CF3C8">
      <w:pPr>
        <w:adjustRightInd w:val="0"/>
        <w:snapToGrid w:val="0"/>
        <w:spacing w:line="360" w:lineRule="auto"/>
        <w:ind w:left="420" w:leftChars="20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 </w:t>
      </w:r>
      <w:r>
        <w:rPr>
          <w:rFonts w:hint="eastAsia" w:ascii="Times New Roman" w:hAnsi="Times New Roman" w:cs="Times New Roman"/>
          <w:color w:val="000000" w:themeColor="text1"/>
          <w14:textFill>
            <w14:solidFill>
              <w14:schemeClr w14:val="tx1"/>
            </w14:solidFill>
          </w14:textFill>
        </w:rPr>
        <w:t>液冷系统冷却介质：应采用环保、绝缘、高闪点和高燃点的材料。</w:t>
      </w:r>
    </w:p>
    <w:p w14:paraId="1CEB2770">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w:t>
      </w:r>
      <w:r>
        <w:rPr>
          <w:rFonts w:hint="eastAsia" w:ascii="Times New Roman" w:hAnsi="Times New Roman" w:cs="Times New Roman" w:eastAsiaTheme="majorEastAsia"/>
          <w:color w:val="000000" w:themeColor="text1"/>
          <w14:textFill>
            <w14:solidFill>
              <w14:schemeClr w14:val="tx1"/>
            </w14:solidFill>
          </w14:textFill>
        </w:rPr>
        <w:t>7</w:t>
      </w:r>
      <w:r>
        <w:rPr>
          <w:rFonts w:ascii="Times New Roman" w:hAnsi="Times New Roman" w:cs="Times New Roman" w:eastAsiaTheme="majorEastAsia"/>
          <w:color w:val="000000" w:themeColor="text1"/>
          <w14:textFill>
            <w14:solidFill>
              <w14:schemeClr w14:val="tx1"/>
            </w14:solidFill>
          </w14:textFill>
        </w:rPr>
        <w:t xml:space="preserve"> </w:t>
      </w:r>
      <w:r>
        <w:rPr>
          <w:rFonts w:hint="eastAsia" w:ascii="Times New Roman" w:hAnsi="Times New Roman" w:cs="Times New Roman" w:eastAsiaTheme="majorEastAsia"/>
          <w:color w:val="000000" w:themeColor="text1"/>
          <w14:textFill>
            <w14:solidFill>
              <w14:schemeClr w14:val="tx1"/>
            </w14:solidFill>
          </w14:textFill>
        </w:rPr>
        <w:t>快充终端</w:t>
      </w:r>
    </w:p>
    <w:p w14:paraId="4B6FF746">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直流输出电压范围为DC 200～1000V；</w:t>
      </w:r>
    </w:p>
    <w:p w14:paraId="2FBB2D30">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hint="eastAsia" w:ascii="Times New Roman" w:hAnsi="Times New Roman" w:cs="Times New Roman"/>
          <w:color w:val="000000" w:themeColor="text1"/>
          <w14:textFill>
            <w14:solidFill>
              <w14:schemeClr w14:val="tx1"/>
            </w14:solidFill>
          </w14:textFill>
        </w:rPr>
        <w:t>充电接口：</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个，每个接口支持</w:t>
      </w:r>
      <w:r>
        <w:rPr>
          <w:rFonts w:ascii="Times New Roman" w:hAnsi="Times New Roman" w:cs="Times New Roman"/>
          <w:color w:val="000000" w:themeColor="text1"/>
          <w14:textFill>
            <w14:solidFill>
              <w14:schemeClr w14:val="tx1"/>
            </w14:solidFill>
          </w14:textFill>
        </w:rPr>
        <w:t>250A</w:t>
      </w:r>
      <w:r>
        <w:rPr>
          <w:rFonts w:hint="eastAsia" w:ascii="Times New Roman" w:hAnsi="Times New Roman" w:cs="Times New Roman"/>
          <w:color w:val="000000" w:themeColor="text1"/>
          <w14:textFill>
            <w14:solidFill>
              <w14:schemeClr w14:val="tx1"/>
            </w14:solidFill>
          </w14:textFill>
        </w:rPr>
        <w:t>持续输出</w:t>
      </w:r>
      <w:r>
        <w:rPr>
          <w:rFonts w:ascii="Times New Roman" w:hAnsi="Times New Roman" w:cs="Times New Roman"/>
          <w:color w:val="000000" w:themeColor="text1"/>
          <w14:textFill>
            <w14:solidFill>
              <w14:schemeClr w14:val="tx1"/>
            </w14:solidFill>
          </w14:textFill>
        </w:rPr>
        <w:t>；</w:t>
      </w:r>
    </w:p>
    <w:p w14:paraId="784001DE">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充电枪长度：外露≥</w:t>
      </w:r>
      <w:r>
        <w:rPr>
          <w:rFonts w:ascii="Times New Roman" w:hAnsi="Times New Roman" w:cs="Times New Roman"/>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m；</w:t>
      </w:r>
    </w:p>
    <w:p w14:paraId="46336AC1">
      <w:pPr>
        <w:adjustRightInd w:val="0"/>
        <w:snapToGrid w:val="0"/>
        <w:spacing w:line="360" w:lineRule="auto"/>
        <w:ind w:left="420" w:left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BMS</w:t>
      </w:r>
      <w:r>
        <w:rPr>
          <w:rFonts w:hint="eastAsia" w:ascii="Times New Roman" w:hAnsi="Times New Roman" w:cs="Times New Roman"/>
          <w:color w:val="000000" w:themeColor="text1"/>
          <w14:textFill>
            <w14:solidFill>
              <w14:schemeClr w14:val="tx1"/>
            </w14:solidFill>
          </w14:textFill>
        </w:rPr>
        <w:t>辅助电源电压：1</w:t>
      </w:r>
      <w:r>
        <w:rPr>
          <w:rFonts w:ascii="Times New Roman" w:hAnsi="Times New Roman" w:cs="Times New Roman"/>
          <w:color w:val="000000" w:themeColor="text1"/>
          <w14:textFill>
            <w14:solidFill>
              <w14:schemeClr w14:val="tx1"/>
            </w14:solidFill>
          </w14:textFill>
        </w:rPr>
        <w:t>2V；</w:t>
      </w:r>
    </w:p>
    <w:p w14:paraId="5B898D1E">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w:t>
      </w:r>
      <w:r>
        <w:rPr>
          <w:rFonts w:hint="eastAsia" w:ascii="Times New Roman" w:hAnsi="Times New Roman" w:cs="Times New Roman" w:eastAsiaTheme="majorEastAsia"/>
          <w:color w:val="000000" w:themeColor="text1"/>
          <w14:textFill>
            <w14:solidFill>
              <w14:schemeClr w14:val="tx1"/>
            </w14:solidFill>
          </w14:textFill>
        </w:rPr>
        <w:t>8</w:t>
      </w:r>
      <w:r>
        <w:rPr>
          <w:rFonts w:ascii="Times New Roman" w:hAnsi="Times New Roman" w:cs="Times New Roman" w:eastAsiaTheme="majorEastAsia"/>
          <w:color w:val="000000" w:themeColor="text1"/>
          <w14:textFill>
            <w14:solidFill>
              <w14:schemeClr w14:val="tx1"/>
            </w14:solidFill>
          </w14:textFill>
        </w:rPr>
        <w:t xml:space="preserve"> </w:t>
      </w:r>
      <w:r>
        <w:rPr>
          <w:rFonts w:hint="eastAsia" w:ascii="Times New Roman" w:hAnsi="Times New Roman" w:cs="Times New Roman" w:eastAsiaTheme="majorEastAsia"/>
          <w:color w:val="000000" w:themeColor="text1"/>
          <w14:textFill>
            <w14:solidFill>
              <w14:schemeClr w14:val="tx1"/>
            </w14:solidFill>
          </w14:textFill>
        </w:rPr>
        <w:t>功率动态分配</w:t>
      </w:r>
    </w:p>
    <w:p w14:paraId="0597595F">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 充电机具备功率动态分配功能，多枪充电时，可根据用户充电请求、电池充电需求、上级监控平台调控指令，按既定的控制策略动态调整分配至各个充电枪的充电模块数量。任意模块可投切至任意一把枪，实现以单模块为颗粒度进行智能功率投切。</w:t>
      </w:r>
    </w:p>
    <w:p w14:paraId="480FD267">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 功率分配回路投切开关须采用具备高压直流分断能力的高压直流接触器，须提供详细技术方案说明。</w:t>
      </w:r>
    </w:p>
    <w:p w14:paraId="713C224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2.2.</w:t>
      </w:r>
      <w:r>
        <w:rPr>
          <w:rFonts w:hint="eastAsia" w:ascii="Times New Roman" w:hAnsi="Times New Roman" w:cs="Times New Roman" w:eastAsiaTheme="majorEastAsia"/>
          <w:color w:val="000000" w:themeColor="text1"/>
          <w14:textFill>
            <w14:solidFill>
              <w14:schemeClr w14:val="tx1"/>
            </w14:solidFill>
          </w14:textFill>
        </w:rPr>
        <w:t>9</w:t>
      </w:r>
      <w:r>
        <w:rPr>
          <w:rFonts w:ascii="Times New Roman" w:hAnsi="Times New Roman" w:cs="Times New Roman" w:eastAsiaTheme="majorEastAsia"/>
          <w:color w:val="000000" w:themeColor="text1"/>
          <w14:textFill>
            <w14:solidFill>
              <w14:schemeClr w14:val="tx1"/>
            </w14:solidFill>
          </w14:textFill>
        </w:rPr>
        <w:t xml:space="preserve"> </w:t>
      </w:r>
      <w:r>
        <w:rPr>
          <w:rFonts w:hint="eastAsia" w:ascii="Times New Roman" w:hAnsi="Times New Roman" w:cs="Times New Roman" w:eastAsiaTheme="majorEastAsia"/>
          <w:color w:val="000000" w:themeColor="text1"/>
          <w14:textFill>
            <w14:solidFill>
              <w14:schemeClr w14:val="tx1"/>
            </w14:solidFill>
          </w14:textFill>
        </w:rPr>
        <w:t>扩展能力</w:t>
      </w:r>
    </w:p>
    <w:p w14:paraId="7A2F41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Times New Roman" w:hAnsi="Times New Roman" w:cs="Times New Roman" w:eastAsiaTheme="minorEastAsia"/>
          <w:color w:val="000000" w:themeColor="text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600</w:t>
      </w:r>
      <w:r>
        <w:rPr>
          <w:rFonts w:ascii="Times New Roman" w:hAnsi="Times New Roman" w:cs="Times New Roman"/>
          <w:color w:val="000000" w:themeColor="text1"/>
          <w:szCs w:val="21"/>
          <w14:textFill>
            <w14:solidFill>
              <w14:schemeClr w14:val="tx1"/>
            </w14:solidFill>
          </w14:textFill>
        </w:rPr>
        <w:t>kW分体式</w:t>
      </w:r>
      <w:r>
        <w:rPr>
          <w:rFonts w:hint="eastAsia" w:ascii="Times New Roman" w:hAnsi="Times New Roman" w:cs="Times New Roman"/>
          <w:color w:val="000000" w:themeColor="text1"/>
          <w:szCs w:val="21"/>
          <w:lang w:val="en-US" w:eastAsia="zh-CN"/>
          <w14:textFill>
            <w14:solidFill>
              <w14:schemeClr w14:val="tx1"/>
            </w14:solidFill>
          </w14:textFill>
        </w:rPr>
        <w:t>10快</w:t>
      </w:r>
      <w:r>
        <w:rPr>
          <w:rFonts w:ascii="Times New Roman" w:hAnsi="Times New Roman" w:cs="Times New Roman"/>
          <w:color w:val="000000" w:themeColor="text1"/>
          <w:szCs w:val="21"/>
          <w14:textFill>
            <w14:solidFill>
              <w14:schemeClr w14:val="tx1"/>
            </w14:solidFill>
          </w14:textFill>
        </w:rPr>
        <w:t>枪</w:t>
      </w:r>
      <w:r>
        <w:rPr>
          <w:rFonts w:hint="eastAsia" w:ascii="Times New Roman" w:hAnsi="Times New Roman" w:cs="Times New Roman"/>
          <w:color w:val="000000" w:themeColor="text1"/>
          <w:szCs w:val="21"/>
          <w:lang w:val="en-US" w:eastAsia="zh-CN"/>
          <w14:textFill>
            <w14:solidFill>
              <w14:schemeClr w14:val="tx1"/>
            </w14:solidFill>
          </w14:textFill>
        </w:rPr>
        <w:t>1超充枪的</w:t>
      </w:r>
      <w:r>
        <w:rPr>
          <w:rFonts w:ascii="Times New Roman" w:hAnsi="Times New Roman" w:cs="Times New Roman"/>
          <w:color w:val="000000" w:themeColor="text1"/>
          <w:szCs w:val="21"/>
          <w14:textFill>
            <w14:solidFill>
              <w14:schemeClr w14:val="tx1"/>
            </w14:solidFill>
          </w14:textFill>
        </w:rPr>
        <w:t>充电机，应具备横向扩展能力，支持现场扩展至十二枪输出，且无需任何改造，满足直接多引出两台双枪终端</w:t>
      </w:r>
      <w:r>
        <w:rPr>
          <w:rFonts w:hint="eastAsia" w:ascii="Times New Roman" w:hAnsi="Times New Roman" w:cs="Times New Roman"/>
          <w:color w:val="000000" w:themeColor="text1"/>
          <w:szCs w:val="21"/>
          <w:lang w:eastAsia="zh-CN"/>
          <w14:textFill>
            <w14:solidFill>
              <w14:schemeClr w14:val="tx1"/>
            </w14:solidFill>
          </w14:textFill>
        </w:rPr>
        <w:t>。</w:t>
      </w:r>
    </w:p>
    <w:p w14:paraId="4822E5B0">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2.3 基本构成</w:t>
      </w:r>
    </w:p>
    <w:p w14:paraId="60F7F969">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充电机采用</w:t>
      </w:r>
      <w:r>
        <w:rPr>
          <w:rFonts w:hint="eastAsia" w:ascii="Times New Roman" w:hAnsi="Times New Roman" w:cs="Times New Roman"/>
          <w:color w:val="000000" w:themeColor="text1"/>
          <w14:textFill>
            <w14:solidFill>
              <w14:schemeClr w14:val="tx1"/>
            </w14:solidFill>
          </w14:textFill>
        </w:rPr>
        <w:t>分</w:t>
      </w:r>
      <w:r>
        <w:rPr>
          <w:rFonts w:ascii="Times New Roman" w:hAnsi="Times New Roman" w:cs="Times New Roman"/>
          <w:color w:val="000000" w:themeColor="text1"/>
          <w14:textFill>
            <w14:solidFill>
              <w14:schemeClr w14:val="tx1"/>
            </w14:solidFill>
          </w14:textFill>
        </w:rPr>
        <w:t>体式结构型式，</w:t>
      </w:r>
      <w:r>
        <w:rPr>
          <w:rFonts w:hint="eastAsia" w:ascii="Times New Roman" w:hAnsi="Times New Roman" w:cs="Times New Roman"/>
          <w:color w:val="000000" w:themeColor="text1"/>
          <w14:textFill>
            <w14:solidFill>
              <w14:schemeClr w14:val="tx1"/>
            </w14:solidFill>
          </w14:textFill>
        </w:rPr>
        <w:t>由整流柜和充电终端两部分构成，它们之间通过电缆连接组成一套完整的充电机系统。整流柜</w:t>
      </w:r>
      <w:r>
        <w:rPr>
          <w:rFonts w:ascii="Times New Roman" w:hAnsi="Times New Roman" w:cs="Times New Roman"/>
          <w:color w:val="000000" w:themeColor="text1"/>
          <w14:textFill>
            <w14:solidFill>
              <w14:schemeClr w14:val="tx1"/>
            </w14:solidFill>
          </w14:textFill>
        </w:rPr>
        <w:t>基本构成包括：动力电源输入、功率变换单元、</w:t>
      </w:r>
      <w:r>
        <w:rPr>
          <w:rFonts w:hint="eastAsia" w:ascii="Times New Roman" w:hAnsi="Times New Roman" w:cs="Times New Roman"/>
          <w:color w:val="000000" w:themeColor="text1"/>
          <w14:textFill>
            <w14:solidFill>
              <w14:schemeClr w14:val="tx1"/>
            </w14:solidFill>
          </w14:textFill>
        </w:rPr>
        <w:t>功率投切单元、</w:t>
      </w:r>
      <w:r>
        <w:rPr>
          <w:rFonts w:ascii="Times New Roman" w:hAnsi="Times New Roman" w:cs="Times New Roman"/>
          <w:color w:val="000000" w:themeColor="text1"/>
          <w14:textFill>
            <w14:solidFill>
              <w14:schemeClr w14:val="tx1"/>
            </w14:solidFill>
          </w14:textFill>
        </w:rPr>
        <w:t>充电控制单元、控制电源</w:t>
      </w:r>
      <w:r>
        <w:rPr>
          <w:rFonts w:hint="eastAsia" w:ascii="Times New Roman" w:hAnsi="Times New Roman" w:cs="Times New Roman"/>
          <w:color w:val="000000" w:themeColor="text1"/>
          <w14:textFill>
            <w14:solidFill>
              <w14:schemeClr w14:val="tx1"/>
            </w14:solidFill>
          </w14:textFill>
        </w:rPr>
        <w:t>等。充电终端基本构成包括：</w:t>
      </w:r>
      <w:r>
        <w:rPr>
          <w:rFonts w:ascii="Times New Roman" w:hAnsi="Times New Roman" w:cs="Times New Roman"/>
          <w:color w:val="000000" w:themeColor="text1"/>
          <w14:textFill>
            <w14:solidFill>
              <w14:schemeClr w14:val="tx1"/>
            </w14:solidFill>
          </w14:textFill>
        </w:rPr>
        <w:t>输出开关单元、车辆插头、充电控制单元、控制电源、计量单元、人机交互界单元等</w:t>
      </w:r>
      <w:r>
        <w:rPr>
          <w:rFonts w:hint="eastAsia" w:ascii="Times New Roman" w:hAnsi="Times New Roman" w:cs="Times New Roman"/>
          <w:color w:val="000000" w:themeColor="text1"/>
          <w14:textFill>
            <w14:solidFill>
              <w14:schemeClr w14:val="tx1"/>
            </w14:solidFill>
          </w14:textFill>
        </w:rPr>
        <w:t>。多枪可同时输出电流，具备输出功率动态分配功能。</w:t>
      </w:r>
    </w:p>
    <w:p w14:paraId="2963DCE5">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充电终端须配置绕线和挂线结构，避免枪线未使用时发生拖地。</w:t>
      </w:r>
    </w:p>
    <w:p w14:paraId="5D450470">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0" w:name="_Toc411176411"/>
      <w:bookmarkStart w:id="1" w:name="_Toc387646175"/>
      <w:bookmarkStart w:id="2" w:name="_Toc352274278"/>
      <w:bookmarkStart w:id="3" w:name="_Toc35975843"/>
      <w:r>
        <w:rPr>
          <w:rFonts w:ascii="Times New Roman" w:hAnsi="Times New Roman" w:cs="Times New Roman" w:eastAsiaTheme="majorEastAsia"/>
          <w:color w:val="000000" w:themeColor="text1"/>
          <w14:textFill>
            <w14:solidFill>
              <w14:schemeClr w14:val="tx1"/>
            </w14:solidFill>
          </w14:textFill>
        </w:rPr>
        <w:t>2.4 功能要求</w:t>
      </w:r>
      <w:bookmarkEnd w:id="0"/>
      <w:bookmarkEnd w:id="1"/>
      <w:bookmarkEnd w:id="2"/>
      <w:bookmarkEnd w:id="3"/>
    </w:p>
    <w:p w14:paraId="37132509">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2.4.1 充电控制功能</w:t>
      </w:r>
    </w:p>
    <w:p w14:paraId="1E7B4FE5">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VIN码自动识别充电：充电机应具备车辆VIN码识别功能。通过插入充电枪，能够自动识别车辆BMS上传的VIN码，并上传后台进行验证，验证正确，则自动启动充电或遵循后台设置的启动充电时间，自动启动。充电结束后，自动停止或者手动输入停止密码停止；</w:t>
      </w:r>
    </w:p>
    <w:p w14:paraId="2B6250B1">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刷卡充电功能：充电机</w:t>
      </w:r>
      <w:r>
        <w:rPr>
          <w:rFonts w:hint="eastAsia"/>
          <w:color w:val="000000" w:themeColor="text1"/>
          <w14:textFill>
            <w14:solidFill>
              <w14:schemeClr w14:val="tx1"/>
            </w14:solidFill>
          </w14:textFill>
        </w:rPr>
        <w:t>预留</w:t>
      </w:r>
      <w:r>
        <w:rPr>
          <w:color w:val="000000" w:themeColor="text1"/>
          <w14:textFill>
            <w14:solidFill>
              <w14:schemeClr w14:val="tx1"/>
            </w14:solidFill>
          </w14:textFill>
        </w:rPr>
        <w:t>非接触式读卡器</w:t>
      </w:r>
      <w:r>
        <w:rPr>
          <w:rFonts w:hint="eastAsia"/>
          <w:color w:val="000000" w:themeColor="text1"/>
          <w14:textFill>
            <w14:solidFill>
              <w14:schemeClr w14:val="tx1"/>
            </w14:solidFill>
          </w14:textFill>
        </w:rPr>
        <w:t>安装位置</w:t>
      </w:r>
      <w:r>
        <w:rPr>
          <w:color w:val="000000" w:themeColor="text1"/>
          <w14:textFill>
            <w14:solidFill>
              <w14:schemeClr w14:val="tx1"/>
            </w14:solidFill>
          </w14:textFill>
        </w:rPr>
        <w:t>，通过刷卡进行身份识别，提高安全性，并具备刷卡计费功能；</w:t>
      </w:r>
    </w:p>
    <w:p w14:paraId="328AE143">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定时充电功能：充电机应具备设置充电时间的功能，充分利用低谷电价，降低运营成本；</w:t>
      </w:r>
    </w:p>
    <w:p w14:paraId="0DD54BA3">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SOC智能充电功能：充电机应具备设置SOC阈值的功能，充电至阈值时，自动停止充电；</w:t>
      </w:r>
    </w:p>
    <w:p w14:paraId="0AA098AB">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扫码充电功能：充电机应具备通过手机APP、微信小程序或支付宝小程序扫码启动充电的功能；</w:t>
      </w:r>
    </w:p>
    <w:p w14:paraId="15B437FB">
      <w:pPr>
        <w:pStyle w:val="22"/>
        <w:numPr>
          <w:ilvl w:val="0"/>
          <w:numId w:val="3"/>
        </w:numPr>
        <w:adjustRightInd w:val="0"/>
        <w:snapToGrid w:val="0"/>
        <w:spacing w:line="360" w:lineRule="auto"/>
        <w:ind w:left="0" w:firstLine="420"/>
        <w:rPr>
          <w:color w:val="000000" w:themeColor="text1"/>
          <w14:textFill>
            <w14:solidFill>
              <w14:schemeClr w14:val="tx1"/>
            </w14:solidFill>
          </w14:textFill>
        </w:rPr>
      </w:pPr>
      <w:r>
        <w:rPr>
          <w:color w:val="000000" w:themeColor="text1"/>
          <w14:textFill>
            <w14:solidFill>
              <w14:schemeClr w14:val="tx1"/>
            </w14:solidFill>
          </w14:textFill>
        </w:rPr>
        <w:t>密码充电功能：充电机应具备通过触摸屏输入注册账号密码启动充电、停止充电的功能。</w:t>
      </w:r>
    </w:p>
    <w:p w14:paraId="60B6672B">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2.4.2 充电机与上级监控管理系统通信功能</w:t>
      </w:r>
    </w:p>
    <w:p w14:paraId="51C9D492">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充电机可</w:t>
      </w:r>
      <w:r>
        <w:rPr>
          <w:rFonts w:hint="eastAsia" w:ascii="Times New Roman" w:hAnsi="Times New Roman" w:cs="Times New Roman"/>
          <w:color w:val="000000" w:themeColor="text1"/>
          <w14:textFill>
            <w14:solidFill>
              <w14:schemeClr w14:val="tx1"/>
            </w14:solidFill>
          </w14:textFill>
        </w:rPr>
        <w:t>选配</w:t>
      </w:r>
      <w:r>
        <w:rPr>
          <w:rFonts w:ascii="Times New Roman" w:hAnsi="Times New Roman" w:cs="Times New Roman"/>
          <w:color w:val="000000" w:themeColor="text1"/>
          <w14:textFill>
            <w14:solidFill>
              <w14:schemeClr w14:val="tx1"/>
            </w14:solidFill>
          </w14:textFill>
        </w:rPr>
        <w:t>同时支持中国移动、中国联通、中国电信4G的全网通通信模块（不含流量卡），并应支持通过以太网接口和上级监控系统通信。当充电机配置4G通信模块后，能够实现有线网络和无线网络双备份，提升通讯稳定性。</w:t>
      </w:r>
    </w:p>
    <w:p w14:paraId="62C07566">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充电机应在充电终端内实现和上级监控管理系统的组网通讯功能，</w:t>
      </w:r>
      <w:r>
        <w:rPr>
          <w:rFonts w:hint="eastAsia" w:ascii="Times New Roman" w:hAnsi="Times New Roman" w:cs="Times New Roman"/>
          <w:color w:val="000000" w:themeColor="text1"/>
          <w:szCs w:val="21"/>
          <w14:textFill>
            <w14:solidFill>
              <w14:schemeClr w14:val="tx1"/>
            </w14:solidFill>
          </w14:textFill>
        </w:rPr>
        <w:t>选配的</w:t>
      </w:r>
      <w:r>
        <w:rPr>
          <w:rFonts w:ascii="Times New Roman" w:hAnsi="Times New Roman" w:cs="Times New Roman"/>
          <w:color w:val="000000" w:themeColor="text1"/>
          <w:szCs w:val="21"/>
          <w14:textFill>
            <w14:solidFill>
              <w14:schemeClr w14:val="tx1"/>
            </w14:solidFill>
          </w14:textFill>
        </w:rPr>
        <w:t>4G通讯模块应位于充电终端内，单个充电终端通讯模块出故障不能影响其他充电终端的正常通讯。</w:t>
      </w:r>
    </w:p>
    <w:p w14:paraId="62BA761D">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14:paraId="17BBCA2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2.4.3 电子锁掉电自动解锁功能</w:t>
      </w:r>
    </w:p>
    <w:p w14:paraId="6E2A2ED8">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应具备对车辆插头电子锁进行掉电解锁的功能。当交流输入失电时，充电机应能控制电子锁自动解锁，避免锁枪。当充电结束第一次解锁失败后，充电机应能对电子锁止装置进行二次及以上的重复解锁操作。并可通过触摸屏进行手动点击解锁</w:t>
      </w:r>
      <w:r>
        <w:rPr>
          <w:rFonts w:hint="eastAsia" w:ascii="Times New Roman" w:hAnsi="Times New Roman" w:cs="Times New Roman"/>
          <w:color w:val="000000" w:themeColor="text1"/>
          <w:szCs w:val="21"/>
          <w14:textFill>
            <w14:solidFill>
              <w14:schemeClr w14:val="tx1"/>
            </w14:solidFill>
          </w14:textFill>
        </w:rPr>
        <w:t>，须提供详细技术方案说明。</w:t>
      </w:r>
    </w:p>
    <w:p w14:paraId="4297D673">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2.4.4 显示与输入功能</w:t>
      </w:r>
    </w:p>
    <w:p w14:paraId="5B638A53">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充电终端</w:t>
      </w:r>
      <w:r>
        <w:rPr>
          <w:rFonts w:ascii="Times New Roman" w:hAnsi="Times New Roman" w:cs="Times New Roman"/>
          <w:color w:val="000000" w:themeColor="text1"/>
          <w14:textFill>
            <w14:solidFill>
              <w14:schemeClr w14:val="tx1"/>
            </w14:solidFill>
          </w14:textFill>
        </w:rPr>
        <w:t>应配置工业级彩色触摸屏，触摸屏尺寸不小于7吋；</w:t>
      </w:r>
      <w:r>
        <w:rPr>
          <w:rFonts w:ascii="Times New Roman" w:hAnsi="Times New Roman" w:cs="Times New Roman"/>
          <w:bCs/>
          <w:color w:val="000000" w:themeColor="text1"/>
          <w14:textFill>
            <w14:solidFill>
              <w14:schemeClr w14:val="tx1"/>
            </w14:solidFill>
          </w14:textFill>
        </w:rPr>
        <w:t>触摸屏亮度应不小于900nits，显示屏内容在户外阳光直射情况下清晰显示，实际亮度可调；</w:t>
      </w:r>
      <w:r>
        <w:rPr>
          <w:rFonts w:ascii="Times New Roman" w:hAnsi="Times New Roman" w:cs="Times New Roman"/>
          <w:color w:val="000000" w:themeColor="text1"/>
          <w14:textFill>
            <w14:solidFill>
              <w14:schemeClr w14:val="tx1"/>
            </w14:solidFill>
          </w14:textFill>
        </w:rPr>
        <w:t>并配合外壳结构，将触摸屏内凹进机箱，提升充电机的操作体验性及可靠性</w:t>
      </w:r>
      <w:r>
        <w:rPr>
          <w:rFonts w:hint="eastAsia" w:ascii="Times New Roman" w:hAnsi="Times New Roman" w:cs="Times New Roman"/>
          <w:color w:val="000000" w:themeColor="text1"/>
          <w:szCs w:val="21"/>
          <w:highlight w:val="yellow"/>
          <w14:textFill>
            <w14:solidFill>
              <w14:schemeClr w14:val="tx1"/>
            </w14:solidFill>
          </w14:textFill>
        </w:rPr>
        <w:t>。</w:t>
      </w:r>
    </w:p>
    <w:p w14:paraId="769CFBD3">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充电机显示屏应</w:t>
      </w:r>
      <w:r>
        <w:rPr>
          <w:rFonts w:hint="eastAsia" w:ascii="Times New Roman" w:hAnsi="Times New Roman" w:cs="Times New Roman"/>
          <w:color w:val="000000" w:themeColor="text1"/>
          <w14:textFill>
            <w14:solidFill>
              <w14:schemeClr w14:val="tx1"/>
            </w14:solidFill>
          </w14:textFill>
        </w:rPr>
        <w:t>至少</w:t>
      </w:r>
      <w:r>
        <w:rPr>
          <w:rFonts w:ascii="Times New Roman" w:hAnsi="Times New Roman" w:cs="Times New Roman"/>
          <w:color w:val="000000" w:themeColor="text1"/>
          <w14:textFill>
            <w14:solidFill>
              <w14:schemeClr w14:val="tx1"/>
            </w14:solidFill>
          </w14:textFill>
        </w:rPr>
        <w:t>显示下列信息</w:t>
      </w:r>
      <w:r>
        <w:rPr>
          <w:rFonts w:hint="eastAsia" w:ascii="Times New Roman" w:hAnsi="Times New Roman" w:cs="Times New Roman"/>
          <w:color w:val="000000" w:themeColor="text1"/>
          <w:szCs w:val="21"/>
          <w:highlight w:val="yellow"/>
          <w14:textFill>
            <w14:solidFill>
              <w14:schemeClr w14:val="tx1"/>
            </w14:solidFill>
          </w14:textFill>
        </w:rPr>
        <w:t>：</w:t>
      </w:r>
    </w:p>
    <w:p w14:paraId="0608E8D9">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充电二维码</w:t>
      </w:r>
      <w:r>
        <w:rPr>
          <w:rFonts w:hint="eastAsia" w:ascii="Times New Roman" w:hAnsi="Times New Roman" w:cs="Times New Roman"/>
          <w:color w:val="000000" w:themeColor="text1"/>
          <w14:textFill>
            <w14:solidFill>
              <w14:schemeClr w14:val="tx1"/>
            </w14:solidFill>
          </w14:textFill>
        </w:rPr>
        <w:t>；</w:t>
      </w:r>
    </w:p>
    <w:p w14:paraId="1D5B2565">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充电金额、充电电量、充电时间、充电功率、当前费率；</w:t>
      </w:r>
    </w:p>
    <w:p w14:paraId="60DFE267">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电池当前SOC、充电电压、充电电流</w:t>
      </w:r>
      <w:r>
        <w:rPr>
          <w:rFonts w:hint="eastAsia" w:ascii="Times New Roman" w:hAnsi="Times New Roman" w:cs="Times New Roman"/>
          <w:color w:val="000000" w:themeColor="text1"/>
          <w14:textFill>
            <w14:solidFill>
              <w14:schemeClr w14:val="tx1"/>
            </w14:solidFill>
          </w14:textFill>
        </w:rPr>
        <w:t>、电池需求电压、电池需求电流</w:t>
      </w:r>
      <w:r>
        <w:rPr>
          <w:rFonts w:ascii="Times New Roman" w:hAnsi="Times New Roman" w:cs="Times New Roman"/>
          <w:color w:val="000000" w:themeColor="text1"/>
          <w14:textFill>
            <w14:solidFill>
              <w14:schemeClr w14:val="tx1"/>
            </w14:solidFill>
          </w14:textFill>
        </w:rPr>
        <w:t>；</w:t>
      </w:r>
    </w:p>
    <w:p w14:paraId="15AA419C">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充电枪二次解锁按钮；</w:t>
      </w:r>
    </w:p>
    <w:p w14:paraId="4FD5E49F">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充电停止原因及停止详情</w:t>
      </w:r>
      <w:r>
        <w:rPr>
          <w:rFonts w:ascii="Times New Roman" w:hAnsi="Times New Roman" w:cs="Times New Roman"/>
          <w:color w:val="000000" w:themeColor="text1"/>
          <w14:textFill>
            <w14:solidFill>
              <w14:schemeClr w14:val="tx1"/>
            </w14:solidFill>
          </w14:textFill>
        </w:rPr>
        <w:t>；</w:t>
      </w:r>
    </w:p>
    <w:p w14:paraId="6961083F">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2.4.5 计量功能</w:t>
      </w:r>
    </w:p>
    <w:p w14:paraId="37BACFE7">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充电机应具有对每个充电接口输出电能进行计量的功能。充电机计量应满足《JJG 1149-2022电动汽车非车载充电机》要求。充电机内置的计量电表应符合国家计量器具检定相关要求，</w:t>
      </w:r>
      <w:r>
        <w:rPr>
          <w:rFonts w:ascii="Times New Roman" w:hAnsi="Times New Roman" w:cs="Times New Roman"/>
          <w:color w:val="000000" w:themeColor="text1"/>
          <w:szCs w:val="21"/>
          <w14:textFill>
            <w14:solidFill>
              <w14:schemeClr w14:val="tx1"/>
            </w14:solidFill>
          </w14:textFill>
        </w:rPr>
        <w:t>精确度等级1.0级，电量显示至少三位小数；</w:t>
      </w:r>
    </w:p>
    <w:p w14:paraId="3C8E368D">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充电机能够通过监控管理系统或者触摸屏分别设置尖峰平谷各时段的电价和服务费，应不低于10个费率段设置，</w:t>
      </w:r>
      <w:bookmarkStart w:id="4" w:name="_Hlk116658542"/>
      <w:r>
        <w:rPr>
          <w:rFonts w:ascii="Times New Roman" w:hAnsi="Times New Roman" w:cs="Times New Roman"/>
          <w:color w:val="000000" w:themeColor="text1"/>
          <w14:textFill>
            <w14:solidFill>
              <w14:schemeClr w14:val="tx1"/>
            </w14:solidFill>
          </w14:textFill>
        </w:rPr>
        <w:t>提供</w:t>
      </w:r>
      <w:r>
        <w:rPr>
          <w:rFonts w:hint="eastAsia" w:ascii="Times New Roman" w:hAnsi="Times New Roman" w:cs="Times New Roman"/>
          <w:color w:val="000000" w:themeColor="text1"/>
          <w14:textFill>
            <w14:solidFill>
              <w14:schemeClr w14:val="tx1"/>
            </w14:solidFill>
          </w14:textFill>
        </w:rPr>
        <w:t>多张</w:t>
      </w:r>
      <w:bookmarkStart w:id="5" w:name="_Hlk122619463"/>
      <w:r>
        <w:rPr>
          <w:rFonts w:hint="eastAsia" w:ascii="Times New Roman" w:hAnsi="Times New Roman" w:cs="Times New Roman"/>
          <w:color w:val="000000" w:themeColor="text1"/>
          <w14:textFill>
            <w14:solidFill>
              <w14:schemeClr w14:val="tx1"/>
            </w14:solidFill>
          </w14:textFill>
        </w:rPr>
        <w:t>触摸屏</w:t>
      </w:r>
      <w:r>
        <w:rPr>
          <w:rFonts w:ascii="Times New Roman" w:hAnsi="Times New Roman" w:cs="Times New Roman"/>
          <w:color w:val="000000" w:themeColor="text1"/>
          <w14:textFill>
            <w14:solidFill>
              <w14:schemeClr w14:val="tx1"/>
            </w14:solidFill>
          </w14:textFill>
        </w:rPr>
        <w:t>设置</w:t>
      </w:r>
      <w:r>
        <w:rPr>
          <w:rFonts w:hint="eastAsia" w:ascii="Times New Roman" w:hAnsi="Times New Roman" w:cs="Times New Roman"/>
          <w:color w:val="000000" w:themeColor="text1"/>
          <w14:textFill>
            <w14:solidFill>
              <w14:schemeClr w14:val="tx1"/>
            </w14:solidFill>
          </w14:textFill>
        </w:rPr>
        <w:t>界面</w:t>
      </w:r>
      <w:bookmarkEnd w:id="5"/>
      <w:r>
        <w:rPr>
          <w:rFonts w:ascii="Times New Roman" w:hAnsi="Times New Roman" w:cs="Times New Roman"/>
          <w:color w:val="000000" w:themeColor="text1"/>
          <w14:textFill>
            <w14:solidFill>
              <w14:schemeClr w14:val="tx1"/>
            </w14:solidFill>
          </w14:textFill>
        </w:rPr>
        <w:t>截图进行说明。</w:t>
      </w:r>
      <w:bookmarkEnd w:id="4"/>
    </w:p>
    <w:p w14:paraId="6A7A3973">
      <w:pPr>
        <w:adjustRightInd w:val="0"/>
        <w:snapToGrid w:val="0"/>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c</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充电机计量电表应位于充电终端内，准确显示充电终端处的电量值，须提供详细技术方案说明</w:t>
      </w:r>
      <w:r>
        <w:rPr>
          <w:rFonts w:ascii="Times New Roman" w:hAnsi="Times New Roman" w:cs="Times New Roman"/>
          <w:color w:val="000000" w:themeColor="text1"/>
          <w:szCs w:val="21"/>
          <w14:textFill>
            <w14:solidFill>
              <w14:schemeClr w14:val="tx1"/>
            </w14:solidFill>
          </w14:textFill>
        </w:rPr>
        <w:t>。</w:t>
      </w:r>
    </w:p>
    <w:p w14:paraId="36CE48CD">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2.4.6 急停功能</w:t>
      </w:r>
    </w:p>
    <w:p w14:paraId="10A9B0A2">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hint="eastAsia" w:ascii="Times New Roman" w:hAnsi="Times New Roman" w:cs="Times New Roman"/>
          <w:color w:val="000000" w:themeColor="text1"/>
          <w14:textFill>
            <w14:solidFill>
              <w14:schemeClr w14:val="tx1"/>
            </w14:solidFill>
          </w14:textFill>
        </w:rPr>
        <w:t>整流柜和充电终端都</w:t>
      </w:r>
      <w:r>
        <w:rPr>
          <w:rFonts w:ascii="Times New Roman" w:hAnsi="Times New Roman" w:cs="Times New Roman"/>
          <w:color w:val="000000" w:themeColor="text1"/>
          <w14:textFill>
            <w14:solidFill>
              <w14:schemeClr w14:val="tx1"/>
            </w14:solidFill>
          </w14:textFill>
        </w:rPr>
        <w:t>应装设急停保护装置，即在紧急情况下，可从硬件上切断充电回路；当</w:t>
      </w:r>
      <w:r>
        <w:rPr>
          <w:rFonts w:hint="eastAsia" w:ascii="Times New Roman" w:hAnsi="Times New Roman" w:cs="Times New Roman"/>
          <w:color w:val="000000" w:themeColor="text1"/>
          <w14:textFill>
            <w14:solidFill>
              <w14:schemeClr w14:val="tx1"/>
            </w14:solidFill>
          </w14:textFill>
        </w:rPr>
        <w:t>整流柜启动急停装置时，应切断所有充电终端的直流输出。充电终端</w:t>
      </w:r>
      <w:r>
        <w:rPr>
          <w:rFonts w:ascii="Times New Roman" w:hAnsi="Times New Roman" w:cs="Times New Roman"/>
          <w:color w:val="000000" w:themeColor="text1"/>
          <w14:textFill>
            <w14:solidFill>
              <w14:schemeClr w14:val="tx1"/>
            </w14:solidFill>
          </w14:textFill>
        </w:rPr>
        <w:t>启动急停装置时，应</w:t>
      </w:r>
      <w:r>
        <w:rPr>
          <w:rFonts w:hint="eastAsia" w:ascii="Times New Roman" w:hAnsi="Times New Roman" w:cs="Times New Roman"/>
          <w:color w:val="000000" w:themeColor="text1"/>
          <w14:textFill>
            <w14:solidFill>
              <w14:schemeClr w14:val="tx1"/>
            </w14:solidFill>
          </w14:textFill>
        </w:rPr>
        <w:t>切断此充电终端的</w:t>
      </w:r>
      <w:r>
        <w:rPr>
          <w:rFonts w:ascii="Times New Roman" w:hAnsi="Times New Roman" w:cs="Times New Roman"/>
          <w:color w:val="000000" w:themeColor="text1"/>
          <w14:textFill>
            <w14:solidFill>
              <w14:schemeClr w14:val="tx1"/>
            </w14:solidFill>
          </w14:textFill>
        </w:rPr>
        <w:t>直流输出；</w:t>
      </w:r>
    </w:p>
    <w:p w14:paraId="60C81FC1">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 急停装置应装设透明保护罩防止误操作，并内凹进机箱，整体不应凸出机箱外壳</w:t>
      </w:r>
      <w:r>
        <w:rPr>
          <w:rFonts w:ascii="Times New Roman" w:hAnsi="Times New Roman" w:cs="Times New Roman"/>
          <w:color w:val="000000" w:themeColor="text1"/>
          <w:szCs w:val="21"/>
          <w14:textFill>
            <w14:solidFill>
              <w14:schemeClr w14:val="tx1"/>
            </w14:solidFill>
          </w14:textFill>
        </w:rPr>
        <w:t>，须提供详细技术方案说明并加盖公章予以佐证</w:t>
      </w:r>
      <w:r>
        <w:rPr>
          <w:rFonts w:ascii="Times New Roman" w:hAnsi="Times New Roman" w:cs="Times New Roman"/>
          <w:color w:val="000000" w:themeColor="text1"/>
          <w14:textFill>
            <w14:solidFill>
              <w14:schemeClr w14:val="tx1"/>
            </w14:solidFill>
          </w14:textFill>
        </w:rPr>
        <w:t>；</w:t>
      </w:r>
    </w:p>
    <w:p w14:paraId="5CC54972">
      <w:pPr>
        <w:adjustRightInd w:val="0"/>
        <w:snapToGrid w:val="0"/>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充电机急停后应能有效保存设备断电前的状态和计量计费信息。</w:t>
      </w:r>
    </w:p>
    <w:p w14:paraId="7644EA74">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2.4.7 刷卡功能</w:t>
      </w:r>
    </w:p>
    <w:p w14:paraId="3B9DD139">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w:t>
      </w:r>
      <w:r>
        <w:rPr>
          <w:rFonts w:hint="eastAsia" w:ascii="Times New Roman" w:hAnsi="Times New Roman" w:cs="Times New Roman"/>
          <w:color w:val="000000" w:themeColor="text1"/>
          <w14:textFill>
            <w14:solidFill>
              <w14:schemeClr w14:val="tx1"/>
            </w14:solidFill>
          </w14:textFill>
        </w:rPr>
        <w:t>终端应预留</w:t>
      </w:r>
      <w:r>
        <w:rPr>
          <w:rFonts w:ascii="Times New Roman" w:hAnsi="Times New Roman" w:cs="Times New Roman"/>
          <w:color w:val="000000" w:themeColor="text1"/>
          <w14:textFill>
            <w14:solidFill>
              <w14:schemeClr w14:val="tx1"/>
            </w14:solidFill>
          </w14:textFill>
        </w:rPr>
        <w:t>非接触式读卡器安装位置和硬件接口；感应距离不小于4cm，支持ISO14443协议，读卡器应具备RS232接口，能够与充电控制器进行通信。</w:t>
      </w:r>
    </w:p>
    <w:p w14:paraId="1AD55A41">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2.4.8 车辆插头温度监控功能</w:t>
      </w:r>
    </w:p>
    <w:p w14:paraId="110CA281">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充电机应具备对车辆插头正、负极柱进行温度监控的功能。当极柱温度达到95℃时，应降低输出功率；当极柱温度≥95℃且持续时间超过10min，或极柱温度达到110℃时，应停止充电并发出告警信号。</w:t>
      </w:r>
    </w:p>
    <w:p w14:paraId="484065D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2.4.9 风机智能调速功能</w:t>
      </w:r>
    </w:p>
    <w:p w14:paraId="1E8CB846">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充电机整机散热风机应选择直流风机，并具备智能调速功能，可根据环境温度和输出电流大小智能调节转速大小。</w:t>
      </w:r>
    </w:p>
    <w:p w14:paraId="0ACA7649">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2.4.1</w:t>
      </w:r>
      <w:r>
        <w:rPr>
          <w:rFonts w:hint="eastAsia" w:ascii="Times New Roman" w:hAnsi="Times New Roman" w:cs="Times New Roman" w:eastAsiaTheme="majorEastAsia"/>
          <w:color w:val="000000" w:themeColor="text1"/>
          <w14:textFill>
            <w14:solidFill>
              <w14:schemeClr w14:val="tx1"/>
            </w14:solidFill>
          </w14:textFill>
        </w:rPr>
        <w:t>0</w:t>
      </w:r>
      <w:r>
        <w:rPr>
          <w:rFonts w:ascii="Times New Roman" w:hAnsi="Times New Roman" w:cs="Times New Roman" w:eastAsiaTheme="majorEastAsia"/>
          <w:color w:val="000000" w:themeColor="text1"/>
          <w14:textFill>
            <w14:solidFill>
              <w14:schemeClr w14:val="tx1"/>
            </w14:solidFill>
          </w14:textFill>
        </w:rPr>
        <w:t xml:space="preserve"> 故障录波功能</w:t>
      </w:r>
    </w:p>
    <w:p w14:paraId="7C090AA6">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应具备故障录波功能，在充电过程中，当出现疑似故障特征或实际故障发生后，应记录故障前后电池、充电机的关键信息（电压、电流、SOC、温度、单体电池信息、通讯报文等），并进行本地存储并同时上传至监控后台，实现本地和远程双存储备份。</w:t>
      </w:r>
    </w:p>
    <w:p w14:paraId="684F4153">
      <w:pPr>
        <w:spacing w:line="360" w:lineRule="auto"/>
        <w:rPr>
          <w:rFonts w:ascii="Times New Roman" w:hAnsi="Times New Roman" w:cs="Times New Roman" w:eastAsiaTheme="majorEastAsia"/>
          <w:color w:val="000000" w:themeColor="text1"/>
          <w14:textFill>
            <w14:solidFill>
              <w14:schemeClr w14:val="tx1"/>
            </w14:solidFill>
          </w14:textFill>
        </w:rPr>
      </w:pPr>
      <w:bookmarkStart w:id="6" w:name="_Toc352274279"/>
      <w:r>
        <w:rPr>
          <w:rFonts w:ascii="Times New Roman" w:hAnsi="Times New Roman" w:cs="Times New Roman" w:eastAsiaTheme="majorEastAsia"/>
          <w:color w:val="000000" w:themeColor="text1"/>
          <w14:textFill>
            <w14:solidFill>
              <w14:schemeClr w14:val="tx1"/>
            </w14:solidFill>
          </w14:textFill>
        </w:rPr>
        <w:t>2.4.11 保护功能</w:t>
      </w:r>
    </w:p>
    <w:p w14:paraId="30BFF661">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充电机应具备电源输入侧的过压保护、欠压保护。</w:t>
      </w:r>
    </w:p>
    <w:p w14:paraId="744744D2">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充电机应具备输出过压保护。</w:t>
      </w:r>
    </w:p>
    <w:p w14:paraId="28924733">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充电机应能够提供车辆侧供电回路及电缆的短路电流保护，短路保护设备的I²t值不应超过500000 A²s。</w:t>
      </w:r>
    </w:p>
    <w:p w14:paraId="4617D742">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充电机应具备过温保护，当内部温度达到保护阈值时，采取降功率或停止输出。</w:t>
      </w:r>
    </w:p>
    <w:p w14:paraId="5AB951AA">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充电机应具备开门保护，当充电机门打开造成带电部分露出时，充电机应切断充电回路。</w:t>
      </w:r>
    </w:p>
    <w:p w14:paraId="0482A909">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充电过程中当发生下列情况时，充电机应能在100 ms内断开直流输出：</w:t>
      </w:r>
    </w:p>
    <w:p w14:paraId="1EBC7B16">
      <w:pPr>
        <w:pStyle w:val="3"/>
        <w:tabs>
          <w:tab w:val="left" w:pos="1134"/>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——充电机启动急停装置；</w:t>
      </w:r>
    </w:p>
    <w:p w14:paraId="057EFC04">
      <w:pPr>
        <w:pStyle w:val="3"/>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——充电机与电动汽车间的保护接地线断开；</w:t>
      </w:r>
    </w:p>
    <w:p w14:paraId="2A3A9B64">
      <w:pPr>
        <w:pStyle w:val="3"/>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——充电机与电动汽车间的连接检测信号线断开。</w:t>
      </w:r>
    </w:p>
    <w:p w14:paraId="02007C1B">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充电机应具备限制输入电流过冲的能力，开机或启动充电时产生的输入电流过冲不应大于额定输入电流峰值的10％。</w:t>
      </w:r>
    </w:p>
    <w:p w14:paraId="50A6C956">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充电机直流输出接触器接通时，或者动态功率分配充电模块接入时，发生的车辆到充电设备或充电设备到车辆的冲击电流（峰值）应控制在20A以下。</w:t>
      </w:r>
    </w:p>
    <w:p w14:paraId="59146A43">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在启动充电阶段车辆侧接触器闭合后，充电机应对车辆电池电压进行检测，当出现下列情况时，充电机应停止启动过程，并发出告警信息：</w:t>
      </w:r>
    </w:p>
    <w:p w14:paraId="0A3CB7C1">
      <w:pPr>
        <w:pStyle w:val="3"/>
        <w:tabs>
          <w:tab w:val="left" w:pos="1134"/>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——蓄电池反接；</w:t>
      </w:r>
    </w:p>
    <w:p w14:paraId="557D3EF7">
      <w:pPr>
        <w:pStyle w:val="3"/>
        <w:tabs>
          <w:tab w:val="left" w:pos="1134"/>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——检测电压与通信报文电池电压之差的绝对值大于通信报文电池电压的5 ％；</w:t>
      </w:r>
    </w:p>
    <w:p w14:paraId="7DB50E49">
      <w:pPr>
        <w:pStyle w:val="3"/>
        <w:tabs>
          <w:tab w:val="left" w:pos="1134"/>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——检测电压小于充电机的最低输出电压或大于充电机的额定输出电压。</w:t>
      </w:r>
    </w:p>
    <w:p w14:paraId="0840EEDA">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具备对电动汽车动力蓄电池二重保护功能，在充电过程中，当检测到输出电压大于车辆最高允许充电总电压，或电流响应结束后检测到输出电流大于车辆当前需求电流的，充电机应在1s内断开直流输出，并发出告警信息。</w:t>
      </w:r>
    </w:p>
    <w:p w14:paraId="6CB20DEC">
      <w:pPr>
        <w:pStyle w:val="3"/>
        <w:tabs>
          <w:tab w:val="left" w:pos="993"/>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注：充电机检测的输出电压或输出电流应考虑稳压精度或稳流精度范围加测量误差。</w:t>
      </w:r>
    </w:p>
    <w:p w14:paraId="3F30414F">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充电机充电回路应具备防逆流功能（如输出加二极管等），防止蓄电池电流倒灌。</w:t>
      </w:r>
    </w:p>
    <w:p w14:paraId="04941D22">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充电机应在启动充电前进行供电回路直流接触器触点粘连检测，也可以在直流接触器断开后进行触点粘连检测。当检测到任何一个直流接触器的主触点出现粘连情况时，充电机不应启动充电，并发出告警信息。</w:t>
      </w:r>
    </w:p>
    <w:p w14:paraId="05A283AB">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充电机在充电过程中，当检测到与电动汽车BMS或车辆控制器发生通信中断时，充电机应停止充电，并发出告警信息。</w:t>
      </w:r>
    </w:p>
    <w:p w14:paraId="644AC344">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充电机应在充电握手阶段判断电池管理系统BHM报文中的最高允许充电总电压值，当检测到该值小于充电机最低输出电压时，应停止绝缘监测进程，并发出告警信息。</w:t>
      </w:r>
    </w:p>
    <w:p w14:paraId="5280BEFF">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充电机应在充电阶段实时判断电池管理系统BCL报文中的电压需求和电流需求值，当检测到该值大于车辆最高允许充电总电压或最高允许充电电流时，充电机应停止充电，并发出告警信息。</w:t>
      </w:r>
    </w:p>
    <w:p w14:paraId="124BCA10">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充电机的雷电防护应符合GB/T 18487.1－2015中11.7条的规定。</w:t>
      </w:r>
    </w:p>
    <w:p w14:paraId="172E7F32">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在充电过程中，应能判断电池管理系统传递的数据（当前荷电状态/电池总电压/电池充电电流/单体电池最大电压/单体电池最高温度），当这些数据维持不变超过可设定的时间（触摸屏可设置），充电机应停止充电。</w:t>
      </w:r>
    </w:p>
    <w:p w14:paraId="3483CC75">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充电机在充电过程中，判断电池管理系统BSM报文“最高动力蓄电池温度”高于BCP报文“最高允许温度”持续1s或者BMT报文“动力蓄电池温度”高于BCP报文“最高允许温度”持续1s，充电机应停止充电。</w:t>
      </w:r>
    </w:p>
    <w:p w14:paraId="3D5E2D1D">
      <w:pPr>
        <w:pStyle w:val="3"/>
        <w:numPr>
          <w:ilvl w:val="0"/>
          <w:numId w:val="4"/>
        </w:numPr>
        <w:tabs>
          <w:tab w:val="left" w:pos="993"/>
        </w:tabs>
        <w:spacing w:line="360" w:lineRule="auto"/>
        <w:ind w:left="0" w:firstLine="42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在充电过程中，判断电池管理系统BCS报文“最高单体动力蓄电池电压”高于BCP报文“单体动力蓄电池最高允许充电电压”持续1s或者BMV报文“单体动力蓄电池电压”高于BCP报文“单体动力蓄电池最高允许充电电压”持续1s，充电机应停止充电。</w:t>
      </w:r>
    </w:p>
    <w:p w14:paraId="6A921742">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7" w:name="_Toc35975844"/>
      <w:bookmarkStart w:id="8" w:name="_Toc411176412"/>
      <w:bookmarkStart w:id="9" w:name="_Toc387646176"/>
      <w:r>
        <w:rPr>
          <w:rFonts w:ascii="Times New Roman" w:hAnsi="Times New Roman" w:cs="Times New Roman" w:eastAsiaTheme="majorEastAsia"/>
          <w:color w:val="000000" w:themeColor="text1"/>
          <w14:textFill>
            <w14:solidFill>
              <w14:schemeClr w14:val="tx1"/>
            </w14:solidFill>
          </w14:textFill>
        </w:rPr>
        <w:t>2.5 环境适应要求</w:t>
      </w:r>
      <w:bookmarkEnd w:id="7"/>
      <w:bookmarkEnd w:id="8"/>
      <w:bookmarkEnd w:id="9"/>
    </w:p>
    <w:p w14:paraId="375F90BC">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2.5.1 防护等级</w:t>
      </w:r>
    </w:p>
    <w:p w14:paraId="33FD9F74">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充电机外壳防护等级不应低于GB/T 4208中规定户外IP54防护等级。</w:t>
      </w:r>
    </w:p>
    <w:p w14:paraId="718E86C3">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2.5.2 三防（防潮湿，防霉变，防盐雾）保护</w:t>
      </w:r>
    </w:p>
    <w:p w14:paraId="3E1B2FDF">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bookmarkStart w:id="10" w:name="_Hlk116582694"/>
      <w:r>
        <w:rPr>
          <w:rFonts w:hint="eastAsia" w:ascii="Times New Roman" w:hAnsi="Times New Roman" w:cs="Times New Roman"/>
          <w:color w:val="000000" w:themeColor="text1"/>
          <w14:textFill>
            <w14:solidFill>
              <w14:schemeClr w14:val="tx1"/>
            </w14:solidFill>
          </w14:textFill>
        </w:rPr>
        <w:t>充电机及充电模块内的印刷线路板、接插件等部件应进行防潮湿、防霉变、防盐雾处理，能够适用于高温度、高湿度、高盐雾的环境</w:t>
      </w:r>
      <w:r>
        <w:rPr>
          <w:rFonts w:ascii="Times New Roman" w:hAnsi="Times New Roman" w:cs="Times New Roman"/>
          <w:color w:val="000000" w:themeColor="text1"/>
          <w14:textFill>
            <w14:solidFill>
              <w14:schemeClr w14:val="tx1"/>
            </w14:solidFill>
          </w14:textFill>
        </w:rPr>
        <w:t>。</w:t>
      </w:r>
    </w:p>
    <w:bookmarkEnd w:id="10"/>
    <w:p w14:paraId="1F27D31F">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2.5.3 防锈(防氧化)保护</w:t>
      </w:r>
    </w:p>
    <w:p w14:paraId="2BC5E978">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充电机铁质外壳和暴露的铁质支架、零件应采用双层防锈措施，内部的安装钣金件应采用覆铝锌板材质。</w:t>
      </w:r>
    </w:p>
    <w:p w14:paraId="2A62D43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2.5.4 防风保护</w:t>
      </w:r>
    </w:p>
    <w:p w14:paraId="3E8F058A">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充电机应能承受GB/T 4797.5-2008中规定的不同地区最大风速的侵袭。</w:t>
      </w:r>
    </w:p>
    <w:p w14:paraId="6DB7A3AF">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2.5.5 防盗保护</w:t>
      </w:r>
    </w:p>
    <w:p w14:paraId="2158418C">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户外型充电机应具有防盗措施，如防盗锁、防盗螺钉等。</w:t>
      </w:r>
    </w:p>
    <w:p w14:paraId="7E1A6E2D">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11" w:name="_Toc35975845"/>
      <w:r>
        <w:rPr>
          <w:rFonts w:ascii="Times New Roman" w:hAnsi="Times New Roman" w:cs="Times New Roman" w:eastAsiaTheme="majorEastAsia"/>
          <w:color w:val="000000" w:themeColor="text1"/>
          <w14:textFill>
            <w14:solidFill>
              <w14:schemeClr w14:val="tx1"/>
            </w14:solidFill>
          </w14:textFill>
        </w:rPr>
        <w:t>2.6 内部温升要求</w:t>
      </w:r>
      <w:bookmarkEnd w:id="11"/>
    </w:p>
    <w:p w14:paraId="1C86DCE7">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动力电源输入电流所流经的回路，如接线端子、输入断路器、输入接触器等；功率变换单元及其内部元器件、输入输出端子；直流输出电流所流经的回路，如接线端子、直流熔断器、直流接触器、功率电阻、电流采样分流器、车辆插头等。这些发热元器件及部件的最高温度小于等于元器件及部件最大耐受温度的90％，且不应影响周围元器件的正常工作和无元器件损坏。</w:t>
      </w:r>
    </w:p>
    <w:p w14:paraId="3435967F">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在正常试验条件下，输入为额定值，充电机在最大输出电流下长期运行，内部各发热元器件及各部位连接端子处的温升不应大于表3的规定。</w:t>
      </w:r>
    </w:p>
    <w:p w14:paraId="260CBA24">
      <w:pPr>
        <w:jc w:val="center"/>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表3 充电机内部温升</w:t>
      </w:r>
    </w:p>
    <w:tbl>
      <w:tblPr>
        <w:tblStyle w:val="10"/>
        <w:tblW w:w="6885" w:type="dxa"/>
        <w:jc w:val="center"/>
        <w:tblLayout w:type="fixed"/>
        <w:tblCellMar>
          <w:top w:w="0" w:type="dxa"/>
          <w:left w:w="108" w:type="dxa"/>
          <w:bottom w:w="0" w:type="dxa"/>
          <w:right w:w="108" w:type="dxa"/>
        </w:tblCellMar>
      </w:tblPr>
      <w:tblGrid>
        <w:gridCol w:w="4050"/>
        <w:gridCol w:w="2835"/>
      </w:tblGrid>
      <w:tr w14:paraId="79EB81FD">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5956B38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内部测试点</w:t>
            </w:r>
          </w:p>
        </w:tc>
        <w:tc>
          <w:tcPr>
            <w:tcW w:w="2835" w:type="dxa"/>
            <w:tcBorders>
              <w:top w:val="single" w:color="000000" w:sz="8" w:space="0"/>
              <w:left w:val="single" w:color="000000" w:sz="8" w:space="0"/>
              <w:bottom w:val="single" w:color="000000" w:sz="8" w:space="0"/>
              <w:right w:val="single" w:color="auto" w:sz="4" w:space="0"/>
            </w:tcBorders>
            <w:vAlign w:val="center"/>
          </w:tcPr>
          <w:p w14:paraId="2B0851ED">
            <w:pPr>
              <w:widowControl/>
              <w:spacing w:line="24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极限温升</w:t>
            </w:r>
          </w:p>
          <w:p w14:paraId="4883CE2D">
            <w:pPr>
              <w:widowControl/>
              <w:spacing w:line="24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K</w:t>
            </w:r>
          </w:p>
        </w:tc>
      </w:tr>
      <w:tr w14:paraId="7E71AC9F">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5A05E98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动力电源输入端子</w:t>
            </w:r>
          </w:p>
        </w:tc>
        <w:tc>
          <w:tcPr>
            <w:tcW w:w="2835" w:type="dxa"/>
            <w:tcBorders>
              <w:top w:val="single" w:color="000000" w:sz="8" w:space="0"/>
              <w:left w:val="single" w:color="000000" w:sz="8" w:space="0"/>
              <w:bottom w:val="single" w:color="000000" w:sz="8" w:space="0"/>
              <w:right w:val="single" w:color="auto" w:sz="4" w:space="0"/>
            </w:tcBorders>
            <w:vAlign w:val="center"/>
          </w:tcPr>
          <w:p w14:paraId="16BBF522">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r>
      <w:tr w14:paraId="37A378C7">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21E160AC">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输入断路器、接触器接线端子</w:t>
            </w:r>
          </w:p>
        </w:tc>
        <w:tc>
          <w:tcPr>
            <w:tcW w:w="2835" w:type="dxa"/>
            <w:tcBorders>
              <w:top w:val="single" w:color="000000" w:sz="8" w:space="0"/>
              <w:left w:val="single" w:color="000000" w:sz="8" w:space="0"/>
              <w:bottom w:val="single" w:color="000000" w:sz="8" w:space="0"/>
              <w:right w:val="single" w:color="auto" w:sz="4" w:space="0"/>
            </w:tcBorders>
            <w:vAlign w:val="center"/>
          </w:tcPr>
          <w:p w14:paraId="01D323C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r>
      <w:tr w14:paraId="7E4084E7">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1AC38812">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充电模块输入输出连接端子</w:t>
            </w:r>
          </w:p>
        </w:tc>
        <w:tc>
          <w:tcPr>
            <w:tcW w:w="2835" w:type="dxa"/>
            <w:tcBorders>
              <w:top w:val="single" w:color="000000" w:sz="8" w:space="0"/>
              <w:left w:val="single" w:color="000000" w:sz="8" w:space="0"/>
              <w:bottom w:val="single" w:color="000000" w:sz="8" w:space="0"/>
              <w:right w:val="single" w:color="auto" w:sz="4" w:space="0"/>
            </w:tcBorders>
            <w:vAlign w:val="center"/>
          </w:tcPr>
          <w:p w14:paraId="4462D6D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r>
      <w:tr w14:paraId="685A3FBF">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36E4513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功率电阻</w:t>
            </w:r>
          </w:p>
        </w:tc>
        <w:tc>
          <w:tcPr>
            <w:tcW w:w="2835" w:type="dxa"/>
            <w:tcBorders>
              <w:top w:val="single" w:color="000000" w:sz="8" w:space="0"/>
              <w:left w:val="single" w:color="000000" w:sz="8" w:space="0"/>
              <w:bottom w:val="single" w:color="000000" w:sz="8" w:space="0"/>
              <w:right w:val="single" w:color="auto" w:sz="4" w:space="0"/>
            </w:tcBorders>
            <w:vAlign w:val="center"/>
          </w:tcPr>
          <w:p w14:paraId="0A5F4D33">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25（距外表30 mm处空间）</w:t>
            </w:r>
          </w:p>
        </w:tc>
      </w:tr>
      <w:tr w14:paraId="72FD4D24">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38B3E9F8">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电流采样分流器端子连接处</w:t>
            </w:r>
          </w:p>
        </w:tc>
        <w:tc>
          <w:tcPr>
            <w:tcW w:w="2835" w:type="dxa"/>
            <w:tcBorders>
              <w:top w:val="single" w:color="000000" w:sz="8" w:space="0"/>
              <w:left w:val="single" w:color="000000" w:sz="8" w:space="0"/>
              <w:bottom w:val="single" w:color="000000" w:sz="8" w:space="0"/>
              <w:right w:val="single" w:color="auto" w:sz="4" w:space="0"/>
            </w:tcBorders>
            <w:vAlign w:val="center"/>
          </w:tcPr>
          <w:p w14:paraId="2AEE4BD4">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70</w:t>
            </w:r>
          </w:p>
        </w:tc>
      </w:tr>
      <w:tr w14:paraId="0D970E41">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1B9A2D89">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熔断器端子连接处</w:t>
            </w:r>
          </w:p>
        </w:tc>
        <w:tc>
          <w:tcPr>
            <w:tcW w:w="2835" w:type="dxa"/>
            <w:tcBorders>
              <w:top w:val="single" w:color="000000" w:sz="8" w:space="0"/>
              <w:left w:val="single" w:color="000000" w:sz="8" w:space="0"/>
              <w:bottom w:val="single" w:color="000000" w:sz="8" w:space="0"/>
              <w:right w:val="single" w:color="auto" w:sz="4" w:space="0"/>
            </w:tcBorders>
            <w:vAlign w:val="center"/>
          </w:tcPr>
          <w:p w14:paraId="1B4DBA2F">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70</w:t>
            </w:r>
          </w:p>
        </w:tc>
      </w:tr>
      <w:tr w14:paraId="7C56169D">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294FF591">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直流接触器外壳与极柱</w:t>
            </w:r>
          </w:p>
        </w:tc>
        <w:tc>
          <w:tcPr>
            <w:tcW w:w="2835" w:type="dxa"/>
            <w:tcBorders>
              <w:top w:val="single" w:color="000000" w:sz="8" w:space="0"/>
              <w:left w:val="single" w:color="000000" w:sz="8" w:space="0"/>
              <w:bottom w:val="single" w:color="000000" w:sz="8" w:space="0"/>
              <w:right w:val="single" w:color="auto" w:sz="4" w:space="0"/>
            </w:tcBorders>
            <w:vAlign w:val="center"/>
          </w:tcPr>
          <w:p w14:paraId="62543D8A">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r>
      <w:tr w14:paraId="7E868A9B">
        <w:tblPrEx>
          <w:tblCellMar>
            <w:top w:w="0" w:type="dxa"/>
            <w:left w:w="108" w:type="dxa"/>
            <w:bottom w:w="0" w:type="dxa"/>
            <w:right w:w="108" w:type="dxa"/>
          </w:tblCellMar>
        </w:tblPrEx>
        <w:trPr>
          <w:trHeight w:val="340" w:hRule="atLeast"/>
          <w:jc w:val="center"/>
        </w:trPr>
        <w:tc>
          <w:tcPr>
            <w:tcW w:w="4050" w:type="dxa"/>
            <w:tcBorders>
              <w:top w:val="single" w:color="000000" w:sz="8" w:space="0"/>
              <w:left w:val="single" w:color="000000" w:sz="8" w:space="0"/>
              <w:bottom w:val="single" w:color="000000" w:sz="8" w:space="0"/>
              <w:right w:val="single" w:color="000000" w:sz="8" w:space="0"/>
            </w:tcBorders>
            <w:vAlign w:val="center"/>
          </w:tcPr>
          <w:p w14:paraId="56CB82E6">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直流输出接线端子</w:t>
            </w:r>
          </w:p>
        </w:tc>
        <w:tc>
          <w:tcPr>
            <w:tcW w:w="2835" w:type="dxa"/>
            <w:tcBorders>
              <w:top w:val="single" w:color="000000" w:sz="8" w:space="0"/>
              <w:left w:val="single" w:color="000000" w:sz="8" w:space="0"/>
              <w:bottom w:val="single" w:color="000000" w:sz="8" w:space="0"/>
              <w:right w:val="single" w:color="auto" w:sz="4" w:space="0"/>
            </w:tcBorders>
            <w:vAlign w:val="center"/>
          </w:tcPr>
          <w:p w14:paraId="77206D90">
            <w:pPr>
              <w:autoSpaceDE w:val="0"/>
              <w:autoSpaceDN w:val="0"/>
              <w:adjustRightInd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p>
        </w:tc>
      </w:tr>
    </w:tbl>
    <w:p w14:paraId="46934C68">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12" w:name="_Toc35975846"/>
      <w:bookmarkStart w:id="13" w:name="_Toc387646177"/>
      <w:bookmarkStart w:id="14" w:name="_Toc411176413"/>
      <w:r>
        <w:rPr>
          <w:rFonts w:ascii="Times New Roman" w:hAnsi="Times New Roman" w:cs="Times New Roman" w:eastAsiaTheme="majorEastAsia"/>
          <w:color w:val="000000" w:themeColor="text1"/>
          <w14:textFill>
            <w14:solidFill>
              <w14:schemeClr w14:val="tx1"/>
            </w14:solidFill>
          </w14:textFill>
        </w:rPr>
        <w:t>2.7 安全要求</w:t>
      </w:r>
      <w:bookmarkEnd w:id="6"/>
      <w:bookmarkEnd w:id="12"/>
      <w:bookmarkEnd w:id="13"/>
      <w:bookmarkEnd w:id="14"/>
    </w:p>
    <w:p w14:paraId="061256A2">
      <w:pPr>
        <w:spacing w:line="360" w:lineRule="auto"/>
        <w:rPr>
          <w:rFonts w:ascii="Times New Roman" w:hAnsi="Times New Roman" w:cs="Times New Roman" w:eastAsiaTheme="majorEastAsia"/>
          <w:color w:val="000000" w:themeColor="text1"/>
          <w14:textFill>
            <w14:solidFill>
              <w14:schemeClr w14:val="tx1"/>
            </w14:solidFill>
          </w14:textFill>
        </w:rPr>
      </w:pPr>
      <w:bookmarkStart w:id="15" w:name="_Toc352274280"/>
      <w:r>
        <w:rPr>
          <w:rFonts w:ascii="Times New Roman" w:hAnsi="Times New Roman" w:cs="Times New Roman" w:eastAsiaTheme="majorEastAsia"/>
          <w:color w:val="000000" w:themeColor="text1"/>
          <w14:textFill>
            <w14:solidFill>
              <w14:schemeClr w14:val="tx1"/>
            </w14:solidFill>
          </w14:textFill>
        </w:rPr>
        <w:t>2.7.1 允许温度</w:t>
      </w:r>
    </w:p>
    <w:p w14:paraId="752B2F5B">
      <w:pPr>
        <w:pStyle w:val="3"/>
        <w:tabs>
          <w:tab w:val="left" w:pos="1134"/>
        </w:tabs>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充电机的表面温度应符合GB/T 18487.1－2015中11.6.3条的规定。</w:t>
      </w:r>
    </w:p>
    <w:p w14:paraId="47967726">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2.7.2 电击防护</w:t>
      </w:r>
    </w:p>
    <w:p w14:paraId="56606772">
      <w:pPr>
        <w:pStyle w:val="3"/>
        <w:tabs>
          <w:tab w:val="left" w:pos="1134"/>
        </w:tabs>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充电机的电击防护应符合GB/T </w:t>
      </w:r>
      <w:r>
        <w:rPr>
          <w:rFonts w:ascii="Times New Roman" w:hAnsi="Times New Roman" w:cs="Times New Roman"/>
          <w:color w:val="000000" w:themeColor="text1"/>
          <w14:textFill>
            <w14:solidFill>
              <w14:schemeClr w14:val="tx1"/>
            </w14:solidFill>
          </w14:textFill>
        </w:rPr>
        <w:t>18487</w:t>
      </w:r>
      <w:r>
        <w:rPr>
          <w:rFonts w:ascii="Times New Roman" w:hAnsi="Times New Roman" w:cs="Times New Roman"/>
          <w:color w:val="000000" w:themeColor="text1"/>
          <w:szCs w:val="21"/>
          <w14:textFill>
            <w14:solidFill>
              <w14:schemeClr w14:val="tx1"/>
            </w14:solidFill>
          </w14:textFill>
        </w:rPr>
        <w:t>.1-2015中第7章的要求。</w:t>
      </w:r>
    </w:p>
    <w:p w14:paraId="34FC2438">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2.7.3 电气间隙和爬电距离</w:t>
      </w:r>
    </w:p>
    <w:p w14:paraId="1F206F57">
      <w:pPr>
        <w:pStyle w:val="3"/>
        <w:tabs>
          <w:tab w:val="left" w:pos="1134"/>
        </w:tabs>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充电机的电气间隙和爬电距离应符合GB/T 18487.1－2015中10.4条的规定。</w:t>
      </w:r>
    </w:p>
    <w:p w14:paraId="3AB1A391">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2.7.4 接地要求</w:t>
      </w:r>
    </w:p>
    <w:p w14:paraId="54CFF220">
      <w:pPr>
        <w:pStyle w:val="3"/>
        <w:tabs>
          <w:tab w:val="left" w:pos="1134"/>
        </w:tabs>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充电机的接地应符合下列要求：</w:t>
      </w:r>
    </w:p>
    <w:p w14:paraId="19312E5B">
      <w:pPr>
        <w:pStyle w:val="3"/>
        <w:numPr>
          <w:ilvl w:val="0"/>
          <w:numId w:val="5"/>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充电机金属壳体应设置接地端子（螺栓），其直径不应小于8 mm，并应有接地标志；</w:t>
      </w:r>
    </w:p>
    <w:p w14:paraId="5E4E514D">
      <w:pPr>
        <w:pStyle w:val="3"/>
        <w:numPr>
          <w:ilvl w:val="0"/>
          <w:numId w:val="5"/>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充电机金属材质的门板、盖板、覆板和类似部件，应采用铜质保护导体将这些部件和充电机的结构主体框架连接，且保护导体的截面积不应小于4 mm</w:t>
      </w:r>
      <w:bookmarkStart w:id="47" w:name="_GoBack"/>
      <w:bookmarkEnd w:id="47"/>
      <w:r>
        <w:rPr>
          <w:rFonts w:ascii="Times New Roman" w:hAnsi="Times New Roman" w:eastAsia="宋体" w:cs="Times New Roman"/>
          <w:color w:val="000000" w:themeColor="text1"/>
          <w14:textFill>
            <w14:solidFill>
              <w14:schemeClr w14:val="tx1"/>
            </w14:solidFill>
          </w14:textFill>
        </w:rPr>
        <w:t>；</w:t>
      </w:r>
    </w:p>
    <w:p w14:paraId="5A948287">
      <w:pPr>
        <w:pStyle w:val="3"/>
        <w:numPr>
          <w:ilvl w:val="0"/>
          <w:numId w:val="5"/>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所有作为隔离带电导体的金属外壳、隔板，电气装置的金属外壳以及金属手柄等，均应有效等电位连接，且接地连续性电阻不应大于0.1Ω；</w:t>
      </w:r>
    </w:p>
    <w:p w14:paraId="5C27C933">
      <w:pPr>
        <w:pStyle w:val="3"/>
        <w:numPr>
          <w:ilvl w:val="0"/>
          <w:numId w:val="5"/>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充电机内的工作接地与保护接地应单独连接到接地导体（铜排）上，不应在一个接地线中串接多个需要接地的电气装置。</w:t>
      </w:r>
    </w:p>
    <w:p w14:paraId="521D7284">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2.7.5 电气隔离要求</w:t>
      </w:r>
    </w:p>
    <w:p w14:paraId="05124E15">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充电机的动力电源输入和直流输出之间应采取电气隔离防护措施；对于一机多充式充电机，各直流输出接口之间也应采取电气隔离防护措施。</w:t>
      </w:r>
    </w:p>
    <w:p w14:paraId="44B5BCBD">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16" w:name="_Toc387646178"/>
      <w:bookmarkStart w:id="17" w:name="_Toc411176414"/>
      <w:bookmarkStart w:id="18" w:name="_Toc35975847"/>
      <w:r>
        <w:rPr>
          <w:rFonts w:ascii="Times New Roman" w:hAnsi="Times New Roman" w:cs="Times New Roman" w:eastAsiaTheme="majorEastAsia"/>
          <w:color w:val="000000" w:themeColor="text1"/>
          <w14:textFill>
            <w14:solidFill>
              <w14:schemeClr w14:val="tx1"/>
            </w14:solidFill>
          </w14:textFill>
        </w:rPr>
        <w:t>2.8 电气绝缘性能</w:t>
      </w:r>
      <w:bookmarkEnd w:id="16"/>
      <w:bookmarkEnd w:id="17"/>
      <w:bookmarkEnd w:id="18"/>
    </w:p>
    <w:p w14:paraId="39730225">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2.8.1 绝缘电阻</w:t>
      </w:r>
    </w:p>
    <w:p w14:paraId="123833CD">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用开路电压为表4规定的直流电压等级的测试仪器，测量充电机非电气连接的各带电回路之间、各独立带电回路与地（金属外壳）之间绝缘电阻不应小于10 MΩ。</w:t>
      </w:r>
    </w:p>
    <w:p w14:paraId="492F4970">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2.8.2 介电强度</w:t>
      </w:r>
    </w:p>
    <w:p w14:paraId="6F5ABD08">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非电气连接的各带电回路之间、各独立带电回路与地（金属外壳）之间，按其工作电压应能承受表4所规定历时1min的工频交流电压（也可采用直流电压，试验电压为交流电压有效值的1.4倍）。试验过程中，试验部位不应出现绝缘击穿和闪络现象。</w:t>
      </w:r>
    </w:p>
    <w:p w14:paraId="181E6F52">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2.8.3 冲击电压</w:t>
      </w:r>
    </w:p>
    <w:p w14:paraId="76732B81">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充电机非电气连接的各带电回路之间、各独立带电回路与地（金属外壳）之间，按其工作电压应能承受表4所规定的标准雷电波短时冲击电压试验。在试验过程中，试验部位不应出现击穿放电。</w:t>
      </w:r>
    </w:p>
    <w:p w14:paraId="2A2186C8">
      <w:pPr>
        <w:jc w:val="center"/>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表4 绝缘试验的试验等级</w:t>
      </w:r>
    </w:p>
    <w:tbl>
      <w:tblPr>
        <w:tblStyle w:val="10"/>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00"/>
        <w:gridCol w:w="3045"/>
        <w:gridCol w:w="2064"/>
        <w:gridCol w:w="2065"/>
      </w:tblGrid>
      <w:tr w14:paraId="3BC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100" w:type="dxa"/>
            <w:vAlign w:val="center"/>
          </w:tcPr>
          <w:p w14:paraId="489F1A17">
            <w:pPr>
              <w:widowControl/>
              <w:spacing w:line="260" w:lineRule="exact"/>
              <w:jc w:val="center"/>
              <w:rPr>
                <w:rFonts w:ascii="Times New Roman" w:hAnsi="Times New Roman" w:cs="Times New Roman"/>
                <w:color w:val="000000" w:themeColor="text1"/>
                <w:kern w:val="0"/>
                <w:sz w:val="18"/>
                <w:szCs w:val="18"/>
                <w:vertAlign w:val="subscript"/>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额定绝缘电压</w:t>
            </w:r>
            <w:r>
              <w:rPr>
                <w:rFonts w:ascii="Times New Roman" w:hAnsi="Times New Roman" w:cs="Times New Roman"/>
                <w:i/>
                <w:color w:val="000000" w:themeColor="text1"/>
                <w:kern w:val="0"/>
                <w:sz w:val="18"/>
                <w:szCs w:val="18"/>
                <w14:textFill>
                  <w14:solidFill>
                    <w14:schemeClr w14:val="tx1"/>
                  </w14:solidFill>
                </w14:textFill>
              </w:rPr>
              <w:t>U</w:t>
            </w:r>
            <w:r>
              <w:rPr>
                <w:rFonts w:ascii="Times New Roman" w:hAnsi="Times New Roman" w:cs="Times New Roman"/>
                <w:color w:val="000000" w:themeColor="text1"/>
                <w:kern w:val="0"/>
                <w:sz w:val="18"/>
                <w:szCs w:val="18"/>
                <w:vertAlign w:val="subscript"/>
                <w14:textFill>
                  <w14:solidFill>
                    <w14:schemeClr w14:val="tx1"/>
                  </w14:solidFill>
                </w14:textFill>
              </w:rPr>
              <w:t>i</w:t>
            </w:r>
          </w:p>
          <w:p w14:paraId="2360933D">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V</w:t>
            </w:r>
          </w:p>
        </w:tc>
        <w:tc>
          <w:tcPr>
            <w:tcW w:w="3045" w:type="dxa"/>
            <w:vAlign w:val="center"/>
          </w:tcPr>
          <w:p w14:paraId="39D60EE6">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绝缘电阻测试仪器的电压等级</w:t>
            </w:r>
          </w:p>
          <w:p w14:paraId="5FFBCD11">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V</w:t>
            </w:r>
          </w:p>
        </w:tc>
        <w:tc>
          <w:tcPr>
            <w:tcW w:w="2064" w:type="dxa"/>
            <w:vAlign w:val="center"/>
          </w:tcPr>
          <w:p w14:paraId="22C20713">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介电强度试验电压</w:t>
            </w:r>
          </w:p>
          <w:p w14:paraId="0A76AFB2">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V</w:t>
            </w:r>
          </w:p>
        </w:tc>
        <w:tc>
          <w:tcPr>
            <w:tcW w:w="2065" w:type="dxa"/>
            <w:vAlign w:val="center"/>
          </w:tcPr>
          <w:p w14:paraId="16B618A1">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冲击耐压试验电压</w:t>
            </w:r>
          </w:p>
          <w:p w14:paraId="140E9EBE">
            <w:pPr>
              <w:widowControl/>
              <w:spacing w:line="260" w:lineRule="exact"/>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kV</w:t>
            </w:r>
          </w:p>
        </w:tc>
      </w:tr>
      <w:tr w14:paraId="44BA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2100" w:type="dxa"/>
            <w:vAlign w:val="center"/>
          </w:tcPr>
          <w:p w14:paraId="783BF44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18"/>
                <w14:textFill>
                  <w14:solidFill>
                    <w14:schemeClr w14:val="tx1"/>
                  </w14:solidFill>
                </w14:textFill>
              </w:rPr>
              <w:t>≤60</w:t>
            </w:r>
          </w:p>
        </w:tc>
        <w:tc>
          <w:tcPr>
            <w:tcW w:w="3045" w:type="dxa"/>
            <w:vAlign w:val="center"/>
          </w:tcPr>
          <w:p w14:paraId="3BCF140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250</w:t>
            </w:r>
          </w:p>
        </w:tc>
        <w:tc>
          <w:tcPr>
            <w:tcW w:w="2064" w:type="dxa"/>
            <w:vAlign w:val="center"/>
          </w:tcPr>
          <w:p w14:paraId="795D3FE9">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1000(1400)</w:t>
            </w:r>
          </w:p>
        </w:tc>
        <w:tc>
          <w:tcPr>
            <w:tcW w:w="2065" w:type="dxa"/>
            <w:vAlign w:val="center"/>
          </w:tcPr>
          <w:p w14:paraId="6083824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r>
      <w:tr w14:paraId="282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2100" w:type="dxa"/>
            <w:vAlign w:val="center"/>
          </w:tcPr>
          <w:p w14:paraId="62CB77B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60＜</w:t>
            </w: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18"/>
                <w14:textFill>
                  <w14:solidFill>
                    <w14:schemeClr w14:val="tx1"/>
                  </w14:solidFill>
                </w14:textFill>
              </w:rPr>
              <w:t>≤300</w:t>
            </w:r>
          </w:p>
        </w:tc>
        <w:tc>
          <w:tcPr>
            <w:tcW w:w="3045" w:type="dxa"/>
            <w:vAlign w:val="center"/>
          </w:tcPr>
          <w:p w14:paraId="1006372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500</w:t>
            </w:r>
          </w:p>
        </w:tc>
        <w:tc>
          <w:tcPr>
            <w:tcW w:w="2064" w:type="dxa"/>
            <w:vAlign w:val="center"/>
          </w:tcPr>
          <w:p w14:paraId="70E04F35">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2000(2800)</w:t>
            </w:r>
          </w:p>
        </w:tc>
        <w:tc>
          <w:tcPr>
            <w:tcW w:w="2065" w:type="dxa"/>
            <w:vAlign w:val="center"/>
          </w:tcPr>
          <w:p w14:paraId="6B127D2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±2.5</w:t>
            </w:r>
          </w:p>
        </w:tc>
      </w:tr>
      <w:tr w14:paraId="32ED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1" w:hRule="atLeast"/>
          <w:jc w:val="center"/>
        </w:trPr>
        <w:tc>
          <w:tcPr>
            <w:tcW w:w="2100" w:type="dxa"/>
            <w:vAlign w:val="center"/>
          </w:tcPr>
          <w:p w14:paraId="672C9E6D">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300＜</w:t>
            </w: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18"/>
                <w14:textFill>
                  <w14:solidFill>
                    <w14:schemeClr w14:val="tx1"/>
                  </w14:solidFill>
                </w14:textFill>
              </w:rPr>
              <w:t>≤700</w:t>
            </w:r>
          </w:p>
        </w:tc>
        <w:tc>
          <w:tcPr>
            <w:tcW w:w="3045" w:type="dxa"/>
            <w:vAlign w:val="center"/>
          </w:tcPr>
          <w:p w14:paraId="7E4BCCFF">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1000</w:t>
            </w:r>
          </w:p>
        </w:tc>
        <w:tc>
          <w:tcPr>
            <w:tcW w:w="2064" w:type="dxa"/>
            <w:vAlign w:val="center"/>
          </w:tcPr>
          <w:p w14:paraId="1B63B06C">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2400(3360)</w:t>
            </w:r>
          </w:p>
        </w:tc>
        <w:tc>
          <w:tcPr>
            <w:tcW w:w="2065" w:type="dxa"/>
            <w:vAlign w:val="center"/>
          </w:tcPr>
          <w:p w14:paraId="6AE0B6D3">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±6</w:t>
            </w:r>
          </w:p>
        </w:tc>
      </w:tr>
      <w:tr w14:paraId="6215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2100" w:type="dxa"/>
            <w:vAlign w:val="center"/>
          </w:tcPr>
          <w:p w14:paraId="6C706899">
            <w:pPr>
              <w:autoSpaceDE w:val="0"/>
              <w:autoSpaceDN w:val="0"/>
              <w:adjustRightInd w:val="0"/>
              <w:snapToGrid w:val="0"/>
              <w:spacing w:line="360" w:lineRule="auto"/>
              <w:jc w:val="center"/>
              <w:rPr>
                <w:rFonts w:ascii="Times New Roman" w:hAnsi="Times New Roman" w:cs="Times New Roman"/>
                <w:color w:val="000000" w:themeColor="text1"/>
                <w:sz w:val="18"/>
                <w:szCs w:val="21"/>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700＜</w:t>
            </w: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21"/>
                <w14:textFill>
                  <w14:solidFill>
                    <w14:schemeClr w14:val="tx1"/>
                  </w14:solidFill>
                </w14:textFill>
              </w:rPr>
              <w:t>≤950</w:t>
            </w:r>
          </w:p>
        </w:tc>
        <w:tc>
          <w:tcPr>
            <w:tcW w:w="3045" w:type="dxa"/>
            <w:vAlign w:val="center"/>
          </w:tcPr>
          <w:p w14:paraId="10D0BE46">
            <w:pPr>
              <w:jc w:val="center"/>
              <w:rPr>
                <w:rFonts w:ascii="Times New Roman" w:hAnsi="Times New Roman" w:cs="Times New Roman"/>
                <w:color w:val="000000" w:themeColor="text1"/>
                <w:sz w:val="18"/>
                <w:szCs w:val="21"/>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1000</w:t>
            </w:r>
          </w:p>
        </w:tc>
        <w:tc>
          <w:tcPr>
            <w:tcW w:w="2064" w:type="dxa"/>
            <w:vAlign w:val="center"/>
          </w:tcPr>
          <w:p w14:paraId="037BD9C2">
            <w:pPr>
              <w:spacing w:line="240" w:lineRule="atLeast"/>
              <w:jc w:val="center"/>
              <w:rPr>
                <w:rFonts w:ascii="Times New Roman" w:hAnsi="Times New Roman" w:cs="Times New Roman"/>
                <w:color w:val="000000" w:themeColor="text1"/>
                <w:sz w:val="18"/>
                <w:szCs w:val="21"/>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2×</w:t>
            </w: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21"/>
                <w14:textFill>
                  <w14:solidFill>
                    <w14:schemeClr w14:val="tx1"/>
                  </w14:solidFill>
                </w14:textFill>
              </w:rPr>
              <w:t>+1000</w:t>
            </w:r>
          </w:p>
          <w:p w14:paraId="56C8755D">
            <w:pPr>
              <w:spacing w:line="240" w:lineRule="atLeast"/>
              <w:jc w:val="center"/>
              <w:rPr>
                <w:rFonts w:ascii="Times New Roman" w:hAnsi="Times New Roman" w:cs="Times New Roman"/>
                <w:color w:val="000000" w:themeColor="text1"/>
                <w:sz w:val="18"/>
                <w:szCs w:val="21"/>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(2.8×</w:t>
            </w:r>
            <w:r>
              <w:rPr>
                <w:rFonts w:ascii="Times New Roman" w:hAnsi="Times New Roman" w:cs="Times New Roman"/>
                <w:i/>
                <w:color w:val="000000" w:themeColor="text1"/>
                <w:sz w:val="18"/>
                <w:szCs w:val="18"/>
                <w14:textFill>
                  <w14:solidFill>
                    <w14:schemeClr w14:val="tx1"/>
                  </w14:solidFill>
                </w14:textFill>
              </w:rPr>
              <w:t>U</w:t>
            </w:r>
            <w:r>
              <w:rPr>
                <w:rFonts w:ascii="Times New Roman" w:hAnsi="Times New Roman" w:cs="Times New Roman"/>
                <w:color w:val="000000" w:themeColor="text1"/>
                <w:sz w:val="18"/>
                <w:szCs w:val="18"/>
                <w:vertAlign w:val="subscript"/>
                <w14:textFill>
                  <w14:solidFill>
                    <w14:schemeClr w14:val="tx1"/>
                  </w14:solidFill>
                </w14:textFill>
              </w:rPr>
              <w:t>i</w:t>
            </w:r>
            <w:r>
              <w:rPr>
                <w:rFonts w:ascii="Times New Roman" w:hAnsi="Times New Roman" w:cs="Times New Roman"/>
                <w:color w:val="000000" w:themeColor="text1"/>
                <w:sz w:val="18"/>
                <w:szCs w:val="21"/>
                <w14:textFill>
                  <w14:solidFill>
                    <w14:schemeClr w14:val="tx1"/>
                  </w14:solidFill>
                </w14:textFill>
              </w:rPr>
              <w:t>+1400)</w:t>
            </w:r>
          </w:p>
        </w:tc>
        <w:tc>
          <w:tcPr>
            <w:tcW w:w="2065" w:type="dxa"/>
            <w:vAlign w:val="center"/>
          </w:tcPr>
          <w:p w14:paraId="6259117F">
            <w:pPr>
              <w:jc w:val="center"/>
              <w:rPr>
                <w:rFonts w:ascii="Times New Roman" w:hAnsi="Times New Roman" w:cs="Times New Roman"/>
                <w:color w:val="000000" w:themeColor="text1"/>
                <w:sz w:val="18"/>
                <w:szCs w:val="21"/>
                <w14:textFill>
                  <w14:solidFill>
                    <w14:schemeClr w14:val="tx1"/>
                  </w14:solidFill>
                </w14:textFill>
              </w:rPr>
            </w:pPr>
            <w:r>
              <w:rPr>
                <w:rFonts w:ascii="Times New Roman" w:hAnsi="Times New Roman" w:cs="Times New Roman"/>
                <w:color w:val="000000" w:themeColor="text1"/>
                <w:sz w:val="18"/>
                <w:szCs w:val="21"/>
                <w14:textFill>
                  <w14:solidFill>
                    <w14:schemeClr w14:val="tx1"/>
                  </w14:solidFill>
                </w14:textFill>
              </w:rPr>
              <w:t>±6</w:t>
            </w:r>
          </w:p>
        </w:tc>
      </w:tr>
      <w:tr w14:paraId="0577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9274" w:type="dxa"/>
            <w:gridSpan w:val="4"/>
            <w:vAlign w:val="center"/>
          </w:tcPr>
          <w:p w14:paraId="2FDA7560">
            <w:pPr>
              <w:ind w:firstLine="360" w:firstLineChars="2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注1：括号内数据为直流介电强度试验值。</w:t>
            </w:r>
          </w:p>
          <w:p w14:paraId="2CAE58F1">
            <w:pPr>
              <w:ind w:firstLine="360" w:firstLineChars="2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注2：出厂试验时，介电强度试验允许试验电压高于表中规定值的10％，试验时间1s。</w:t>
            </w:r>
          </w:p>
        </w:tc>
      </w:tr>
    </w:tbl>
    <w:p w14:paraId="27218992">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19" w:name="_Toc387646180"/>
      <w:bookmarkStart w:id="20" w:name="_Toc35975848"/>
      <w:bookmarkStart w:id="21" w:name="_Toc411176416"/>
      <w:r>
        <w:rPr>
          <w:rFonts w:ascii="Times New Roman" w:hAnsi="Times New Roman" w:cs="Times New Roman" w:eastAsiaTheme="majorEastAsia"/>
          <w:color w:val="000000" w:themeColor="text1"/>
          <w14:textFill>
            <w14:solidFill>
              <w14:schemeClr w14:val="tx1"/>
            </w14:solidFill>
          </w14:textFill>
        </w:rPr>
        <w:t>2.9 充电输出要求</w:t>
      </w:r>
      <w:bookmarkEnd w:id="19"/>
      <w:bookmarkEnd w:id="20"/>
      <w:bookmarkEnd w:id="21"/>
    </w:p>
    <w:p w14:paraId="736C81CD">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2.9.1 输出电压设定误差</w:t>
      </w:r>
    </w:p>
    <w:p w14:paraId="18ACC369">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在恒压状态下，直流输出电压设定在规定的相应调节范围内，充电机的输出电压误差不应超过±0.5％。</w:t>
      </w:r>
    </w:p>
    <w:p w14:paraId="68531934">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2.9.2 输出电流设定误差</w:t>
      </w:r>
    </w:p>
    <w:p w14:paraId="65316745">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在恒流状态下，输出直流电流设定在额定值的20％～最大输出电流值范围内，在设定的输出直流电流大于等于30 A时，输出电流误差不应超过±1％；在设定的输出直流电流小于30A时，输出电流误差不应超过±0.3 A。</w:t>
      </w:r>
    </w:p>
    <w:p w14:paraId="5857AAEC">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2.9.3 稳流精度</w:t>
      </w:r>
    </w:p>
    <w:p w14:paraId="15E5154F">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当交流电源电压在额定值的±15%范围内变化，直流输出电压在规定的相应范围内变化时，输出直流电流在额定值的20%～最大输出电流值范围内任一数值上，充电机输出电流稳流精度不应超过±1％。</w:t>
      </w:r>
    </w:p>
    <w:p w14:paraId="27441754">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2.9.4 稳压精度</w:t>
      </w:r>
    </w:p>
    <w:p w14:paraId="53A44BE1">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当交流电源电压在额定值的±15%范围内变化，输出直流电流在0～最大输出电流值范围内变化时，输出直流电压在规定的相应调节范围内任一数值上，充电机的输出电压稳压精度不应超过±0.5%。</w:t>
      </w:r>
    </w:p>
    <w:p w14:paraId="5B8410A0">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22" w:name="_Toc387646182"/>
      <w:bookmarkStart w:id="23" w:name="_Toc411176418"/>
      <w:bookmarkStart w:id="24" w:name="_Toc35975850"/>
      <w:r>
        <w:rPr>
          <w:rFonts w:ascii="Times New Roman" w:hAnsi="Times New Roman" w:cs="Times New Roman" w:eastAsiaTheme="majorEastAsia"/>
          <w:color w:val="000000" w:themeColor="text1"/>
          <w14:textFill>
            <w14:solidFill>
              <w14:schemeClr w14:val="tx1"/>
            </w14:solidFill>
          </w14:textFill>
        </w:rPr>
        <w:t>2.10 待机功耗</w:t>
      </w:r>
      <w:bookmarkEnd w:id="22"/>
      <w:bookmarkEnd w:id="23"/>
      <w:bookmarkEnd w:id="24"/>
    </w:p>
    <w:p w14:paraId="1F217017">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bookmarkStart w:id="25" w:name="_Toc411176419"/>
      <w:bookmarkStart w:id="26" w:name="_Toc387646183"/>
      <w:r>
        <w:rPr>
          <w:rFonts w:ascii="Times New Roman" w:hAnsi="Times New Roman" w:cs="Times New Roman"/>
          <w:color w:val="000000" w:themeColor="text1"/>
          <w14:textFill>
            <w14:solidFill>
              <w14:schemeClr w14:val="tx1"/>
            </w14:solidFill>
          </w14:textFill>
        </w:rPr>
        <w:t>在额定输入电压下，充电机的待机功耗不应大于N×30W。</w:t>
      </w:r>
    </w:p>
    <w:p w14:paraId="3B5C62AF">
      <w:pPr>
        <w:pStyle w:val="3"/>
        <w:tabs>
          <w:tab w:val="left" w:pos="1134"/>
        </w:tabs>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注：N表示充电接口数量。</w:t>
      </w:r>
    </w:p>
    <w:p w14:paraId="7E0281BD">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27" w:name="_Toc35975851"/>
      <w:r>
        <w:rPr>
          <w:rFonts w:ascii="Times New Roman" w:hAnsi="Times New Roman" w:cs="Times New Roman" w:eastAsiaTheme="majorEastAsia"/>
          <w:color w:val="000000" w:themeColor="text1"/>
          <w14:textFill>
            <w14:solidFill>
              <w14:schemeClr w14:val="tx1"/>
            </w14:solidFill>
          </w14:textFill>
        </w:rPr>
        <w:t>2.11 输出电压、电流测量误差</w:t>
      </w:r>
      <w:bookmarkEnd w:id="27"/>
    </w:p>
    <w:p w14:paraId="2192CF88">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充电机输出电压测量误差不应超过±5V，输出电流测量误差不应超过±（1.5％×实际输出电流+1）A，测量值更新时间不大于1s。</w:t>
      </w:r>
    </w:p>
    <w:p w14:paraId="15D698AD">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28" w:name="_Toc35975852"/>
      <w:r>
        <w:rPr>
          <w:rFonts w:ascii="Times New Roman" w:hAnsi="Times New Roman" w:cs="Times New Roman" w:eastAsiaTheme="majorEastAsia"/>
          <w:color w:val="000000" w:themeColor="text1"/>
          <w14:textFill>
            <w14:solidFill>
              <w14:schemeClr w14:val="tx1"/>
            </w14:solidFill>
          </w14:textFill>
        </w:rPr>
        <w:t>2.12 效率、功率因数</w:t>
      </w:r>
      <w:bookmarkEnd w:id="25"/>
      <w:bookmarkEnd w:id="26"/>
      <w:bookmarkEnd w:id="28"/>
    </w:p>
    <w:p w14:paraId="2DDCEEE6">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在额定输入电压下，充电机效率、输入功率因数应符合表5的要求。</w:t>
      </w:r>
    </w:p>
    <w:p w14:paraId="2FCD31FD">
      <w:pPr>
        <w:jc w:val="center"/>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表5 充电机效率、功率因数</w:t>
      </w:r>
    </w:p>
    <w:tbl>
      <w:tblPr>
        <w:tblStyle w:val="10"/>
        <w:tblW w:w="7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60"/>
        <w:gridCol w:w="1861"/>
        <w:gridCol w:w="2001"/>
      </w:tblGrid>
      <w:tr w14:paraId="4A22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14:paraId="59881051">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实际输出功率</w:t>
            </w:r>
            <w:r>
              <w:rPr>
                <w:rFonts w:ascii="Times New Roman" w:hAnsi="Times New Roman" w:cs="Times New Roman"/>
                <w:i/>
                <w:color w:val="000000" w:themeColor="text1"/>
                <w:kern w:val="0"/>
                <w:sz w:val="18"/>
                <w:szCs w:val="18"/>
                <w14:textFill>
                  <w14:solidFill>
                    <w14:schemeClr w14:val="tx1"/>
                  </w14:solidFill>
                </w14:textFill>
              </w:rPr>
              <w:t>P</w:t>
            </w:r>
            <w:r>
              <w:rPr>
                <w:rFonts w:ascii="Times New Roman" w:hAnsi="Times New Roman" w:cs="Times New Roman"/>
                <w:color w:val="000000" w:themeColor="text1"/>
                <w:kern w:val="0"/>
                <w:sz w:val="18"/>
                <w:szCs w:val="18"/>
                <w:vertAlign w:val="subscript"/>
                <w14:textFill>
                  <w14:solidFill>
                    <w14:schemeClr w14:val="tx1"/>
                  </w14:solidFill>
                </w14:textFill>
              </w:rPr>
              <w:t>o</w:t>
            </w:r>
            <w:r>
              <w:rPr>
                <w:rFonts w:ascii="Times New Roman" w:hAnsi="Times New Roman" w:cs="Times New Roman"/>
                <w:color w:val="000000" w:themeColor="text1"/>
                <w:kern w:val="0"/>
                <w:sz w:val="18"/>
                <w:szCs w:val="18"/>
                <w14:textFill>
                  <w14:solidFill>
                    <w14:schemeClr w14:val="tx1"/>
                  </w14:solidFill>
                </w14:textFill>
              </w:rPr>
              <w:t xml:space="preserve"> /额定输出功率</w:t>
            </w:r>
            <w:r>
              <w:rPr>
                <w:rFonts w:ascii="Times New Roman" w:hAnsi="Times New Roman" w:cs="Times New Roman"/>
                <w:i/>
                <w:color w:val="000000" w:themeColor="text1"/>
                <w:kern w:val="0"/>
                <w:sz w:val="18"/>
                <w:szCs w:val="18"/>
                <w14:textFill>
                  <w14:solidFill>
                    <w14:schemeClr w14:val="tx1"/>
                  </w14:solidFill>
                </w14:textFill>
              </w:rPr>
              <w:t>P</w:t>
            </w:r>
            <w:r>
              <w:rPr>
                <w:rFonts w:ascii="Times New Roman" w:hAnsi="Times New Roman" w:cs="Times New Roman"/>
                <w:color w:val="000000" w:themeColor="text1"/>
                <w:kern w:val="0"/>
                <w:sz w:val="18"/>
                <w:szCs w:val="18"/>
                <w:vertAlign w:val="subscript"/>
                <w14:textFill>
                  <w14:solidFill>
                    <w14:schemeClr w14:val="tx1"/>
                  </w14:solidFill>
                </w14:textFill>
              </w:rPr>
              <w:t>n</w:t>
            </w:r>
          </w:p>
        </w:tc>
        <w:tc>
          <w:tcPr>
            <w:tcW w:w="1861" w:type="dxa"/>
            <w:tcBorders>
              <w:top w:val="single" w:color="000000" w:sz="4" w:space="0"/>
              <w:left w:val="single" w:color="000000" w:sz="4" w:space="0"/>
              <w:bottom w:val="single" w:color="000000" w:sz="4" w:space="0"/>
              <w:right w:val="single" w:color="000000" w:sz="4" w:space="0"/>
            </w:tcBorders>
            <w:vAlign w:val="center"/>
          </w:tcPr>
          <w:p w14:paraId="280404A8">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效率</w:t>
            </w:r>
          </w:p>
        </w:tc>
        <w:tc>
          <w:tcPr>
            <w:tcW w:w="2001" w:type="dxa"/>
            <w:tcBorders>
              <w:top w:val="single" w:color="000000" w:sz="4" w:space="0"/>
              <w:left w:val="single" w:color="000000" w:sz="4" w:space="0"/>
              <w:bottom w:val="single" w:color="000000" w:sz="4" w:space="0"/>
              <w:right w:val="single" w:color="auto" w:sz="4" w:space="0"/>
            </w:tcBorders>
            <w:vAlign w:val="center"/>
          </w:tcPr>
          <w:p w14:paraId="0EF87F30">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输入功率因数</w:t>
            </w:r>
          </w:p>
        </w:tc>
      </w:tr>
      <w:tr w14:paraId="08A21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14:paraId="054D1FEC">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20％≤</w:t>
            </w:r>
            <w:r>
              <w:rPr>
                <w:rFonts w:ascii="Times New Roman" w:hAnsi="Times New Roman" w:cs="Times New Roman"/>
                <w:i/>
                <w:color w:val="000000" w:themeColor="text1"/>
                <w:kern w:val="0"/>
                <w:sz w:val="18"/>
                <w:szCs w:val="18"/>
                <w14:textFill>
                  <w14:solidFill>
                    <w14:schemeClr w14:val="tx1"/>
                  </w14:solidFill>
                </w14:textFill>
              </w:rPr>
              <w:t>P</w:t>
            </w:r>
            <w:r>
              <w:rPr>
                <w:rFonts w:ascii="Times New Roman" w:hAnsi="Times New Roman" w:cs="Times New Roman"/>
                <w:color w:val="000000" w:themeColor="text1"/>
                <w:kern w:val="0"/>
                <w:sz w:val="18"/>
                <w:szCs w:val="18"/>
                <w:vertAlign w:val="subscript"/>
                <w14:textFill>
                  <w14:solidFill>
                    <w14:schemeClr w14:val="tx1"/>
                  </w14:solidFill>
                </w14:textFill>
              </w:rPr>
              <w:t>o</w:t>
            </w:r>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kern w:val="0"/>
                <w:sz w:val="18"/>
                <w:szCs w:val="18"/>
                <w14:textFill>
                  <w14:solidFill>
                    <w14:schemeClr w14:val="tx1"/>
                  </w14:solidFill>
                </w14:textFill>
              </w:rPr>
              <w:t>P</w:t>
            </w:r>
            <w:r>
              <w:rPr>
                <w:rFonts w:ascii="Times New Roman" w:hAnsi="Times New Roman" w:cs="Times New Roman"/>
                <w:color w:val="000000" w:themeColor="text1"/>
                <w:kern w:val="0"/>
                <w:sz w:val="18"/>
                <w:szCs w:val="18"/>
                <w:vertAlign w:val="subscript"/>
                <w14:textFill>
                  <w14:solidFill>
                    <w14:schemeClr w14:val="tx1"/>
                  </w14:solidFill>
                </w14:textFill>
              </w:rPr>
              <w:t>n</w:t>
            </w:r>
            <w:r>
              <w:rPr>
                <w:rFonts w:ascii="Times New Roman" w:hAnsi="Times New Roman" w:cs="Times New Roman"/>
                <w:color w:val="000000" w:themeColor="text1"/>
                <w:kern w:val="0"/>
                <w:sz w:val="18"/>
                <w:szCs w:val="18"/>
                <w14:textFill>
                  <w14:solidFill>
                    <w14:schemeClr w14:val="tx1"/>
                  </w14:solidFill>
                </w14:textFill>
              </w:rPr>
              <w:t>≤50％</w:t>
            </w:r>
          </w:p>
        </w:tc>
        <w:tc>
          <w:tcPr>
            <w:tcW w:w="1861" w:type="dxa"/>
            <w:tcBorders>
              <w:top w:val="single" w:color="000000" w:sz="4" w:space="0"/>
              <w:left w:val="single" w:color="000000" w:sz="4" w:space="0"/>
              <w:bottom w:val="single" w:color="000000" w:sz="4" w:space="0"/>
              <w:right w:val="single" w:color="000000" w:sz="4" w:space="0"/>
            </w:tcBorders>
            <w:vAlign w:val="center"/>
          </w:tcPr>
          <w:p w14:paraId="25DBF7D4">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≥88％</w:t>
            </w:r>
          </w:p>
        </w:tc>
        <w:tc>
          <w:tcPr>
            <w:tcW w:w="2001" w:type="dxa"/>
            <w:tcBorders>
              <w:top w:val="single" w:color="000000" w:sz="4" w:space="0"/>
              <w:left w:val="single" w:color="000000" w:sz="4" w:space="0"/>
              <w:bottom w:val="single" w:color="000000" w:sz="4" w:space="0"/>
              <w:right w:val="single" w:color="auto" w:sz="4" w:space="0"/>
            </w:tcBorders>
            <w:vAlign w:val="center"/>
          </w:tcPr>
          <w:p w14:paraId="25E42D97">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≥0.95</w:t>
            </w:r>
          </w:p>
        </w:tc>
      </w:tr>
      <w:tr w14:paraId="2115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260" w:type="dxa"/>
            <w:tcBorders>
              <w:top w:val="single" w:color="000000" w:sz="4" w:space="0"/>
              <w:left w:val="single" w:color="000000" w:sz="4" w:space="0"/>
              <w:bottom w:val="single" w:color="000000" w:sz="4" w:space="0"/>
              <w:right w:val="single" w:color="000000" w:sz="4" w:space="0"/>
            </w:tcBorders>
            <w:vAlign w:val="center"/>
          </w:tcPr>
          <w:p w14:paraId="36E1D34A">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50％＜</w:t>
            </w:r>
            <w:r>
              <w:rPr>
                <w:rFonts w:ascii="Times New Roman" w:hAnsi="Times New Roman" w:cs="Times New Roman"/>
                <w:i/>
                <w:color w:val="000000" w:themeColor="text1"/>
                <w:kern w:val="0"/>
                <w:sz w:val="18"/>
                <w:szCs w:val="18"/>
                <w14:textFill>
                  <w14:solidFill>
                    <w14:schemeClr w14:val="tx1"/>
                  </w14:solidFill>
                </w14:textFill>
              </w:rPr>
              <w:t xml:space="preserve"> P</w:t>
            </w:r>
            <w:r>
              <w:rPr>
                <w:rFonts w:ascii="Times New Roman" w:hAnsi="Times New Roman" w:cs="Times New Roman"/>
                <w:color w:val="000000" w:themeColor="text1"/>
                <w:kern w:val="0"/>
                <w:sz w:val="18"/>
                <w:szCs w:val="18"/>
                <w:vertAlign w:val="subscript"/>
                <w14:textFill>
                  <w14:solidFill>
                    <w14:schemeClr w14:val="tx1"/>
                  </w14:solidFill>
                </w14:textFill>
              </w:rPr>
              <w:t>o</w:t>
            </w:r>
            <w:r>
              <w:rPr>
                <w:rFonts w:ascii="Times New Roman" w:hAnsi="Times New Roman" w:cs="Times New Roman"/>
                <w:color w:val="000000" w:themeColor="text1"/>
                <w:kern w:val="0"/>
                <w:sz w:val="18"/>
                <w:szCs w:val="18"/>
                <w14:textFill>
                  <w14:solidFill>
                    <w14:schemeClr w14:val="tx1"/>
                  </w14:solidFill>
                </w14:textFill>
              </w:rPr>
              <w:t>/</w:t>
            </w:r>
            <w:r>
              <w:rPr>
                <w:rFonts w:ascii="Times New Roman" w:hAnsi="Times New Roman" w:cs="Times New Roman"/>
                <w:i/>
                <w:color w:val="000000" w:themeColor="text1"/>
                <w:kern w:val="0"/>
                <w:sz w:val="18"/>
                <w:szCs w:val="18"/>
                <w14:textFill>
                  <w14:solidFill>
                    <w14:schemeClr w14:val="tx1"/>
                  </w14:solidFill>
                </w14:textFill>
              </w:rPr>
              <w:t>P</w:t>
            </w:r>
            <w:r>
              <w:rPr>
                <w:rFonts w:ascii="Times New Roman" w:hAnsi="Times New Roman" w:cs="Times New Roman"/>
                <w:color w:val="000000" w:themeColor="text1"/>
                <w:kern w:val="0"/>
                <w:sz w:val="18"/>
                <w:szCs w:val="18"/>
                <w:vertAlign w:val="subscript"/>
                <w14:textFill>
                  <w14:solidFill>
                    <w14:schemeClr w14:val="tx1"/>
                  </w14:solidFill>
                </w14:textFill>
              </w:rPr>
              <w:t>n</w:t>
            </w:r>
            <w:r>
              <w:rPr>
                <w:rFonts w:ascii="Times New Roman" w:hAnsi="Times New Roman" w:cs="Times New Roman"/>
                <w:color w:val="000000" w:themeColor="text1"/>
                <w:kern w:val="0"/>
                <w:sz w:val="18"/>
                <w:szCs w:val="18"/>
                <w14:textFill>
                  <w14:solidFill>
                    <w14:schemeClr w14:val="tx1"/>
                  </w14:solidFill>
                </w14:textFill>
              </w:rPr>
              <w:t>≤100％</w:t>
            </w:r>
          </w:p>
        </w:tc>
        <w:tc>
          <w:tcPr>
            <w:tcW w:w="1861" w:type="dxa"/>
            <w:tcBorders>
              <w:top w:val="single" w:color="000000" w:sz="4" w:space="0"/>
              <w:left w:val="single" w:color="000000" w:sz="4" w:space="0"/>
              <w:bottom w:val="single" w:color="000000" w:sz="4" w:space="0"/>
              <w:right w:val="single" w:color="000000" w:sz="4" w:space="0"/>
            </w:tcBorders>
            <w:vAlign w:val="center"/>
          </w:tcPr>
          <w:p w14:paraId="4FE8CA83">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≥94％</w:t>
            </w:r>
          </w:p>
        </w:tc>
        <w:tc>
          <w:tcPr>
            <w:tcW w:w="2001" w:type="dxa"/>
            <w:tcBorders>
              <w:top w:val="single" w:color="000000" w:sz="4" w:space="0"/>
              <w:left w:val="single" w:color="000000" w:sz="4" w:space="0"/>
              <w:bottom w:val="single" w:color="000000" w:sz="4" w:space="0"/>
              <w:right w:val="single" w:color="auto" w:sz="4" w:space="0"/>
            </w:tcBorders>
            <w:vAlign w:val="center"/>
          </w:tcPr>
          <w:p w14:paraId="2A04DC66">
            <w:pPr>
              <w:widowControl/>
              <w:tabs>
                <w:tab w:val="center" w:pos="4201"/>
                <w:tab w:val="right" w:leader="dot" w:pos="9298"/>
              </w:tabs>
              <w:autoSpaceDE w:val="0"/>
              <w:autoSpaceDN w:val="0"/>
              <w:jc w:val="center"/>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≥0.98</w:t>
            </w:r>
          </w:p>
        </w:tc>
      </w:tr>
      <w:tr w14:paraId="271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122" w:type="dxa"/>
            <w:gridSpan w:val="3"/>
            <w:tcBorders>
              <w:top w:val="single" w:color="000000" w:sz="4" w:space="0"/>
              <w:left w:val="single" w:color="000000" w:sz="4" w:space="0"/>
              <w:bottom w:val="single" w:color="000000" w:sz="4" w:space="0"/>
              <w:right w:val="single" w:color="auto" w:sz="4" w:space="0"/>
            </w:tcBorders>
            <w:vAlign w:val="center"/>
          </w:tcPr>
          <w:p w14:paraId="6FCA48EA">
            <w:pPr>
              <w:ind w:left="455" w:leftChars="11" w:hanging="432" w:hangingChars="24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注1：输入功率因数要求仅适用于交流供电充电机。</w:t>
            </w:r>
          </w:p>
          <w:p w14:paraId="03439A67">
            <w:pPr>
              <w:ind w:left="455" w:leftChars="11" w:hanging="432" w:hangingChars="24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注2：具备恒功率输出特性的充电机，效率测试点应至少涵盖充电机每个恒功率段的输出电压最大值、中间值、最小值三点。</w:t>
            </w:r>
          </w:p>
        </w:tc>
      </w:tr>
    </w:tbl>
    <w:p w14:paraId="4636BBF3">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29" w:name="_Toc387646184"/>
      <w:bookmarkStart w:id="30" w:name="_Toc411176420"/>
      <w:bookmarkStart w:id="31" w:name="_Toc35975853"/>
      <w:r>
        <w:rPr>
          <w:rFonts w:ascii="Times New Roman" w:hAnsi="Times New Roman" w:cs="Times New Roman" w:eastAsiaTheme="majorEastAsia"/>
          <w:color w:val="000000" w:themeColor="text1"/>
          <w14:textFill>
            <w14:solidFill>
              <w14:schemeClr w14:val="tx1"/>
            </w14:solidFill>
          </w14:textFill>
        </w:rPr>
        <w:t>2.13 噪声</w:t>
      </w:r>
      <w:bookmarkEnd w:id="29"/>
      <w:bookmarkEnd w:id="30"/>
      <w:bookmarkEnd w:id="31"/>
    </w:p>
    <w:p w14:paraId="06C0A434">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bookmarkStart w:id="32" w:name="_Toc387646185"/>
      <w:bookmarkStart w:id="33" w:name="_Toc411176421"/>
      <w:r>
        <w:rPr>
          <w:rFonts w:ascii="Times New Roman" w:hAnsi="Times New Roman" w:cs="Times New Roman"/>
          <w:color w:val="000000" w:themeColor="text1"/>
          <w14:textFill>
            <w14:solidFill>
              <w14:schemeClr w14:val="tx1"/>
            </w14:solidFill>
          </w14:textFill>
        </w:rPr>
        <w:t>充电机噪声应符合NB/T33001-2018相关要求。</w:t>
      </w:r>
    </w:p>
    <w:bookmarkEnd w:id="32"/>
    <w:bookmarkEnd w:id="33"/>
    <w:p w14:paraId="67593785">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34" w:name="_Toc35975856"/>
      <w:bookmarkStart w:id="35" w:name="_Toc411176424"/>
      <w:bookmarkStart w:id="36" w:name="_Toc387646188"/>
      <w:r>
        <w:rPr>
          <w:rFonts w:ascii="Times New Roman" w:hAnsi="Times New Roman" w:cs="Times New Roman" w:eastAsiaTheme="majorEastAsia"/>
          <w:color w:val="000000" w:themeColor="text1"/>
          <w14:textFill>
            <w14:solidFill>
              <w14:schemeClr w14:val="tx1"/>
            </w14:solidFill>
          </w14:textFill>
        </w:rPr>
        <w:t>2.14 电磁兼容</w:t>
      </w:r>
      <w:bookmarkEnd w:id="34"/>
      <w:bookmarkEnd w:id="35"/>
      <w:bookmarkEnd w:id="36"/>
    </w:p>
    <w:p w14:paraId="0967A575">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2.14.1 概述</w:t>
      </w:r>
    </w:p>
    <w:p w14:paraId="71DCC790">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设备制造商应按照GB/T 18487.2-2017中6.3条的规定，说明供电设备的安装使用场所。当供电设备制造商未规定供电设备的预期使用的环境时，应实施最严格的发射和抗扰度试验，即采用最低的发射限值和最高的抗扰度试验等级。</w:t>
      </w:r>
    </w:p>
    <w:p w14:paraId="4803F86F">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2.14.2 充电机试验配置</w:t>
      </w:r>
    </w:p>
    <w:p w14:paraId="53F9222A">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充电机的试验配置应符合GB/T 18487.2-2017中第4章的规定。</w:t>
      </w:r>
    </w:p>
    <w:p w14:paraId="6D639472">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2.14.3 充电机试验负载条件</w:t>
      </w:r>
    </w:p>
    <w:p w14:paraId="2E05DF3F">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充电机的试验负载条件应符合GB/T 18487.2-2017中第5章的规定。</w:t>
      </w:r>
    </w:p>
    <w:p w14:paraId="68B386D9">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2.14.4 测试过程的操作条件</w:t>
      </w:r>
    </w:p>
    <w:p w14:paraId="675DBAE5">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充电机测试过程中的操作条件应符合GB/T 18487.2-2017中第6章的规定。</w:t>
      </w:r>
    </w:p>
    <w:p w14:paraId="6D9C63C3">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2.14.5 抗扰度要求</w:t>
      </w:r>
    </w:p>
    <w:p w14:paraId="470BC9CC">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充电机抗扰度试验要求、性能判据应符合GB/T 18487.2-2017中第7章的规定。</w:t>
      </w:r>
    </w:p>
    <w:p w14:paraId="0F71F9D4">
      <w:pPr>
        <w:spacing w:line="360" w:lineRule="auto"/>
        <w:rPr>
          <w:rFonts w:ascii="Times New Roman" w:hAnsi="Times New Roman" w:cs="Times New Roman" w:eastAsiaTheme="majorEastAsia"/>
          <w:color w:val="000000" w:themeColor="text1"/>
          <w14:textFill>
            <w14:solidFill>
              <w14:schemeClr w14:val="tx1"/>
            </w14:solidFill>
          </w14:textFill>
        </w:rPr>
      </w:pPr>
      <w:r>
        <w:rPr>
          <w:rFonts w:ascii="Times New Roman" w:hAnsi="Times New Roman" w:cs="Times New Roman" w:eastAsiaTheme="majorEastAsia"/>
          <w:color w:val="000000" w:themeColor="text1"/>
          <w14:textFill>
            <w14:solidFill>
              <w14:schemeClr w14:val="tx1"/>
            </w14:solidFill>
          </w14:textFill>
        </w:rPr>
        <w:t>2.14.6 发射要求</w:t>
      </w:r>
    </w:p>
    <w:p w14:paraId="29D3FDD6">
      <w:pPr>
        <w:pStyle w:val="3"/>
        <w:numPr>
          <w:ilvl w:val="0"/>
          <w:numId w:val="6"/>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bookmarkStart w:id="37" w:name="_Toc274433937"/>
      <w:r>
        <w:rPr>
          <w:rFonts w:ascii="Times New Roman" w:hAnsi="Times New Roman" w:eastAsia="宋体" w:cs="Times New Roman"/>
          <w:color w:val="000000" w:themeColor="text1"/>
          <w14:textFill>
            <w14:solidFill>
              <w14:schemeClr w14:val="tx1"/>
            </w14:solidFill>
          </w14:textFill>
        </w:rPr>
        <w:t>输入电压</w:t>
      </w:r>
      <w:bookmarkEnd w:id="37"/>
      <w:bookmarkStart w:id="38" w:name="_Toc274433951"/>
      <w:r>
        <w:rPr>
          <w:rFonts w:ascii="Times New Roman" w:hAnsi="Times New Roman" w:eastAsia="宋体" w:cs="Times New Roman"/>
          <w:color w:val="000000" w:themeColor="text1"/>
          <w14:textFill>
            <w14:solidFill>
              <w14:schemeClr w14:val="tx1"/>
            </w14:solidFill>
          </w14:textFill>
        </w:rPr>
        <w:t>波动和闪烁</w:t>
      </w:r>
    </w:p>
    <w:p w14:paraId="2641A592">
      <w:pPr>
        <w:pStyle w:val="3"/>
        <w:numPr>
          <w:ilvl w:val="0"/>
          <w:numId w:val="6"/>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充电机产生的电压波动和闪烁发射要求应符合GB/T 18487.2-2017中8.2.3条的规定。</w:t>
      </w:r>
    </w:p>
    <w:p w14:paraId="1E9EF320">
      <w:pPr>
        <w:pStyle w:val="3"/>
        <w:numPr>
          <w:ilvl w:val="0"/>
          <w:numId w:val="6"/>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输入谐波电流要求</w:t>
      </w:r>
    </w:p>
    <w:p w14:paraId="0F95CDC4">
      <w:pPr>
        <w:pStyle w:val="3"/>
        <w:numPr>
          <w:ilvl w:val="0"/>
          <w:numId w:val="6"/>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交流供电充电机产生的谐波电流要求应符合GB/T 18487.2-2017中8.2.2条的规定</w:t>
      </w:r>
    </w:p>
    <w:p w14:paraId="45ECB8FE">
      <w:pPr>
        <w:pStyle w:val="3"/>
        <w:numPr>
          <w:ilvl w:val="0"/>
          <w:numId w:val="6"/>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射频骚扰的限值和试验条件</w:t>
      </w:r>
    </w:p>
    <w:p w14:paraId="0F422B0D">
      <w:pPr>
        <w:pStyle w:val="3"/>
        <w:numPr>
          <w:ilvl w:val="0"/>
          <w:numId w:val="6"/>
        </w:numPr>
        <w:tabs>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充电机射频骚扰的限值和试验条件, 应符合GB/T 18487.2-2017中8.3条的规定。</w:t>
      </w:r>
    </w:p>
    <w:bookmarkEnd w:id="38"/>
    <w:p w14:paraId="4BB8E471">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39" w:name="_Toc411176426"/>
      <w:bookmarkStart w:id="40" w:name="_Toc35975857"/>
      <w:bookmarkStart w:id="41" w:name="_Toc387646190"/>
      <w:r>
        <w:rPr>
          <w:rFonts w:ascii="Times New Roman" w:hAnsi="Times New Roman" w:cs="Times New Roman" w:eastAsiaTheme="majorEastAsia"/>
          <w:color w:val="000000" w:themeColor="text1"/>
          <w14:textFill>
            <w14:solidFill>
              <w14:schemeClr w14:val="tx1"/>
            </w14:solidFill>
          </w14:textFill>
        </w:rPr>
        <w:t>2.15充电机柜体（桩体）要求</w:t>
      </w:r>
      <w:bookmarkEnd w:id="15"/>
      <w:bookmarkEnd w:id="39"/>
      <w:bookmarkEnd w:id="40"/>
      <w:bookmarkEnd w:id="41"/>
    </w:p>
    <w:p w14:paraId="1090754F">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充电机柜体（桩体）外壳应采用镀锌钢板+喷涂，内部钣金件应采用</w:t>
      </w:r>
      <w:r>
        <w:rPr>
          <w:rFonts w:hint="eastAsia" w:ascii="Times New Roman" w:hAnsi="Times New Roman" w:eastAsia="宋体" w:cs="Times New Roman"/>
          <w:color w:val="000000" w:themeColor="text1"/>
          <w14:textFill>
            <w14:solidFill>
              <w14:schemeClr w14:val="tx1"/>
            </w14:solidFill>
          </w14:textFill>
        </w:rPr>
        <w:t>覆</w:t>
      </w:r>
      <w:r>
        <w:rPr>
          <w:rFonts w:ascii="Times New Roman" w:hAnsi="Times New Roman" w:eastAsia="宋体" w:cs="Times New Roman"/>
          <w:color w:val="000000" w:themeColor="text1"/>
          <w14:textFill>
            <w14:solidFill>
              <w14:schemeClr w14:val="tx1"/>
            </w14:solidFill>
          </w14:textFill>
        </w:rPr>
        <w:t>铝锌钢板。</w:t>
      </w:r>
    </w:p>
    <w:p w14:paraId="3AA75312">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充电机柜体（桩体）的非接触卡片刷卡区域，应具有承载设计，以便于放置非接触式卡片。</w:t>
      </w:r>
    </w:p>
    <w:p w14:paraId="41F8D642">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充电机柜体（桩体）内元器件应布局合理，易耗易损元件方便更换。</w:t>
      </w:r>
    </w:p>
    <w:p w14:paraId="471F4589">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充电机柜体（桩体）表面涂覆色泽层应均匀光洁，不起泡、不龟裂、不脱落。</w:t>
      </w:r>
    </w:p>
    <w:p w14:paraId="16C3E4B9">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人机交互的操作和显示界面应设置在便于人操作和查看的位置。</w:t>
      </w:r>
    </w:p>
    <w:p w14:paraId="5DFD01F1">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充电机柜体（桩体）应预留4G天线的安装位置。</w:t>
      </w:r>
    </w:p>
    <w:p w14:paraId="5547761B">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触摸屏应设置在便于人操作和查看的位置，其中触摸屏中心离地面高度应控制在1.2m~1.4m之间，此高度不含充电机基础。</w:t>
      </w:r>
    </w:p>
    <w:p w14:paraId="16AB7515">
      <w:pPr>
        <w:pStyle w:val="3"/>
        <w:numPr>
          <w:ilvl w:val="0"/>
          <w:numId w:val="7"/>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插枪空座应设置在便于人操作的位置，其中插枪空座中心离地面高度应控制在0.8m~1.0m之间，此高度不含充电机基础。</w:t>
      </w:r>
    </w:p>
    <w:p w14:paraId="40E7B586">
      <w:pPr>
        <w:snapToGrid w:val="0"/>
        <w:spacing w:before="156" w:beforeLines="50"/>
        <w:rPr>
          <w:rFonts w:ascii="Times New Roman" w:hAnsi="Times New Roman" w:cs="Times New Roman" w:eastAsiaTheme="majorEastAsia"/>
          <w:color w:val="000000" w:themeColor="text1"/>
          <w14:textFill>
            <w14:solidFill>
              <w14:schemeClr w14:val="tx1"/>
            </w14:solidFill>
          </w14:textFill>
        </w:rPr>
      </w:pPr>
      <w:bookmarkStart w:id="42" w:name="_Toc35975858"/>
      <w:r>
        <w:rPr>
          <w:rFonts w:ascii="Times New Roman" w:hAnsi="Times New Roman" w:cs="Times New Roman" w:eastAsiaTheme="majorEastAsia"/>
          <w:color w:val="000000" w:themeColor="text1"/>
          <w14:textFill>
            <w14:solidFill>
              <w14:schemeClr w14:val="tx1"/>
            </w14:solidFill>
          </w14:textFill>
        </w:rPr>
        <w:t>2.16 铭牌与显示要求</w:t>
      </w:r>
      <w:bookmarkEnd w:id="42"/>
    </w:p>
    <w:p w14:paraId="5F960A1D">
      <w:pPr>
        <w:snapToGrid w:val="0"/>
        <w:spacing w:before="156" w:beforeLines="50"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充电机应具有铭牌，并安装在明显位置，铭牌上应标明下列内容：</w:t>
      </w:r>
    </w:p>
    <w:p w14:paraId="2D92137E">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产品名称；</w:t>
      </w:r>
    </w:p>
    <w:p w14:paraId="03F9D689">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产品型号；</w:t>
      </w:r>
    </w:p>
    <w:p w14:paraId="665DEF67">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额定输入电压（交流或直流）；</w:t>
      </w:r>
    </w:p>
    <w:p w14:paraId="70A6EA6B">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额定输出功率；</w:t>
      </w:r>
    </w:p>
    <w:p w14:paraId="59D8911E">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直流输出电压范围；</w:t>
      </w:r>
    </w:p>
    <w:p w14:paraId="13C7E9D9">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生产日期；</w:t>
      </w:r>
    </w:p>
    <w:p w14:paraId="67F246FB">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公司名称、简称、商标或可识别制造商的独特标识；</w:t>
      </w:r>
    </w:p>
    <w:p w14:paraId="5EF6F47D">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序列号或生产批次号；</w:t>
      </w:r>
    </w:p>
    <w:p w14:paraId="7F0FA3EC">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室内使用或室外使用（外壳防护等级IP代码）；</w:t>
      </w:r>
    </w:p>
    <w:p w14:paraId="733DEB4D">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输出电流范围（确保整机准确度等级）；</w:t>
      </w:r>
    </w:p>
    <w:p w14:paraId="5BA7CD2C">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电能计量装置常数；</w:t>
      </w:r>
    </w:p>
    <w:p w14:paraId="1226EC7D">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准确度等级；</w:t>
      </w:r>
    </w:p>
    <w:p w14:paraId="4D714A47">
      <w:pPr>
        <w:pStyle w:val="3"/>
        <w:numPr>
          <w:ilvl w:val="0"/>
          <w:numId w:val="8"/>
        </w:numPr>
        <w:tabs>
          <w:tab w:val="left" w:pos="315"/>
          <w:tab w:val="left" w:pos="993"/>
        </w:tabs>
        <w:spacing w:line="360" w:lineRule="auto"/>
        <w:ind w:left="0" w:firstLine="567" w:firstLineChars="27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产品所依据的标准；</w:t>
      </w:r>
    </w:p>
    <w:p w14:paraId="1B87BFD6">
      <w:pPr>
        <w:pStyle w:val="3"/>
        <w:tabs>
          <w:tab w:val="left" w:pos="315"/>
          <w:tab w:val="left" w:pos="993"/>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注1：如有多路输出时，标明最大值和每路值。</w:t>
      </w:r>
    </w:p>
    <w:p w14:paraId="551E9A5F">
      <w:pPr>
        <w:numPr>
          <w:ilvl w:val="0"/>
          <w:numId w:val="0"/>
        </w:numPr>
        <w:spacing w:before="156" w:beforeLines="50"/>
        <w:rPr>
          <w:rFonts w:hint="eastAsia" w:ascii="Times New Roman" w:hAnsi="Times New Roman" w:cs="Times New Roman" w:eastAsiaTheme="majorEastAsia"/>
          <w:color w:val="000000" w:themeColor="text1"/>
          <w:lang w:val="en-US" w:eastAsia="zh-CN"/>
          <w14:textFill>
            <w14:solidFill>
              <w14:schemeClr w14:val="tx1"/>
            </w14:solidFill>
          </w14:textFill>
        </w:rPr>
      </w:pPr>
      <w:r>
        <w:rPr>
          <w:rFonts w:hint="eastAsia" w:ascii="Times New Roman" w:hAnsi="Times New Roman" w:cs="Times New Roman" w:eastAsiaTheme="majorEastAsia"/>
          <w:color w:val="000000" w:themeColor="text1"/>
          <w:lang w:val="en-US" w:eastAsia="zh-CN"/>
          <w14:textFill>
            <w14:solidFill>
              <w14:schemeClr w14:val="tx1"/>
            </w14:solidFill>
          </w14:textFill>
        </w:rPr>
        <w:t>三、充电平台技术要求</w:t>
      </w:r>
    </w:p>
    <w:p w14:paraId="59A38CA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bookmarkStart w:id="43" w:name="_Toc11687"/>
      <w:r>
        <w:rPr>
          <w:rFonts w:hint="eastAsia" w:ascii="Times New Roman" w:hAnsi="Times New Roman" w:eastAsia="宋体" w:cs="Times New Roman"/>
          <w:b/>
          <w:bCs/>
          <w:color w:val="000000" w:themeColor="text1"/>
          <w:lang w:val="en-US" w:eastAsia="zh-CN"/>
          <w14:textFill>
            <w14:solidFill>
              <w14:schemeClr w14:val="tx1"/>
            </w14:solidFill>
          </w14:textFill>
        </w:rPr>
        <w:t>3.1 总体架构</w:t>
      </w:r>
      <w:bookmarkEnd w:id="43"/>
    </w:p>
    <w:p w14:paraId="5C75270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1、充电系统采用平台化技术，可以实现设备管理和业务系统剥离， 实现标准化充电平台，充电设备可以向多个业务系统开放，如：开放给开发商或物业。</w:t>
      </w:r>
    </w:p>
    <w:p w14:paraId="70CFEF2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 同一平台上实现多种业务场景组合，实现统一的管理和监控。 如：同一个设备可以对内部业主使用，可以对外公共社会化使用，可设置内外部不同的价格，实现分类管理、不同类别用户的识别。</w:t>
      </w:r>
    </w:p>
    <w:p w14:paraId="2115F09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3、充电监控系统：全方位的监控系统，检测充电设备、充电过程、系统告警等，以全面的监控数据和数据分析，提供智能化预警功能，是充电运营的有效安全保障。</w:t>
      </w:r>
    </w:p>
    <w:p w14:paraId="6FB2217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4、计费和分账：支持分时电价、支持断网或其他意外情况，针对不同的平台角色和多层次的等级，均可实现快速结算分账。</w:t>
      </w:r>
    </w:p>
    <w:p w14:paraId="7F36E3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5、硬件容错：针对充电设施可能常见的错误，设计 100 余种容错机制，即使在硬件出故障时，保障用户的充电体验，保障运营商的利益。</w:t>
      </w:r>
    </w:p>
    <w:p w14:paraId="532D2C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6、自主数据总线机制，实现了在保证主流程（IOT、OPEN 服务） 高效执行的基础上，可以无限扩展子系统（CMS、监控系统、ERP 系统等）</w:t>
      </w:r>
    </w:p>
    <w:p w14:paraId="65DCD67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7、弱耦合系统架构：系统中每个模块都可以独立拆分，方便扩展，便于针对某个模块的升级，新增或者扩展。</w:t>
      </w:r>
    </w:p>
    <w:p w14:paraId="5480B4B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8、集群式分布部署：采用集群式分布部署，便于横向扩展，支持高并发，抗压能力强。</w:t>
      </w:r>
    </w:p>
    <w:p w14:paraId="30DB18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9、自主高效协议：高效的通讯协议，适用范围广，有非常好的实 用性、安全性、健壮性。 此外，平台还具备大数据分析、互联互通、远程升级、生态应用等功能。</w:t>
      </w:r>
    </w:p>
    <w:p w14:paraId="57DA3AC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bookmarkStart w:id="44" w:name="_Toc32381"/>
      <w:r>
        <w:rPr>
          <w:rFonts w:hint="eastAsia" w:ascii="Times New Roman" w:hAnsi="Times New Roman" w:eastAsia="宋体" w:cs="Times New Roman"/>
          <w:color w:val="000000" w:themeColor="text1"/>
          <w:lang w:val="en-US" w:eastAsia="zh-CN"/>
          <w14:textFill>
            <w14:solidFill>
              <w14:schemeClr w14:val="tx1"/>
            </w14:solidFill>
          </w14:textFill>
        </w:rPr>
        <w:t>10、灰度升级：系统升级过程中，不影响正常的用户使用。</w:t>
      </w:r>
      <w:bookmarkEnd w:id="44"/>
    </w:p>
    <w:p w14:paraId="75E3C8DC">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bookmarkStart w:id="45" w:name="_Toc11689"/>
      <w:r>
        <w:rPr>
          <w:rFonts w:hint="eastAsia" w:ascii="Times New Roman" w:hAnsi="Times New Roman" w:eastAsia="宋体" w:cs="Times New Roman"/>
          <w:b/>
          <w:bCs/>
          <w:color w:val="000000" w:themeColor="text1"/>
          <w:lang w:val="en-US" w:eastAsia="zh-CN"/>
          <w14:textFill>
            <w14:solidFill>
              <w14:schemeClr w14:val="tx1"/>
            </w14:solidFill>
          </w14:textFill>
        </w:rPr>
        <w:t>3.2 基本功能要求</w:t>
      </w:r>
      <w:bookmarkEnd w:id="45"/>
    </w:p>
    <w:p w14:paraId="3705A9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bookmarkStart w:id="46" w:name="_Toc25480"/>
      <w:r>
        <w:rPr>
          <w:rFonts w:hint="eastAsia" w:ascii="Times New Roman" w:hAnsi="Times New Roman" w:eastAsia="宋体" w:cs="Times New Roman"/>
          <w:color w:val="000000" w:themeColor="text1"/>
          <w:lang w:val="en-US" w:eastAsia="zh-CN"/>
          <w14:textFill>
            <w14:solidFill>
              <w14:schemeClr w14:val="tx1"/>
            </w14:solidFill>
          </w14:textFill>
        </w:rPr>
        <w:t>3.2.1 监控平台</w:t>
      </w:r>
      <w:bookmarkEnd w:id="46"/>
    </w:p>
    <w:p w14:paraId="2E52367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能够统计并展示充电设施公共数据，如充电设施位置信息、设备 运营商、设施类型、充电功率、接口信息、使用状态等；能够分析并 展示设施运营状态，如充电设施利用率、充电量数据、覆盖率、电费 服务费价格合规情况等；能够满足主管部门的业务需求，完成数据统</w:t>
      </w:r>
    </w:p>
    <w:p w14:paraId="386D30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计分析及报表导出等业务支撑。</w:t>
      </w:r>
    </w:p>
    <w:p w14:paraId="03D8228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3.2 基本功能要求</w:t>
      </w:r>
    </w:p>
    <w:p w14:paraId="48CCE4A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p>
    <w:p w14:paraId="79FB5BC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响应单位平台需满足以下基础要求：</w:t>
      </w:r>
    </w:p>
    <w:p w14:paraId="07E5518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3.2.1 监控平台</w:t>
      </w:r>
    </w:p>
    <w:p w14:paraId="6B5715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能够统计并展示充电设施公共数据，如充电设施位置信息、设备 运营商、设施类型、充电功率、接口信息、使用状态等；能够分析并 展示设施运营状态，如充电设施利用率、充电量数据、覆盖率、电费 服务费价格合规情况等；能够满足主管部门的业务需求，完成数据统计分析及报表导出等业务支撑。</w:t>
      </w:r>
    </w:p>
    <w:p w14:paraId="6DA3E22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1.电站实时监控</w:t>
      </w:r>
    </w:p>
    <w:p w14:paraId="125650A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充电站监控：监控交流桩数量、充电桩的待机数量、充电数量、离线数量、故障数量，当日充电次数、充电电量，最大、最小充电时长，最大、最小充电电量。 实时监控每个充电桩的当前运行状态、状态发生时间、状态持续时长、之前状态，当前处于充电状态的充电时长、充电电量等。</w:t>
      </w:r>
    </w:p>
    <w:p w14:paraId="70D5C4E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2.充电桩实时监控</w:t>
      </w:r>
    </w:p>
    <w:p w14:paraId="7D989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充电桩监控：对充电桩的本次充电时长、充电电量、累计充电次数、累计充电电量、充电输入电压、输入电流、输出电压、 输出电流、输出功率进行实时监控。可查看充电桩（枪）基本信息、充电桩充电记录。</w:t>
      </w:r>
    </w:p>
    <w:p w14:paraId="5EA54D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3.视频监控</w:t>
      </w:r>
    </w:p>
    <w:p w14:paraId="1D61839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系统提供视频通讯方式，对区域内运行的充电站、单桩进行实时监控。</w:t>
      </w:r>
    </w:p>
    <w:p w14:paraId="7B5F22B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4.统计分析</w:t>
      </w:r>
    </w:p>
    <w:p w14:paraId="71F3F11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平台应具备对业务数据的统计分析功能，包括但不限于数据分析，图表展示，趋势图，曲线图等。</w:t>
      </w:r>
    </w:p>
    <w:p w14:paraId="3F2167E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5.故障预警</w:t>
      </w:r>
    </w:p>
    <w:p w14:paraId="44F2E75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实时监控充电设施数据，发现异常信息后自动警示，及时向开发商、运营商单位及物业部门发布警示信息，根据预警级别自动启动应急预案，实施救援及故障处置。</w:t>
      </w:r>
    </w:p>
    <w:p w14:paraId="2F174A3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6.电站运维管理</w:t>
      </w:r>
    </w:p>
    <w:p w14:paraId="45962D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通过运维指标监控，全面了解电站运维工作的现状。在预警处理 时，针对不同的问题进行分级处理。针对运维工作也提供运维工单管理模块，追踪任务完成情况。</w:t>
      </w:r>
    </w:p>
    <w:p w14:paraId="44CDF92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7.权限管理</w:t>
      </w:r>
    </w:p>
    <w:p w14:paraId="3426F36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平台应具备完善的权限管理功能，支持用户管理，角色管理，操作日志的查询等。监控平台可提供接口接入采购人现有系统要求。</w:t>
      </w:r>
    </w:p>
    <w:p w14:paraId="7DC22C1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p>
    <w:p w14:paraId="401063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3.2.2 后台管理系统</w:t>
      </w:r>
    </w:p>
    <w:p w14:paraId="1FB118D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（1）基础信息维护</w:t>
      </w:r>
    </w:p>
    <w:p w14:paraId="1CDBAED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基础信息管理主要是对充电站和充电桩的档案管理平台具备充电设施档案管理维护功能，支持充电站信息录入、修 改、新增和删除，可在充电站中对充电桩进行增加、删除和状态修改、 信息修改与状态变更等操作，支持电站运营基础数据的配置与维护（如：电站价格信息，电站属性、运营状态）。</w:t>
      </w:r>
    </w:p>
    <w:p w14:paraId="4410958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1.多电价策略</w:t>
      </w:r>
    </w:p>
    <w:p w14:paraId="4E06411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维护电站以及充电桩的计费策略，能实现用户差异化收费，支持分时段自动调价与分账设置。支持内部和外部多种电价设置策略，可满足内部用户使用和对外公共运营的要求。</w:t>
      </w:r>
    </w:p>
    <w:p w14:paraId="4E5836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2.电站监控</w:t>
      </w:r>
    </w:p>
    <w:p w14:paraId="38FC200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监控每个充电桩/充电终端的工作状态，包括充电枪状态、充电回路 的电压、电流、功率，充电回路的起动、停止、暂停，直流充电的电 压、电流、调节、控制等，实现场站所有充电设施监控，实现按权限监控单站充电设施。</w:t>
      </w:r>
    </w:p>
    <w:p w14:paraId="1E82373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3.远程控制</w:t>
      </w:r>
    </w:p>
    <w:p w14:paraId="071B934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可通过平台对充电场站的充电设备进行启停操作，实现远程控制、远程升级及批量远程升级。</w:t>
      </w:r>
    </w:p>
    <w:p w14:paraId="4C45E8D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4.充电管理</w:t>
      </w:r>
    </w:p>
    <w:p w14:paraId="04F2807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（1）车辆识别插枪即充</w:t>
      </w:r>
    </w:p>
    <w:p w14:paraId="75CE6B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平台应支持对充电车辆实现车辆 VIN 或车牌号自动识别功能，自动关联企业账户或个人账户启动充电。</w:t>
      </w:r>
    </w:p>
    <w:p w14:paraId="7F10394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（2）可支持设置充电计划，定时定量启动充电。</w:t>
      </w:r>
    </w:p>
    <w:p w14:paraId="6002836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（3）可支持查看订单及历史订单，充电过程数据。</w:t>
      </w:r>
    </w:p>
    <w:p w14:paraId="1C34C50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7.异常修复</w:t>
      </w:r>
    </w:p>
    <w:p w14:paraId="5424718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平台应支持对异常订单修复。</w:t>
      </w:r>
    </w:p>
    <w:p w14:paraId="19FE28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8.权限管理</w:t>
      </w:r>
    </w:p>
    <w:p w14:paraId="77C5F88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平台应具备完善的权限管理功能，支持用户管理，角色管理，操作日志的查询等。</w:t>
      </w:r>
    </w:p>
    <w:p w14:paraId="7103A6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（2）用户服务系统</w:t>
      </w:r>
    </w:p>
    <w:p w14:paraId="0FB0928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平台为用户提供多种充电客户端服务，包含手机 app 及微信小程 序。提供漫游充电服务；能够显示跨运营商的充电设施数据；能够显 示充电站位置、充电桩类型及数量、充电电费、充电服务费、充电桩 忙闲状态等信息，并提供导航服务；能够为车主提供统一支付结算功能，并支持多种手机支付方式；具备为运营商提供账单清算服务。</w:t>
      </w:r>
    </w:p>
    <w:p w14:paraId="074F60B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1.充电站搜索</w:t>
      </w:r>
    </w:p>
    <w:p w14:paraId="51012E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输入地址或充电站名称，在地图上显示充电桩信息，包括距离、空闲 充电桩数量、运营商。支持按城市区域、距离范围、充电桩类型、运 营商等过滤条件查询充电站信息。支持查看充电站详情，包括充电站 名称、运营商、充电支付方式、充电桩数量、开放信息、成功充电车型等功能。</w:t>
      </w:r>
    </w:p>
    <w:p w14:paraId="52BF27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2.充电站导航</w:t>
      </w:r>
    </w:p>
    <w:p w14:paraId="421EB68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支持选择充电站，支持手机已安装多种导航方式，地图导航到目的地。</w:t>
      </w:r>
    </w:p>
    <w:p w14:paraId="57FDDE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 自助充电</w:t>
      </w:r>
    </w:p>
    <w:p w14:paraId="7C5CB94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支持扫码、输入终端编号启动充电业务，支持充电过程中实时监控充电的电压、电流、电量信息。</w:t>
      </w:r>
    </w:p>
    <w:p w14:paraId="3BCA892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4.支付结算</w:t>
      </w:r>
    </w:p>
    <w:p w14:paraId="21D8DFE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提供订单在线支付功能，支持微信支付、支付宝支付、银联支付，支持用户申请开票，根据不同运营商开票。</w:t>
      </w:r>
    </w:p>
    <w:p w14:paraId="4D10852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5.用户评价</w:t>
      </w:r>
    </w:p>
    <w:p w14:paraId="1147E1B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支持用户对充电设施故障反馈、评论，运营商服务评价。</w:t>
      </w:r>
    </w:p>
    <w:p w14:paraId="3E32DA4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sectPr>
          <w:footerReference r:id="rId3" w:type="default"/>
          <w:pgSz w:w="11906" w:h="16839"/>
          <w:pgMar w:top="1431" w:right="1716" w:bottom="1378" w:left="1785" w:header="0" w:footer="1212" w:gutter="0"/>
          <w:pgNumType w:fmt="decimal"/>
          <w:cols w:space="720" w:num="1"/>
        </w:sectPr>
      </w:pPr>
    </w:p>
    <w:p w14:paraId="1A07A1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6.漫游充电服务</w:t>
      </w:r>
    </w:p>
    <w:p w14:paraId="11F6D3C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平台提供跨城市出行的漫游充电服务；支持显示跨运营商的充电设施 数据；支持显示充电站位置、充电桩类型及数量、充电电费、充电服务费、充电桩忙闲状态等信息，并提供导航服务。</w:t>
      </w:r>
    </w:p>
    <w:p w14:paraId="15EBBEC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7.一号多充</w:t>
      </w:r>
    </w:p>
    <w:p w14:paraId="301A26F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平台应支持实现一个账户可以同时启动 3 个以上充电设备。</w:t>
      </w:r>
    </w:p>
    <w:p w14:paraId="503B060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8.预约充电</w:t>
      </w:r>
    </w:p>
    <w:p w14:paraId="279EADE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平台应支持用户按照预设时间进行充电。</w:t>
      </w:r>
    </w:p>
    <w:p w14:paraId="29A54B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9.支持电子发票</w:t>
      </w:r>
    </w:p>
    <w:p w14:paraId="7C2CA6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10.故障上报</w:t>
      </w:r>
    </w:p>
    <w:p w14:paraId="7DCB43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p>
    <w:p w14:paraId="239A97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（3）互联互通子平台</w:t>
      </w:r>
    </w:p>
    <w:p w14:paraId="48BA420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p>
    <w:p w14:paraId="0A37A9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互联互通子平台具备按照用户服务子平台、充电设施监控子平台 的业务需求接入不同企业的充电设施数据能力；执行《电动汽车充换 电服务信息交换》系列标准；支持与其他政务系统或第三方运营商平 台对接，实现数据的互联互通；提供 EXCEL 数据文件形式的数据报送功能。</w:t>
      </w:r>
    </w:p>
    <w:p w14:paraId="59D9F94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平台执行 T／CEC 102.2-2016《电动汽车充换电服务信息交换 第 2 部分：公共信息交换规范》标准 ，建立统一的数据实时接入接口，</w:t>
      </w:r>
    </w:p>
    <w:p w14:paraId="199D314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支持充换电运营平台数据接入，对充换电运营平台监控和管理。</w:t>
      </w:r>
    </w:p>
    <w:p w14:paraId="1A841AF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平台提供开放接口，支持充电设施运营商接入；接入上级监管平 台、电子政务平台；与第三方互联网平台互联互通，实现数据整合与共享，支持 EXCEL 数据文件形式的数据报送。</w:t>
      </w:r>
    </w:p>
    <w:p w14:paraId="0957B8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开放接口将整个平台的数据及服务对接到其他业务系统，打破了 原有系统之间的信息孤岛，将充电业务集成到其他业务中，如：政府 行业监管、行业合作伙伴（如：智能停车平台）和第三方互联网公众服务平台（地图厂商等）。</w:t>
      </w:r>
    </w:p>
    <w:p w14:paraId="7F09E23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为保证互联互通的安全性，平台设计时通过增加签名，防止数据传输 过程中被篡改，传输过程中所有传输的参数及返回值，全链路进行加密，可接入目前采购人已有 app 应用，并实现费用直接到采购人公司  相关账户。采购人设备可开放给第三方平台且满足 T+1 费用结算要求，响应平台系统可免费提供给采购方使用。</w:t>
      </w:r>
    </w:p>
    <w:p w14:paraId="3878F9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3.3 扩展功能要求</w:t>
      </w:r>
    </w:p>
    <w:p w14:paraId="1AE23D58">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1.充停整合功能</w:t>
      </w:r>
    </w:p>
    <w:p w14:paraId="28D91447">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乙方提供的设备平台需与市场主流运营平台实现互联互通，执行《电动汽车充换电服务信息交换》系列标准，同时实现充电桩运营平台与停车场管理系统的联通，实现充电减免2小时停车费的功能。</w:t>
      </w:r>
    </w:p>
    <w:p w14:paraId="0D67E68F">
      <w:pPr>
        <w:pStyle w:val="3"/>
        <w:keepNext w:val="0"/>
        <w:keepLines w:val="0"/>
        <w:pageBreakBefore w:val="0"/>
        <w:tabs>
          <w:tab w:val="left" w:pos="315"/>
          <w:tab w:val="left" w:pos="993"/>
        </w:tabs>
        <w:kinsoku/>
        <w:wordWrap/>
        <w:overflowPunct/>
        <w:topLinePunct w:val="0"/>
        <w:autoSpaceDE/>
        <w:autoSpaceDN/>
        <w:bidi w:val="0"/>
        <w:adjustRightInd/>
        <w:snapToGrid/>
        <w:spacing w:line="360" w:lineRule="auto"/>
        <w:ind w:firstLine="422" w:firstLineChars="200"/>
        <w:jc w:val="left"/>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设备厂商的充电平台需支持甲方自主修改收费标准，支持在城投ipark端口使用（甲方能提供标准的API接口，并实现第三方平台收款功能），并能实现微信支付、支付宝支付功能。</w:t>
      </w:r>
    </w:p>
    <w:p w14:paraId="0E16777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2.私桩共享运营管理</w:t>
      </w:r>
    </w:p>
    <w:p w14:paraId="29D028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平台应支持私桩共享运营管理。</w:t>
      </w:r>
    </w:p>
    <w:p w14:paraId="694BA0A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3.车辆 vin 码识别</w:t>
      </w:r>
    </w:p>
    <w:p w14:paraId="75FBD51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平台应支持对充电车辆实现车辆自动识别功能。支持车辆插枪即充。</w:t>
      </w:r>
    </w:p>
    <w:p w14:paraId="7942768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4.充电短信或微信通知</w:t>
      </w:r>
    </w:p>
    <w:p w14:paraId="4732C3B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在用户快速充电即将结束时，平台能通过手机号对用户发送短信或微信通知，内容包括但不限于充电订单号，充电电量，充电费用等。</w:t>
      </w:r>
    </w:p>
    <w:p w14:paraId="493DDD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5.充电桩离线充电功能</w:t>
      </w:r>
    </w:p>
    <w:p w14:paraId="058141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lang w:val="en-US" w:eastAsia="zh-CN"/>
          <w14:textFill>
            <w14:solidFill>
              <w14:schemeClr w14:val="tx1"/>
            </w14:solidFill>
          </w14:textFill>
        </w:rPr>
        <w:sectPr>
          <w:footerReference r:id="rId4" w:type="default"/>
          <w:pgSz w:w="11906" w:h="16839"/>
          <w:pgMar w:top="1431" w:right="1577" w:bottom="1378" w:left="1785" w:header="0" w:footer="1212" w:gutter="0"/>
          <w:pgNumType w:fmt="decimal"/>
          <w:cols w:space="720" w:num="1"/>
        </w:sectPr>
      </w:pPr>
      <w:r>
        <w:rPr>
          <w:rFonts w:hint="eastAsia" w:ascii="Times New Roman" w:hAnsi="Times New Roman" w:eastAsia="宋体" w:cs="Times New Roman"/>
          <w:color w:val="000000" w:themeColor="text1"/>
          <w:lang w:val="en-US" w:eastAsia="zh-CN"/>
          <w14:textFill>
            <w14:solidFill>
              <w14:schemeClr w14:val="tx1"/>
            </w14:solidFill>
          </w14:textFill>
        </w:rPr>
        <w:t>费率以及 VIN 码等数据可以下发同步到充电桩主控制系统上。</w:t>
      </w:r>
    </w:p>
    <w:p w14:paraId="27540B9E">
      <w:pPr>
        <w:pStyle w:val="3"/>
        <w:tabs>
          <w:tab w:val="left" w:pos="315"/>
          <w:tab w:val="left" w:pos="993"/>
        </w:tabs>
        <w:spacing w:line="360" w:lineRule="auto"/>
        <w:ind w:left="0" w:leftChars="0" w:firstLine="0" w:firstLineChars="0"/>
        <w:rPr>
          <w:rFonts w:ascii="Times New Roman" w:hAnsi="Times New Roman" w:eastAsia="宋体" w:cs="Times New Roman"/>
          <w:color w:val="000000" w:themeColor="text1"/>
          <w14:textFill>
            <w14:solidFill>
              <w14:schemeClr w14:val="tx1"/>
            </w14:solidFill>
          </w14:textFill>
        </w:rPr>
      </w:pPr>
    </w:p>
    <w:sectPr>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2979F7-FCA1-4369-A6A8-B7F20C769B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862B62-ED0E-4118-8665-A089745E80B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embedRegular r:id="rId3" w:fontKey="{F37993B2-2CC3-44BC-88F6-78EF81D1D3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5183">
    <w:pPr>
      <w:spacing w:line="169" w:lineRule="auto"/>
      <w:ind w:left="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43492">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143492">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2FDA">
    <w:pPr>
      <w:spacing w:line="169" w:lineRule="auto"/>
      <w:ind w:left="2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6166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06166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1D7F">
    <w:pPr>
      <w:spacing w:line="169" w:lineRule="auto"/>
      <w:ind w:left="2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7728C">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87728C">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4BDAF"/>
    <w:multiLevelType w:val="singleLevel"/>
    <w:tmpl w:val="8A84BDAF"/>
    <w:lvl w:ilvl="0" w:tentative="0">
      <w:start w:val="1"/>
      <w:numFmt w:val="chineseCounting"/>
      <w:suff w:val="nothing"/>
      <w:lvlText w:val="%1、"/>
      <w:lvlJc w:val="left"/>
      <w:rPr>
        <w:rFonts w:hint="eastAsia"/>
      </w:rPr>
    </w:lvl>
  </w:abstractNum>
  <w:abstractNum w:abstractNumId="1">
    <w:nsid w:val="083F1418"/>
    <w:multiLevelType w:val="multilevel"/>
    <w:tmpl w:val="083F1418"/>
    <w:lvl w:ilvl="0" w:tentative="0">
      <w:start w:val="1"/>
      <w:numFmt w:val="lowerLetter"/>
      <w:lvlText w:val="%1）"/>
      <w:lvlJc w:val="left"/>
      <w:pPr>
        <w:ind w:left="786"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4CD17D"/>
    <w:multiLevelType w:val="singleLevel"/>
    <w:tmpl w:val="104CD17D"/>
    <w:lvl w:ilvl="0" w:tentative="0">
      <w:start w:val="1"/>
      <w:numFmt w:val="lowerLetter"/>
      <w:suff w:val="space"/>
      <w:lvlText w:val="%1)"/>
      <w:lvlJc w:val="left"/>
    </w:lvl>
  </w:abstractNum>
  <w:abstractNum w:abstractNumId="3">
    <w:nsid w:val="151162CB"/>
    <w:multiLevelType w:val="multilevel"/>
    <w:tmpl w:val="151162C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4285022"/>
    <w:multiLevelType w:val="multilevel"/>
    <w:tmpl w:val="2428502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7784198"/>
    <w:multiLevelType w:val="multilevel"/>
    <w:tmpl w:val="3778419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B8F5753"/>
    <w:multiLevelType w:val="multilevel"/>
    <w:tmpl w:val="5B8F5753"/>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C14A75"/>
    <w:multiLevelType w:val="multilevel"/>
    <w:tmpl w:val="66C14A75"/>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3"/>
  </w:num>
  <w:num w:numId="4">
    <w:abstractNumId w:val="1"/>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YTBiNTMwMDUzYTEzYjJmOGQ4NDQ3MTIzMGZiNWQifQ=="/>
  </w:docVars>
  <w:rsids>
    <w:rsidRoot w:val="009758AD"/>
    <w:rsid w:val="000018FF"/>
    <w:rsid w:val="00002BAF"/>
    <w:rsid w:val="00002BC1"/>
    <w:rsid w:val="00002BD3"/>
    <w:rsid w:val="0001640D"/>
    <w:rsid w:val="000209C4"/>
    <w:rsid w:val="000217DD"/>
    <w:rsid w:val="000370D0"/>
    <w:rsid w:val="00040461"/>
    <w:rsid w:val="00046EEE"/>
    <w:rsid w:val="000611E0"/>
    <w:rsid w:val="00062F8C"/>
    <w:rsid w:val="00064804"/>
    <w:rsid w:val="00064F83"/>
    <w:rsid w:val="000657AB"/>
    <w:rsid w:val="00072497"/>
    <w:rsid w:val="00072B1B"/>
    <w:rsid w:val="00082702"/>
    <w:rsid w:val="000851DC"/>
    <w:rsid w:val="00087210"/>
    <w:rsid w:val="000912AD"/>
    <w:rsid w:val="000934D5"/>
    <w:rsid w:val="00093ACB"/>
    <w:rsid w:val="000961A7"/>
    <w:rsid w:val="000A28AF"/>
    <w:rsid w:val="000A693B"/>
    <w:rsid w:val="000B08D5"/>
    <w:rsid w:val="000B2108"/>
    <w:rsid w:val="000C0582"/>
    <w:rsid w:val="000C0635"/>
    <w:rsid w:val="000C24BE"/>
    <w:rsid w:val="000C2EF2"/>
    <w:rsid w:val="000C6F60"/>
    <w:rsid w:val="000C7AE1"/>
    <w:rsid w:val="000D12E6"/>
    <w:rsid w:val="000D1699"/>
    <w:rsid w:val="000D16D9"/>
    <w:rsid w:val="000D1737"/>
    <w:rsid w:val="000D5646"/>
    <w:rsid w:val="000E0158"/>
    <w:rsid w:val="000E1B4E"/>
    <w:rsid w:val="000E1BCF"/>
    <w:rsid w:val="000E23F7"/>
    <w:rsid w:val="000E72DC"/>
    <w:rsid w:val="000F7E3C"/>
    <w:rsid w:val="00102615"/>
    <w:rsid w:val="001029B6"/>
    <w:rsid w:val="00104E42"/>
    <w:rsid w:val="001054E2"/>
    <w:rsid w:val="00106368"/>
    <w:rsid w:val="0011303A"/>
    <w:rsid w:val="00114722"/>
    <w:rsid w:val="00116FFE"/>
    <w:rsid w:val="00120E5D"/>
    <w:rsid w:val="001225EE"/>
    <w:rsid w:val="00130B98"/>
    <w:rsid w:val="0013276F"/>
    <w:rsid w:val="00143449"/>
    <w:rsid w:val="001459E8"/>
    <w:rsid w:val="001531A2"/>
    <w:rsid w:val="00154EEE"/>
    <w:rsid w:val="001642F2"/>
    <w:rsid w:val="0016745F"/>
    <w:rsid w:val="001716C1"/>
    <w:rsid w:val="001749F9"/>
    <w:rsid w:val="0018356A"/>
    <w:rsid w:val="00183F53"/>
    <w:rsid w:val="00185495"/>
    <w:rsid w:val="00185F15"/>
    <w:rsid w:val="00186E37"/>
    <w:rsid w:val="00190450"/>
    <w:rsid w:val="00192486"/>
    <w:rsid w:val="00192E71"/>
    <w:rsid w:val="00193E37"/>
    <w:rsid w:val="0019758E"/>
    <w:rsid w:val="001A38A1"/>
    <w:rsid w:val="001A5ABD"/>
    <w:rsid w:val="001A6C72"/>
    <w:rsid w:val="001B1C21"/>
    <w:rsid w:val="001B2376"/>
    <w:rsid w:val="001B6FAE"/>
    <w:rsid w:val="001B7587"/>
    <w:rsid w:val="001B75B7"/>
    <w:rsid w:val="001C55B0"/>
    <w:rsid w:val="001C600F"/>
    <w:rsid w:val="001C63C5"/>
    <w:rsid w:val="001C681C"/>
    <w:rsid w:val="001C7A5E"/>
    <w:rsid w:val="001D262B"/>
    <w:rsid w:val="001D2E2F"/>
    <w:rsid w:val="001D4B05"/>
    <w:rsid w:val="001D78B3"/>
    <w:rsid w:val="001E54D8"/>
    <w:rsid w:val="001E6390"/>
    <w:rsid w:val="001E75D2"/>
    <w:rsid w:val="001F140F"/>
    <w:rsid w:val="001F378F"/>
    <w:rsid w:val="001F4586"/>
    <w:rsid w:val="001F7249"/>
    <w:rsid w:val="001F79FD"/>
    <w:rsid w:val="002002AA"/>
    <w:rsid w:val="00201B59"/>
    <w:rsid w:val="002030E3"/>
    <w:rsid w:val="00206587"/>
    <w:rsid w:val="002164E7"/>
    <w:rsid w:val="00221D9C"/>
    <w:rsid w:val="002230F0"/>
    <w:rsid w:val="00231293"/>
    <w:rsid w:val="00231A09"/>
    <w:rsid w:val="002321F4"/>
    <w:rsid w:val="002451EC"/>
    <w:rsid w:val="00250ACC"/>
    <w:rsid w:val="0025276F"/>
    <w:rsid w:val="00254FF6"/>
    <w:rsid w:val="00261ED6"/>
    <w:rsid w:val="0026564C"/>
    <w:rsid w:val="00267570"/>
    <w:rsid w:val="00271B77"/>
    <w:rsid w:val="00276A4C"/>
    <w:rsid w:val="00280409"/>
    <w:rsid w:val="00280826"/>
    <w:rsid w:val="002809C4"/>
    <w:rsid w:val="00280FB3"/>
    <w:rsid w:val="00283ACD"/>
    <w:rsid w:val="00285052"/>
    <w:rsid w:val="00285E75"/>
    <w:rsid w:val="00286ABD"/>
    <w:rsid w:val="002A04E9"/>
    <w:rsid w:val="002A761F"/>
    <w:rsid w:val="002B3998"/>
    <w:rsid w:val="002C04B4"/>
    <w:rsid w:val="002C1F73"/>
    <w:rsid w:val="002D0F51"/>
    <w:rsid w:val="002D16CC"/>
    <w:rsid w:val="002D4AD0"/>
    <w:rsid w:val="002D74CE"/>
    <w:rsid w:val="002E26ED"/>
    <w:rsid w:val="002E2E85"/>
    <w:rsid w:val="002E57D8"/>
    <w:rsid w:val="002E707E"/>
    <w:rsid w:val="002F21F3"/>
    <w:rsid w:val="002F26AC"/>
    <w:rsid w:val="002F4A66"/>
    <w:rsid w:val="002F5FD8"/>
    <w:rsid w:val="002F7B41"/>
    <w:rsid w:val="003000E0"/>
    <w:rsid w:val="00301046"/>
    <w:rsid w:val="00304C3D"/>
    <w:rsid w:val="00306D92"/>
    <w:rsid w:val="003102BA"/>
    <w:rsid w:val="003203BF"/>
    <w:rsid w:val="0032116C"/>
    <w:rsid w:val="003230C7"/>
    <w:rsid w:val="00340AE2"/>
    <w:rsid w:val="00341616"/>
    <w:rsid w:val="00342424"/>
    <w:rsid w:val="0034696D"/>
    <w:rsid w:val="003479D4"/>
    <w:rsid w:val="00351089"/>
    <w:rsid w:val="00351BD4"/>
    <w:rsid w:val="003541B3"/>
    <w:rsid w:val="0035694B"/>
    <w:rsid w:val="0037050A"/>
    <w:rsid w:val="00370D36"/>
    <w:rsid w:val="003802F9"/>
    <w:rsid w:val="00384C5F"/>
    <w:rsid w:val="003875A1"/>
    <w:rsid w:val="00390B59"/>
    <w:rsid w:val="003A5796"/>
    <w:rsid w:val="003A62A2"/>
    <w:rsid w:val="003A7ED8"/>
    <w:rsid w:val="003B24E7"/>
    <w:rsid w:val="003B2677"/>
    <w:rsid w:val="003B4CC0"/>
    <w:rsid w:val="003B5BCE"/>
    <w:rsid w:val="003B7695"/>
    <w:rsid w:val="003C1984"/>
    <w:rsid w:val="003C3845"/>
    <w:rsid w:val="003D0910"/>
    <w:rsid w:val="003D0D07"/>
    <w:rsid w:val="003D7530"/>
    <w:rsid w:val="003E0597"/>
    <w:rsid w:val="003E0EC0"/>
    <w:rsid w:val="003E307B"/>
    <w:rsid w:val="003E4074"/>
    <w:rsid w:val="003F1B36"/>
    <w:rsid w:val="003F4F35"/>
    <w:rsid w:val="003F703E"/>
    <w:rsid w:val="00400E4E"/>
    <w:rsid w:val="00402CD2"/>
    <w:rsid w:val="00406496"/>
    <w:rsid w:val="00412C73"/>
    <w:rsid w:val="004174E1"/>
    <w:rsid w:val="004178DD"/>
    <w:rsid w:val="00422680"/>
    <w:rsid w:val="004311D7"/>
    <w:rsid w:val="0043451D"/>
    <w:rsid w:val="00440225"/>
    <w:rsid w:val="00440A69"/>
    <w:rsid w:val="00450CA8"/>
    <w:rsid w:val="004563EE"/>
    <w:rsid w:val="00457CE9"/>
    <w:rsid w:val="00461535"/>
    <w:rsid w:val="00472000"/>
    <w:rsid w:val="004729FA"/>
    <w:rsid w:val="004763FF"/>
    <w:rsid w:val="004804FA"/>
    <w:rsid w:val="0048270A"/>
    <w:rsid w:val="00483B89"/>
    <w:rsid w:val="00492002"/>
    <w:rsid w:val="00492D17"/>
    <w:rsid w:val="00493DE3"/>
    <w:rsid w:val="004A299C"/>
    <w:rsid w:val="004A3083"/>
    <w:rsid w:val="004B171C"/>
    <w:rsid w:val="004B2038"/>
    <w:rsid w:val="004B51AB"/>
    <w:rsid w:val="004B73A7"/>
    <w:rsid w:val="004C0EEB"/>
    <w:rsid w:val="004C4C5A"/>
    <w:rsid w:val="004C7CEF"/>
    <w:rsid w:val="004D02DF"/>
    <w:rsid w:val="004D1277"/>
    <w:rsid w:val="004D2DBA"/>
    <w:rsid w:val="004D58E2"/>
    <w:rsid w:val="004E64CC"/>
    <w:rsid w:val="004E6544"/>
    <w:rsid w:val="004F19CC"/>
    <w:rsid w:val="004F33D0"/>
    <w:rsid w:val="004F3C5B"/>
    <w:rsid w:val="004F3E69"/>
    <w:rsid w:val="00504B56"/>
    <w:rsid w:val="005107FF"/>
    <w:rsid w:val="00511CEC"/>
    <w:rsid w:val="00515D4F"/>
    <w:rsid w:val="005212F8"/>
    <w:rsid w:val="00525C33"/>
    <w:rsid w:val="00537B49"/>
    <w:rsid w:val="005424B5"/>
    <w:rsid w:val="00545795"/>
    <w:rsid w:val="0054735A"/>
    <w:rsid w:val="00547831"/>
    <w:rsid w:val="00550A96"/>
    <w:rsid w:val="00560B17"/>
    <w:rsid w:val="00565165"/>
    <w:rsid w:val="0056519A"/>
    <w:rsid w:val="00585954"/>
    <w:rsid w:val="00593473"/>
    <w:rsid w:val="005A0041"/>
    <w:rsid w:val="005A71CA"/>
    <w:rsid w:val="005B44A0"/>
    <w:rsid w:val="005C0A3A"/>
    <w:rsid w:val="005C67ED"/>
    <w:rsid w:val="005D47BF"/>
    <w:rsid w:val="005E24E8"/>
    <w:rsid w:val="005E63D9"/>
    <w:rsid w:val="005F391D"/>
    <w:rsid w:val="00602537"/>
    <w:rsid w:val="0061321E"/>
    <w:rsid w:val="00615944"/>
    <w:rsid w:val="006165D8"/>
    <w:rsid w:val="00617B99"/>
    <w:rsid w:val="006203DC"/>
    <w:rsid w:val="006261C0"/>
    <w:rsid w:val="00630440"/>
    <w:rsid w:val="0063048A"/>
    <w:rsid w:val="00632EA0"/>
    <w:rsid w:val="006412A7"/>
    <w:rsid w:val="006419B6"/>
    <w:rsid w:val="006462B5"/>
    <w:rsid w:val="006701D0"/>
    <w:rsid w:val="00672289"/>
    <w:rsid w:val="006729AD"/>
    <w:rsid w:val="006754ED"/>
    <w:rsid w:val="00680890"/>
    <w:rsid w:val="006844C2"/>
    <w:rsid w:val="00690109"/>
    <w:rsid w:val="00696308"/>
    <w:rsid w:val="006A0CB5"/>
    <w:rsid w:val="006A1588"/>
    <w:rsid w:val="006A21C7"/>
    <w:rsid w:val="006B2635"/>
    <w:rsid w:val="006B4D30"/>
    <w:rsid w:val="006B7F5F"/>
    <w:rsid w:val="006C4A64"/>
    <w:rsid w:val="006D10A7"/>
    <w:rsid w:val="006D367F"/>
    <w:rsid w:val="006E39CD"/>
    <w:rsid w:val="006E7E74"/>
    <w:rsid w:val="006F1931"/>
    <w:rsid w:val="006F45A1"/>
    <w:rsid w:val="006F536C"/>
    <w:rsid w:val="006F74D5"/>
    <w:rsid w:val="00701219"/>
    <w:rsid w:val="00702286"/>
    <w:rsid w:val="00702E15"/>
    <w:rsid w:val="00705188"/>
    <w:rsid w:val="00711C28"/>
    <w:rsid w:val="0071650B"/>
    <w:rsid w:val="00721A82"/>
    <w:rsid w:val="00722E1F"/>
    <w:rsid w:val="007249EA"/>
    <w:rsid w:val="00727B2D"/>
    <w:rsid w:val="00727FA9"/>
    <w:rsid w:val="0073392E"/>
    <w:rsid w:val="0073425E"/>
    <w:rsid w:val="00735953"/>
    <w:rsid w:val="00751806"/>
    <w:rsid w:val="00761850"/>
    <w:rsid w:val="00762C9A"/>
    <w:rsid w:val="007710AF"/>
    <w:rsid w:val="00775A4A"/>
    <w:rsid w:val="007769CA"/>
    <w:rsid w:val="00783962"/>
    <w:rsid w:val="00790858"/>
    <w:rsid w:val="00790EE2"/>
    <w:rsid w:val="00796563"/>
    <w:rsid w:val="007A3791"/>
    <w:rsid w:val="007A5781"/>
    <w:rsid w:val="007C0764"/>
    <w:rsid w:val="007C162A"/>
    <w:rsid w:val="007C1DAF"/>
    <w:rsid w:val="007C1F1B"/>
    <w:rsid w:val="007C5305"/>
    <w:rsid w:val="007D27CC"/>
    <w:rsid w:val="007D4A8E"/>
    <w:rsid w:val="007E180B"/>
    <w:rsid w:val="007E4B84"/>
    <w:rsid w:val="007E5C6A"/>
    <w:rsid w:val="007E61CA"/>
    <w:rsid w:val="007E7EF2"/>
    <w:rsid w:val="007F25EA"/>
    <w:rsid w:val="007F26CA"/>
    <w:rsid w:val="007F2C26"/>
    <w:rsid w:val="00806955"/>
    <w:rsid w:val="00807666"/>
    <w:rsid w:val="00807A99"/>
    <w:rsid w:val="008116F8"/>
    <w:rsid w:val="008141A1"/>
    <w:rsid w:val="0081429C"/>
    <w:rsid w:val="008145BE"/>
    <w:rsid w:val="008204A6"/>
    <w:rsid w:val="008216B5"/>
    <w:rsid w:val="00824C6E"/>
    <w:rsid w:val="00824CF6"/>
    <w:rsid w:val="0082538A"/>
    <w:rsid w:val="00827E1C"/>
    <w:rsid w:val="00832272"/>
    <w:rsid w:val="00837F96"/>
    <w:rsid w:val="00840F47"/>
    <w:rsid w:val="00845366"/>
    <w:rsid w:val="0085139C"/>
    <w:rsid w:val="00862F72"/>
    <w:rsid w:val="00863D0D"/>
    <w:rsid w:val="008674E2"/>
    <w:rsid w:val="008675AC"/>
    <w:rsid w:val="0087198D"/>
    <w:rsid w:val="00874138"/>
    <w:rsid w:val="00880E1F"/>
    <w:rsid w:val="00881391"/>
    <w:rsid w:val="00882F9B"/>
    <w:rsid w:val="00884D7A"/>
    <w:rsid w:val="00886E92"/>
    <w:rsid w:val="00897455"/>
    <w:rsid w:val="008A076E"/>
    <w:rsid w:val="008A3F85"/>
    <w:rsid w:val="008A463D"/>
    <w:rsid w:val="008B1B30"/>
    <w:rsid w:val="008B5213"/>
    <w:rsid w:val="008C1D14"/>
    <w:rsid w:val="008C27EF"/>
    <w:rsid w:val="008C2BD9"/>
    <w:rsid w:val="008C371D"/>
    <w:rsid w:val="008D1FAC"/>
    <w:rsid w:val="008D3CDB"/>
    <w:rsid w:val="008D705B"/>
    <w:rsid w:val="00900723"/>
    <w:rsid w:val="00904F89"/>
    <w:rsid w:val="009145DA"/>
    <w:rsid w:val="009159E8"/>
    <w:rsid w:val="00915A71"/>
    <w:rsid w:val="00917A9C"/>
    <w:rsid w:val="00923E91"/>
    <w:rsid w:val="00926145"/>
    <w:rsid w:val="00926260"/>
    <w:rsid w:val="00926E48"/>
    <w:rsid w:val="009343D2"/>
    <w:rsid w:val="00935417"/>
    <w:rsid w:val="009359A1"/>
    <w:rsid w:val="00935C0F"/>
    <w:rsid w:val="00937BBC"/>
    <w:rsid w:val="00941782"/>
    <w:rsid w:val="00943F1F"/>
    <w:rsid w:val="00945631"/>
    <w:rsid w:val="00947AB9"/>
    <w:rsid w:val="00947E59"/>
    <w:rsid w:val="00951230"/>
    <w:rsid w:val="00957238"/>
    <w:rsid w:val="009714E6"/>
    <w:rsid w:val="00973C87"/>
    <w:rsid w:val="00974747"/>
    <w:rsid w:val="009758AD"/>
    <w:rsid w:val="0098181F"/>
    <w:rsid w:val="00981FA0"/>
    <w:rsid w:val="00987F82"/>
    <w:rsid w:val="009A2C4F"/>
    <w:rsid w:val="009A3D20"/>
    <w:rsid w:val="009A4075"/>
    <w:rsid w:val="009A40A3"/>
    <w:rsid w:val="009A5452"/>
    <w:rsid w:val="009B04AA"/>
    <w:rsid w:val="009B5E4E"/>
    <w:rsid w:val="009C08A6"/>
    <w:rsid w:val="009C3BD7"/>
    <w:rsid w:val="009C6D92"/>
    <w:rsid w:val="009D3929"/>
    <w:rsid w:val="009E4748"/>
    <w:rsid w:val="009E4E62"/>
    <w:rsid w:val="00A14312"/>
    <w:rsid w:val="00A15737"/>
    <w:rsid w:val="00A21A9D"/>
    <w:rsid w:val="00A24321"/>
    <w:rsid w:val="00A302CA"/>
    <w:rsid w:val="00A311F1"/>
    <w:rsid w:val="00A34255"/>
    <w:rsid w:val="00A36766"/>
    <w:rsid w:val="00A425F8"/>
    <w:rsid w:val="00A427DB"/>
    <w:rsid w:val="00A42C56"/>
    <w:rsid w:val="00A472CD"/>
    <w:rsid w:val="00A5651E"/>
    <w:rsid w:val="00A56926"/>
    <w:rsid w:val="00A652F8"/>
    <w:rsid w:val="00A67D44"/>
    <w:rsid w:val="00A7000F"/>
    <w:rsid w:val="00A705CE"/>
    <w:rsid w:val="00A82F78"/>
    <w:rsid w:val="00A90F53"/>
    <w:rsid w:val="00AA00CC"/>
    <w:rsid w:val="00AA18A1"/>
    <w:rsid w:val="00AB1654"/>
    <w:rsid w:val="00AB7469"/>
    <w:rsid w:val="00AC3640"/>
    <w:rsid w:val="00AC3CFB"/>
    <w:rsid w:val="00AC7652"/>
    <w:rsid w:val="00AC7D21"/>
    <w:rsid w:val="00AD0BF1"/>
    <w:rsid w:val="00AD0F0C"/>
    <w:rsid w:val="00AE0DD6"/>
    <w:rsid w:val="00AE4919"/>
    <w:rsid w:val="00AE6D23"/>
    <w:rsid w:val="00AE752E"/>
    <w:rsid w:val="00B039CD"/>
    <w:rsid w:val="00B04848"/>
    <w:rsid w:val="00B04CD7"/>
    <w:rsid w:val="00B055F8"/>
    <w:rsid w:val="00B07681"/>
    <w:rsid w:val="00B10C0F"/>
    <w:rsid w:val="00B143AA"/>
    <w:rsid w:val="00B1653E"/>
    <w:rsid w:val="00B23E89"/>
    <w:rsid w:val="00B251A5"/>
    <w:rsid w:val="00B263CD"/>
    <w:rsid w:val="00B30F06"/>
    <w:rsid w:val="00B32AC4"/>
    <w:rsid w:val="00B33DFE"/>
    <w:rsid w:val="00B34798"/>
    <w:rsid w:val="00B41B59"/>
    <w:rsid w:val="00B50B9B"/>
    <w:rsid w:val="00B50C0E"/>
    <w:rsid w:val="00B56FD4"/>
    <w:rsid w:val="00B660EB"/>
    <w:rsid w:val="00B71002"/>
    <w:rsid w:val="00B717D9"/>
    <w:rsid w:val="00B759EC"/>
    <w:rsid w:val="00B76C67"/>
    <w:rsid w:val="00B837E1"/>
    <w:rsid w:val="00B863C3"/>
    <w:rsid w:val="00B910C9"/>
    <w:rsid w:val="00B9179E"/>
    <w:rsid w:val="00B973E2"/>
    <w:rsid w:val="00BA057A"/>
    <w:rsid w:val="00BA0A58"/>
    <w:rsid w:val="00BA75FD"/>
    <w:rsid w:val="00BB3ECE"/>
    <w:rsid w:val="00BB4D63"/>
    <w:rsid w:val="00BB551C"/>
    <w:rsid w:val="00BB65B3"/>
    <w:rsid w:val="00BB7290"/>
    <w:rsid w:val="00BB7A32"/>
    <w:rsid w:val="00BB7E33"/>
    <w:rsid w:val="00BE3972"/>
    <w:rsid w:val="00BE73A3"/>
    <w:rsid w:val="00BE7888"/>
    <w:rsid w:val="00BE795D"/>
    <w:rsid w:val="00BF4419"/>
    <w:rsid w:val="00BF61AC"/>
    <w:rsid w:val="00C114FA"/>
    <w:rsid w:val="00C123A7"/>
    <w:rsid w:val="00C15121"/>
    <w:rsid w:val="00C16405"/>
    <w:rsid w:val="00C205C9"/>
    <w:rsid w:val="00C2337B"/>
    <w:rsid w:val="00C32DB7"/>
    <w:rsid w:val="00C35457"/>
    <w:rsid w:val="00C37E9C"/>
    <w:rsid w:val="00C40AE7"/>
    <w:rsid w:val="00C41F56"/>
    <w:rsid w:val="00C44745"/>
    <w:rsid w:val="00C45AC9"/>
    <w:rsid w:val="00C53EC9"/>
    <w:rsid w:val="00C54226"/>
    <w:rsid w:val="00C54ABD"/>
    <w:rsid w:val="00C54E50"/>
    <w:rsid w:val="00C56D99"/>
    <w:rsid w:val="00C6337F"/>
    <w:rsid w:val="00C642FC"/>
    <w:rsid w:val="00C64487"/>
    <w:rsid w:val="00C72055"/>
    <w:rsid w:val="00C72D6D"/>
    <w:rsid w:val="00C74B7D"/>
    <w:rsid w:val="00C764F7"/>
    <w:rsid w:val="00C80046"/>
    <w:rsid w:val="00C850DA"/>
    <w:rsid w:val="00C92C73"/>
    <w:rsid w:val="00CA2419"/>
    <w:rsid w:val="00CB0977"/>
    <w:rsid w:val="00CB0E0A"/>
    <w:rsid w:val="00CB3F48"/>
    <w:rsid w:val="00CB429F"/>
    <w:rsid w:val="00CC1870"/>
    <w:rsid w:val="00CC1B5E"/>
    <w:rsid w:val="00CC23EA"/>
    <w:rsid w:val="00CD16DE"/>
    <w:rsid w:val="00CD4924"/>
    <w:rsid w:val="00CE12C5"/>
    <w:rsid w:val="00CE40F1"/>
    <w:rsid w:val="00CE419F"/>
    <w:rsid w:val="00CF2F13"/>
    <w:rsid w:val="00D05331"/>
    <w:rsid w:val="00D06540"/>
    <w:rsid w:val="00D1033D"/>
    <w:rsid w:val="00D16A59"/>
    <w:rsid w:val="00D207C4"/>
    <w:rsid w:val="00D30211"/>
    <w:rsid w:val="00D3109E"/>
    <w:rsid w:val="00D318E8"/>
    <w:rsid w:val="00D33952"/>
    <w:rsid w:val="00D345D8"/>
    <w:rsid w:val="00D51232"/>
    <w:rsid w:val="00D6481A"/>
    <w:rsid w:val="00D66B77"/>
    <w:rsid w:val="00D66E5C"/>
    <w:rsid w:val="00D80930"/>
    <w:rsid w:val="00D83F2B"/>
    <w:rsid w:val="00D84C6D"/>
    <w:rsid w:val="00D86D6A"/>
    <w:rsid w:val="00D9119C"/>
    <w:rsid w:val="00D935E3"/>
    <w:rsid w:val="00D9639E"/>
    <w:rsid w:val="00DA09DF"/>
    <w:rsid w:val="00DA429C"/>
    <w:rsid w:val="00DB0528"/>
    <w:rsid w:val="00DB3AB6"/>
    <w:rsid w:val="00DC2B86"/>
    <w:rsid w:val="00DC3F44"/>
    <w:rsid w:val="00DC4CC7"/>
    <w:rsid w:val="00DC7BD5"/>
    <w:rsid w:val="00DD0ED6"/>
    <w:rsid w:val="00DD4071"/>
    <w:rsid w:val="00DD54BC"/>
    <w:rsid w:val="00DD6CD4"/>
    <w:rsid w:val="00DD721F"/>
    <w:rsid w:val="00DE369C"/>
    <w:rsid w:val="00DE5B55"/>
    <w:rsid w:val="00DF06CE"/>
    <w:rsid w:val="00DF0923"/>
    <w:rsid w:val="00E00CDF"/>
    <w:rsid w:val="00E018D8"/>
    <w:rsid w:val="00E01BC4"/>
    <w:rsid w:val="00E02AF5"/>
    <w:rsid w:val="00E046CE"/>
    <w:rsid w:val="00E056AE"/>
    <w:rsid w:val="00E07B69"/>
    <w:rsid w:val="00E152E6"/>
    <w:rsid w:val="00E15425"/>
    <w:rsid w:val="00E20554"/>
    <w:rsid w:val="00E229FF"/>
    <w:rsid w:val="00E246B3"/>
    <w:rsid w:val="00E24A93"/>
    <w:rsid w:val="00E2719D"/>
    <w:rsid w:val="00E27A86"/>
    <w:rsid w:val="00E3168F"/>
    <w:rsid w:val="00E43188"/>
    <w:rsid w:val="00E4496D"/>
    <w:rsid w:val="00E45247"/>
    <w:rsid w:val="00E461F2"/>
    <w:rsid w:val="00E52CF9"/>
    <w:rsid w:val="00E53235"/>
    <w:rsid w:val="00E54DB2"/>
    <w:rsid w:val="00E56672"/>
    <w:rsid w:val="00E62A73"/>
    <w:rsid w:val="00E64B9B"/>
    <w:rsid w:val="00E72C83"/>
    <w:rsid w:val="00E72E66"/>
    <w:rsid w:val="00E75D59"/>
    <w:rsid w:val="00E807F3"/>
    <w:rsid w:val="00E858D5"/>
    <w:rsid w:val="00E95D1C"/>
    <w:rsid w:val="00EA0E7B"/>
    <w:rsid w:val="00EA30C2"/>
    <w:rsid w:val="00EA4440"/>
    <w:rsid w:val="00EA5634"/>
    <w:rsid w:val="00EB15FD"/>
    <w:rsid w:val="00EB2A2C"/>
    <w:rsid w:val="00EB2F91"/>
    <w:rsid w:val="00ED3CF5"/>
    <w:rsid w:val="00ED5FF3"/>
    <w:rsid w:val="00EE2CBB"/>
    <w:rsid w:val="00EE5323"/>
    <w:rsid w:val="00EF2BA8"/>
    <w:rsid w:val="00EF6170"/>
    <w:rsid w:val="00EF723D"/>
    <w:rsid w:val="00EF74E0"/>
    <w:rsid w:val="00F01A7C"/>
    <w:rsid w:val="00F03FE0"/>
    <w:rsid w:val="00F04E21"/>
    <w:rsid w:val="00F12C99"/>
    <w:rsid w:val="00F162FC"/>
    <w:rsid w:val="00F17293"/>
    <w:rsid w:val="00F17550"/>
    <w:rsid w:val="00F20AAB"/>
    <w:rsid w:val="00F2440E"/>
    <w:rsid w:val="00F249DD"/>
    <w:rsid w:val="00F24FDB"/>
    <w:rsid w:val="00F26457"/>
    <w:rsid w:val="00F2745C"/>
    <w:rsid w:val="00F27AA0"/>
    <w:rsid w:val="00F33907"/>
    <w:rsid w:val="00F34247"/>
    <w:rsid w:val="00F35B7C"/>
    <w:rsid w:val="00F41DF3"/>
    <w:rsid w:val="00F4258B"/>
    <w:rsid w:val="00F42C1F"/>
    <w:rsid w:val="00F44417"/>
    <w:rsid w:val="00F47993"/>
    <w:rsid w:val="00F51924"/>
    <w:rsid w:val="00F53767"/>
    <w:rsid w:val="00F537F2"/>
    <w:rsid w:val="00F77AAF"/>
    <w:rsid w:val="00F8116F"/>
    <w:rsid w:val="00F850CC"/>
    <w:rsid w:val="00F86D63"/>
    <w:rsid w:val="00F94593"/>
    <w:rsid w:val="00F94C66"/>
    <w:rsid w:val="00F958A8"/>
    <w:rsid w:val="00F95A12"/>
    <w:rsid w:val="00FA1175"/>
    <w:rsid w:val="00FA135D"/>
    <w:rsid w:val="00FA1C3B"/>
    <w:rsid w:val="00FA43EC"/>
    <w:rsid w:val="00FA5ECC"/>
    <w:rsid w:val="00FA5F0A"/>
    <w:rsid w:val="00FB141A"/>
    <w:rsid w:val="00FB706D"/>
    <w:rsid w:val="00FB7B48"/>
    <w:rsid w:val="00FC372F"/>
    <w:rsid w:val="00FC37AB"/>
    <w:rsid w:val="00FC7E35"/>
    <w:rsid w:val="00FD1B3C"/>
    <w:rsid w:val="00FD3BEE"/>
    <w:rsid w:val="00FD5931"/>
    <w:rsid w:val="00FD6084"/>
    <w:rsid w:val="00FE2475"/>
    <w:rsid w:val="00FE2E16"/>
    <w:rsid w:val="00FE5517"/>
    <w:rsid w:val="00FE69A4"/>
    <w:rsid w:val="00FE74F3"/>
    <w:rsid w:val="00FF098A"/>
    <w:rsid w:val="00FF09FB"/>
    <w:rsid w:val="00FF3176"/>
    <w:rsid w:val="00FF4620"/>
    <w:rsid w:val="00FF4636"/>
    <w:rsid w:val="02CF0733"/>
    <w:rsid w:val="0511359C"/>
    <w:rsid w:val="0C985D3C"/>
    <w:rsid w:val="10B47090"/>
    <w:rsid w:val="156763AC"/>
    <w:rsid w:val="370A452C"/>
    <w:rsid w:val="4CB5537D"/>
    <w:rsid w:val="5F01483B"/>
    <w:rsid w:val="7F6E1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0"/>
    <w:qFormat/>
    <w:uiPriority w:val="0"/>
    <w:pPr>
      <w:keepNext/>
      <w:widowControl/>
      <w:tabs>
        <w:tab w:val="left" w:pos="1200"/>
      </w:tabs>
      <w:overflowPunct w:val="0"/>
      <w:autoSpaceDE w:val="0"/>
      <w:autoSpaceDN w:val="0"/>
      <w:adjustRightInd w:val="0"/>
      <w:ind w:left="1200" w:hanging="360"/>
      <w:textAlignment w:val="baseline"/>
      <w:outlineLvl w:val="1"/>
    </w:pPr>
    <w:rPr>
      <w:rFonts w:ascii="Times New Roman" w:hAnsi="Times New Roman" w:eastAsia="黑体" w:cs="Times New Roman"/>
      <w:kern w:val="0"/>
      <w:sz w:val="2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firstLineChars="200"/>
    </w:pPr>
  </w:style>
  <w:style w:type="paragraph" w:styleId="4">
    <w:name w:val="annotation text"/>
    <w:basedOn w:val="1"/>
    <w:link w:val="25"/>
    <w:qFormat/>
    <w:uiPriority w:val="99"/>
    <w:pPr>
      <w:adjustRightInd w:val="0"/>
      <w:snapToGrid w:val="0"/>
      <w:spacing w:line="360" w:lineRule="auto"/>
      <w:jc w:val="left"/>
    </w:pPr>
    <w:rPr>
      <w:rFonts w:ascii="Times New Roman" w:hAnsi="Times New Roman" w:eastAsia="宋体" w:cs="Times New Roman"/>
      <w:szCs w:val="20"/>
    </w:rPr>
  </w:style>
  <w:style w:type="paragraph" w:styleId="5">
    <w:name w:val="Body Text"/>
    <w:basedOn w:val="1"/>
    <w:qFormat/>
    <w:uiPriority w:val="1"/>
    <w:rPr>
      <w:rFonts w:ascii="仿宋_GB2312" w:hAnsi="仿宋_GB2312" w:eastAsia="仿宋_GB2312" w:cs="仿宋_GB2312"/>
      <w:sz w:val="32"/>
      <w:szCs w:val="32"/>
      <w:lang w:val="zh-CN" w:bidi="zh-CN"/>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Lines="100" w:afterLines="100"/>
      <w:jc w:val="center"/>
      <w:outlineLvl w:val="0"/>
    </w:pPr>
    <w:rPr>
      <w:rFonts w:ascii="Arial" w:hAnsi="Arial" w:eastAsia="黑体" w:cs="Arial"/>
      <w:bCs/>
      <w:sz w:val="44"/>
      <w:szCs w:val="32"/>
    </w:rPr>
  </w:style>
  <w:style w:type="paragraph" w:styleId="9">
    <w:name w:val="annotation subject"/>
    <w:basedOn w:val="4"/>
    <w:next w:val="4"/>
    <w:link w:val="26"/>
    <w:semiHidden/>
    <w:unhideWhenUsed/>
    <w:qFormat/>
    <w:uiPriority w:val="99"/>
    <w:pPr>
      <w:adjustRightInd/>
      <w:snapToGrid/>
      <w:spacing w:line="240" w:lineRule="auto"/>
    </w:pPr>
    <w:rPr>
      <w:rFonts w:asciiTheme="minorHAnsi" w:hAnsiTheme="minorHAnsi" w:eastAsiaTheme="minorEastAsia" w:cstheme="minorBidi"/>
      <w:b/>
      <w:bCs/>
      <w:szCs w:val="2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2 字符"/>
    <w:basedOn w:val="12"/>
    <w:semiHidden/>
    <w:qFormat/>
    <w:uiPriority w:val="9"/>
    <w:rPr>
      <w:rFonts w:asciiTheme="majorHAnsi" w:hAnsiTheme="majorHAnsi" w:eastAsiaTheme="majorEastAsia" w:cstheme="majorBidi"/>
      <w:b/>
      <w:bCs/>
      <w:sz w:val="32"/>
      <w:szCs w:val="32"/>
    </w:rPr>
  </w:style>
  <w:style w:type="character" w:customStyle="1" w:styleId="17">
    <w:name w:val="段 Char"/>
    <w:link w:val="18"/>
    <w:qFormat/>
    <w:uiPriority w:val="99"/>
    <w:rPr>
      <w:rFonts w:ascii="宋体"/>
    </w:rPr>
  </w:style>
  <w:style w:type="paragraph" w:customStyle="1" w:styleId="18">
    <w:name w:val="段"/>
    <w:link w:val="17"/>
    <w:qFormat/>
    <w:uiPriority w:val="99"/>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19">
    <w:name w:val="正文缩进 字符"/>
    <w:link w:val="3"/>
    <w:qFormat/>
    <w:uiPriority w:val="0"/>
  </w:style>
  <w:style w:type="character" w:customStyle="1" w:styleId="20">
    <w:name w:val="标题 2 字符1"/>
    <w:link w:val="2"/>
    <w:qFormat/>
    <w:uiPriority w:val="0"/>
    <w:rPr>
      <w:rFonts w:ascii="Times New Roman" w:hAnsi="Times New Roman" w:eastAsia="黑体" w:cs="Times New Roman"/>
      <w:kern w:val="0"/>
      <w:sz w:val="24"/>
      <w:szCs w:val="20"/>
    </w:rPr>
  </w:style>
  <w:style w:type="paragraph" w:customStyle="1" w:styleId="21">
    <w:name w:val="正文表标题"/>
    <w:next w:val="18"/>
    <w:qFormat/>
    <w:uiPriority w:val="0"/>
    <w:pPr>
      <w:spacing w:beforeLines="50" w:afterLines="50"/>
      <w:jc w:val="center"/>
    </w:pPr>
    <w:rPr>
      <w:rFonts w:ascii="黑体" w:hAnsi="Times New Roman" w:eastAsia="黑体" w:cs="Times New Roman"/>
      <w:sz w:val="21"/>
      <w:lang w:val="en-US" w:eastAsia="zh-CN" w:bidi="ar-SA"/>
    </w:rPr>
  </w:style>
  <w:style w:type="paragraph" w:styleId="22">
    <w:name w:val="List Paragraph"/>
    <w:basedOn w:val="1"/>
    <w:link w:val="24"/>
    <w:qFormat/>
    <w:uiPriority w:val="34"/>
    <w:pPr>
      <w:ind w:firstLine="420" w:firstLineChars="200"/>
    </w:pPr>
    <w:rPr>
      <w:rFonts w:ascii="Times New Roman" w:hAnsi="Times New Roman" w:eastAsia="宋体" w:cs="Times New Roman"/>
      <w:szCs w:val="20"/>
    </w:rPr>
  </w:style>
  <w:style w:type="paragraph" w:customStyle="1" w:styleId="23">
    <w:name w:val="列项——（一级）"/>
    <w:qFormat/>
    <w:uiPriority w:val="0"/>
    <w:pPr>
      <w:widowControl w:val="0"/>
      <w:ind w:left="833" w:hanging="408"/>
      <w:jc w:val="both"/>
    </w:pPr>
    <w:rPr>
      <w:rFonts w:ascii="宋体" w:hAnsi="Times New Roman" w:eastAsia="宋体" w:cs="Times New Roman"/>
      <w:sz w:val="21"/>
      <w:lang w:val="en-US" w:eastAsia="zh-CN" w:bidi="ar-SA"/>
    </w:rPr>
  </w:style>
  <w:style w:type="character" w:customStyle="1" w:styleId="24">
    <w:name w:val="列表段落 字符"/>
    <w:link w:val="22"/>
    <w:qFormat/>
    <w:uiPriority w:val="34"/>
    <w:rPr>
      <w:rFonts w:ascii="Times New Roman" w:hAnsi="Times New Roman" w:eastAsia="宋体" w:cs="Times New Roman"/>
      <w:szCs w:val="20"/>
    </w:rPr>
  </w:style>
  <w:style w:type="character" w:customStyle="1" w:styleId="25">
    <w:name w:val="批注文字 字符"/>
    <w:basedOn w:val="12"/>
    <w:link w:val="4"/>
    <w:qFormat/>
    <w:uiPriority w:val="99"/>
    <w:rPr>
      <w:rFonts w:ascii="Times New Roman" w:hAnsi="Times New Roman" w:eastAsia="宋体" w:cs="Times New Roman"/>
      <w:szCs w:val="20"/>
    </w:rPr>
  </w:style>
  <w:style w:type="character" w:customStyle="1" w:styleId="26">
    <w:name w:val="批注主题 字符"/>
    <w:basedOn w:val="25"/>
    <w:link w:val="9"/>
    <w:semiHidden/>
    <w:qFormat/>
    <w:uiPriority w:val="99"/>
    <w:rPr>
      <w:rFonts w:ascii="Times New Roman" w:hAnsi="Times New Roman" w:eastAsia="宋体" w:cs="Times New Roman"/>
      <w:b/>
      <w:bCs/>
      <w:szCs w:val="20"/>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技术规范">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A0CA3-8818-46E5-ACEC-AD5501FC6019}">
  <ds:schemaRefs/>
</ds:datastoreItem>
</file>

<file path=docProps/app.xml><?xml version="1.0" encoding="utf-8"?>
<Properties xmlns="http://schemas.openxmlformats.org/officeDocument/2006/extended-properties" xmlns:vt="http://schemas.openxmlformats.org/officeDocument/2006/docPropsVTypes">
  <Template>Normal</Template>
  <Pages>17</Pages>
  <Words>10985</Words>
  <Characters>12308</Characters>
  <Lines>70</Lines>
  <Paragraphs>19</Paragraphs>
  <TotalTime>11</TotalTime>
  <ScaleCrop>false</ScaleCrop>
  <LinksUpToDate>false</LinksUpToDate>
  <CharactersWithSpaces>12600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2023-11-16T03:45:00Z</dcterms:created>
  <dc:creator>Lenovo</dc:creator>
  <cp:lastModifiedBy>實誠</cp:lastModifiedBy>
  <dcterms:modified xsi:type="dcterms:W3CDTF">2025-05-20T02:37:01Z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F26A80EACF2247B69E9B63F41486FD70_13</vt:lpwstr>
  </property>
  <property fmtid="{D5CDD505-2E9C-101B-9397-08002B2CF9AE}" pid="4" name="KSOTemplateDocerSaveRecord">
    <vt:lpwstr>eyJoZGlkIjoiZjYxZTUyYjc1MzQwNWRmNjlmMWQyYmQ2NmM1M2U4MmMiLCJ1c2VySWQiOiI2OTk3NTA5NDAifQ==</vt:lpwstr>
  </property>
</Properties>
</file>