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D4B8C">
      <w:pPr>
        <w:spacing w:line="360" w:lineRule="auto"/>
        <w:jc w:val="both"/>
        <w:rPr>
          <w:rFonts w:ascii="宋体" w:hAnsi="宋体"/>
          <w:b/>
          <w:sz w:val="48"/>
          <w:szCs w:val="48"/>
        </w:rPr>
      </w:pPr>
    </w:p>
    <w:p w14:paraId="2E45888D">
      <w:pPr>
        <w:spacing w:before="120" w:beforeLines="50" w:after="240" w:afterLines="100" w:line="360" w:lineRule="auto"/>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智慧家园项目物业管理用房装修工程施工</w:t>
      </w:r>
    </w:p>
    <w:p w14:paraId="241F6D27">
      <w:pPr>
        <w:spacing w:before="120" w:beforeLines="50" w:after="240" w:afterLines="100" w:line="360" w:lineRule="auto"/>
        <w:jc w:val="center"/>
        <w:rPr>
          <w:rFonts w:hint="eastAsia" w:ascii="宋体" w:hAnsi="宋体"/>
          <w:b/>
          <w:sz w:val="72"/>
          <w:szCs w:val="72"/>
        </w:rPr>
      </w:pPr>
    </w:p>
    <w:p w14:paraId="428012CE">
      <w:pPr>
        <w:spacing w:before="120" w:beforeLines="50" w:after="240" w:afterLines="100" w:line="360" w:lineRule="auto"/>
        <w:jc w:val="center"/>
        <w:rPr>
          <w:rFonts w:ascii="宋体" w:hAnsi="宋体"/>
          <w:b/>
          <w:sz w:val="72"/>
          <w:szCs w:val="72"/>
        </w:rPr>
      </w:pPr>
      <w:r>
        <w:rPr>
          <w:rFonts w:hint="eastAsia" w:ascii="宋体" w:hAnsi="宋体"/>
          <w:b/>
          <w:sz w:val="72"/>
          <w:szCs w:val="72"/>
        </w:rPr>
        <w:t>公开招标（自主）文件</w:t>
      </w:r>
    </w:p>
    <w:p w14:paraId="572E61A4">
      <w:pPr>
        <w:spacing w:line="360" w:lineRule="auto"/>
        <w:jc w:val="center"/>
        <w:rPr>
          <w:rFonts w:ascii="宋体" w:hAnsi="宋体"/>
          <w:b/>
          <w:sz w:val="32"/>
          <w:szCs w:val="32"/>
        </w:rPr>
      </w:pPr>
    </w:p>
    <w:p w14:paraId="0747A104">
      <w:pPr>
        <w:spacing w:line="360" w:lineRule="auto"/>
        <w:jc w:val="center"/>
        <w:rPr>
          <w:rFonts w:ascii="宋体" w:hAnsi="宋体"/>
          <w:b/>
          <w:sz w:val="32"/>
          <w:szCs w:val="32"/>
        </w:rPr>
      </w:pPr>
    </w:p>
    <w:p w14:paraId="74C93368">
      <w:pPr>
        <w:spacing w:line="360" w:lineRule="auto"/>
        <w:jc w:val="center"/>
        <w:rPr>
          <w:rFonts w:ascii="宋体" w:hAnsi="宋体"/>
          <w:b/>
          <w:sz w:val="32"/>
          <w:szCs w:val="32"/>
        </w:rPr>
      </w:pPr>
    </w:p>
    <w:p w14:paraId="7CBD6CED">
      <w:pPr>
        <w:spacing w:line="360" w:lineRule="auto"/>
        <w:jc w:val="center"/>
        <w:rPr>
          <w:rFonts w:ascii="宋体" w:hAnsi="宋体"/>
          <w:b/>
          <w:sz w:val="32"/>
          <w:szCs w:val="32"/>
        </w:rPr>
      </w:pPr>
    </w:p>
    <w:p w14:paraId="3DBF51DD">
      <w:pPr>
        <w:spacing w:line="360" w:lineRule="auto"/>
        <w:jc w:val="center"/>
        <w:rPr>
          <w:rFonts w:ascii="宋体" w:hAnsi="宋体"/>
          <w:b/>
          <w:sz w:val="32"/>
          <w:szCs w:val="32"/>
        </w:rPr>
      </w:pPr>
    </w:p>
    <w:p w14:paraId="1BD1DC23">
      <w:pPr>
        <w:spacing w:line="360" w:lineRule="auto"/>
        <w:jc w:val="center"/>
        <w:rPr>
          <w:rFonts w:ascii="宋体" w:hAnsi="宋体"/>
          <w:b/>
          <w:sz w:val="32"/>
          <w:szCs w:val="32"/>
        </w:rPr>
      </w:pPr>
    </w:p>
    <w:p w14:paraId="2EBEF0B0">
      <w:pPr>
        <w:pStyle w:val="24"/>
        <w:rPr>
          <w:rFonts w:ascii="宋体" w:hAnsi="宋体"/>
          <w:b/>
          <w:sz w:val="32"/>
          <w:szCs w:val="32"/>
        </w:rPr>
      </w:pPr>
    </w:p>
    <w:p w14:paraId="20B3D8FD">
      <w:pPr>
        <w:rPr>
          <w:rFonts w:ascii="宋体" w:hAnsi="宋体"/>
          <w:b/>
          <w:sz w:val="32"/>
          <w:szCs w:val="32"/>
        </w:rPr>
      </w:pPr>
    </w:p>
    <w:p w14:paraId="7FB58FAF">
      <w:pPr>
        <w:pStyle w:val="24"/>
        <w:rPr>
          <w:rFonts w:ascii="宋体" w:hAnsi="宋体"/>
          <w:b/>
          <w:sz w:val="32"/>
          <w:szCs w:val="32"/>
        </w:rPr>
      </w:pPr>
    </w:p>
    <w:p w14:paraId="4B541A76"/>
    <w:p w14:paraId="506E6C11">
      <w:pPr>
        <w:spacing w:line="360" w:lineRule="auto"/>
        <w:jc w:val="center"/>
        <w:rPr>
          <w:rFonts w:ascii="宋体" w:hAnsi="宋体"/>
          <w:b/>
          <w:sz w:val="32"/>
          <w:szCs w:val="32"/>
        </w:rPr>
      </w:pPr>
    </w:p>
    <w:p w14:paraId="126681A1">
      <w:pPr>
        <w:spacing w:line="360" w:lineRule="auto"/>
        <w:jc w:val="center"/>
        <w:rPr>
          <w:rFonts w:hint="eastAsia" w:ascii="仿宋_GB2312" w:hAnsi="宋体" w:eastAsia="仿宋_GB2312"/>
          <w:b w:val="0"/>
          <w:bCs/>
          <w:sz w:val="30"/>
          <w:szCs w:val="30"/>
        </w:rPr>
      </w:pPr>
      <w:r>
        <w:rPr>
          <w:rFonts w:hint="eastAsia" w:ascii="仿宋_GB2312" w:hAnsi="宋体" w:eastAsia="仿宋_GB2312"/>
          <w:b w:val="0"/>
          <w:bCs/>
          <w:sz w:val="30"/>
          <w:szCs w:val="30"/>
        </w:rPr>
        <w:t>招标人：深圳市龙岗区城市建投投资集团有限公司</w:t>
      </w:r>
    </w:p>
    <w:p w14:paraId="410DD329">
      <w:pPr>
        <w:spacing w:line="360" w:lineRule="auto"/>
        <w:jc w:val="center"/>
        <w:rPr>
          <w:rFonts w:ascii="仿宋_GB2312" w:hAnsi="宋体" w:eastAsia="仿宋_GB2312"/>
          <w:b/>
          <w:sz w:val="30"/>
          <w:szCs w:val="30"/>
        </w:rPr>
      </w:pPr>
    </w:p>
    <w:p w14:paraId="0BA0A836">
      <w:pPr>
        <w:spacing w:line="360" w:lineRule="auto"/>
        <w:jc w:val="center"/>
        <w:rPr>
          <w:rFonts w:ascii="宋体" w:hAnsi="宋体"/>
          <w:sz w:val="30"/>
          <w:szCs w:val="30"/>
        </w:rPr>
      </w:pPr>
      <w:r>
        <w:rPr>
          <w:rFonts w:hint="eastAsia" w:ascii="宋体" w:hAnsi="宋体"/>
          <w:sz w:val="30"/>
          <w:szCs w:val="30"/>
        </w:rPr>
        <w:t xml:space="preserve">   二〇二</w:t>
      </w:r>
      <w:r>
        <w:rPr>
          <w:rFonts w:hint="eastAsia" w:ascii="宋体" w:hAnsi="宋体"/>
          <w:sz w:val="30"/>
          <w:szCs w:val="30"/>
          <w:lang w:val="en-US" w:eastAsia="zh-CN"/>
        </w:rPr>
        <w:t>五</w:t>
      </w:r>
      <w:r>
        <w:rPr>
          <w:rFonts w:hint="eastAsia" w:ascii="宋体" w:hAnsi="宋体"/>
          <w:sz w:val="30"/>
          <w:szCs w:val="30"/>
        </w:rPr>
        <w:t>年</w:t>
      </w:r>
      <w:r>
        <w:rPr>
          <w:rFonts w:hint="eastAsia" w:ascii="宋体" w:hAnsi="宋体"/>
          <w:sz w:val="30"/>
          <w:szCs w:val="30"/>
          <w:lang w:val="en-US" w:eastAsia="zh-CN"/>
        </w:rPr>
        <w:t>五</w:t>
      </w:r>
      <w:r>
        <w:rPr>
          <w:rFonts w:hint="eastAsia" w:ascii="宋体" w:hAnsi="宋体"/>
          <w:sz w:val="30"/>
          <w:szCs w:val="30"/>
        </w:rPr>
        <w:t>月</w:t>
      </w:r>
    </w:p>
    <w:p w14:paraId="776ADB17">
      <w:pPr>
        <w:widowControl/>
        <w:spacing w:before="60" w:beforeLines="25" w:after="60" w:afterLines="25" w:line="360" w:lineRule="auto"/>
        <w:jc w:val="center"/>
        <w:rPr>
          <w:rFonts w:ascii="宋体" w:hAnsi="宋体"/>
          <w:b/>
          <w:sz w:val="32"/>
          <w:szCs w:val="32"/>
          <w:lang w:val="zh-CN"/>
        </w:rPr>
        <w:sectPr>
          <w:headerReference r:id="rId3" w:type="default"/>
          <w:pgSz w:w="11906" w:h="16838"/>
          <w:pgMar w:top="1440" w:right="1800" w:bottom="1440" w:left="1800" w:header="1247" w:footer="737" w:gutter="0"/>
          <w:pgNumType w:start="1"/>
          <w:cols w:space="720" w:num="1"/>
          <w:docGrid w:linePitch="380" w:charSpace="-4301"/>
        </w:sectPr>
      </w:pPr>
    </w:p>
    <w:p w14:paraId="60A3313A">
      <w:pPr>
        <w:widowControl/>
        <w:spacing w:before="78" w:beforeLines="25" w:after="78" w:afterLines="25" w:line="360" w:lineRule="auto"/>
        <w:jc w:val="center"/>
        <w:rPr>
          <w:rFonts w:ascii="宋体" w:hAnsi="宋体"/>
          <w:b/>
          <w:sz w:val="32"/>
          <w:szCs w:val="32"/>
          <w:lang w:val="zh-CN"/>
        </w:rPr>
      </w:pPr>
      <w:r>
        <w:rPr>
          <w:rFonts w:ascii="宋体" w:hAnsi="宋体"/>
          <w:b/>
          <w:sz w:val="32"/>
          <w:szCs w:val="32"/>
          <w:lang w:val="zh-CN"/>
        </w:rPr>
        <w:t>目</w:t>
      </w:r>
      <w:r>
        <w:rPr>
          <w:rFonts w:hint="eastAsia" w:ascii="宋体" w:hAnsi="宋体"/>
          <w:b/>
          <w:sz w:val="32"/>
          <w:szCs w:val="32"/>
          <w:lang w:val="zh-CN"/>
        </w:rPr>
        <w:t>　</w:t>
      </w:r>
      <w:r>
        <w:rPr>
          <w:rFonts w:ascii="宋体" w:hAnsi="宋体"/>
          <w:b/>
          <w:sz w:val="32"/>
          <w:szCs w:val="32"/>
          <w:lang w:val="zh-CN"/>
        </w:rPr>
        <w:t>录</w:t>
      </w:r>
    </w:p>
    <w:p w14:paraId="1BB359ED">
      <w:pPr>
        <w:spacing w:line="480" w:lineRule="auto"/>
        <w:jc w:val="left"/>
        <w:rPr>
          <w:rFonts w:ascii="宋体" w:hAnsi="宋体"/>
          <w:sz w:val="24"/>
          <w:szCs w:val="24"/>
        </w:rPr>
      </w:pPr>
      <w:r>
        <w:rPr>
          <w:rFonts w:hint="eastAsia" w:ascii="宋体" w:hAnsi="宋体"/>
          <w:sz w:val="24"/>
          <w:szCs w:val="24"/>
          <w:lang w:val="zh-CN"/>
        </w:rPr>
        <w:t>第一章</w:t>
      </w:r>
      <w:r>
        <w:rPr>
          <w:rFonts w:ascii="宋体" w:hAnsi="宋体"/>
          <w:sz w:val="24"/>
          <w:szCs w:val="24"/>
          <w:lang w:val="zh-CN"/>
        </w:rPr>
        <w:tab/>
      </w:r>
      <w:r>
        <w:rPr>
          <w:rFonts w:hint="eastAsia" w:ascii="宋体" w:hAnsi="宋体"/>
          <w:sz w:val="24"/>
          <w:szCs w:val="24"/>
          <w:lang w:val="zh-CN"/>
        </w:rPr>
        <w:t xml:space="preserve"> 公开招标（自主）公</w:t>
      </w:r>
      <w:r>
        <w:rPr>
          <w:rFonts w:hint="eastAsia" w:ascii="宋体" w:hAnsi="宋体"/>
          <w:sz w:val="24"/>
          <w:szCs w:val="24"/>
        </w:rPr>
        <w:t>告</w:t>
      </w:r>
      <w:r>
        <w:rPr>
          <w:rFonts w:ascii="宋体" w:hAnsi="宋体"/>
          <w:sz w:val="24"/>
          <w:szCs w:val="24"/>
          <w:lang w:val="zh-CN"/>
        </w:rPr>
        <w:t>…………………………………………………</w:t>
      </w:r>
      <w:r>
        <w:rPr>
          <w:rFonts w:hint="eastAsia" w:ascii="宋体" w:hAnsi="宋体"/>
          <w:sz w:val="24"/>
          <w:szCs w:val="24"/>
        </w:rPr>
        <w:t>3</w:t>
      </w:r>
    </w:p>
    <w:p w14:paraId="6659A04A">
      <w:pPr>
        <w:spacing w:line="480" w:lineRule="auto"/>
        <w:rPr>
          <w:rFonts w:ascii="宋体" w:hAnsi="宋体"/>
          <w:sz w:val="24"/>
          <w:szCs w:val="24"/>
        </w:rPr>
      </w:pPr>
      <w:r>
        <w:rPr>
          <w:rFonts w:hint="eastAsia" w:ascii="宋体" w:hAnsi="宋体"/>
          <w:sz w:val="24"/>
          <w:szCs w:val="24"/>
          <w:lang w:val="zh-CN"/>
        </w:rPr>
        <w:t>第二章  投标须知</w:t>
      </w:r>
      <w:r>
        <w:rPr>
          <w:rFonts w:ascii="宋体" w:hAnsi="宋体"/>
          <w:sz w:val="24"/>
          <w:szCs w:val="24"/>
          <w:lang w:val="zh-CN"/>
        </w:rPr>
        <w:t>…………………………………………………………………</w:t>
      </w:r>
      <w:r>
        <w:rPr>
          <w:rFonts w:hint="eastAsia" w:ascii="宋体" w:hAnsi="宋体"/>
          <w:sz w:val="24"/>
          <w:szCs w:val="24"/>
        </w:rPr>
        <w:t>6</w:t>
      </w:r>
    </w:p>
    <w:p w14:paraId="4712A3AE">
      <w:pPr>
        <w:spacing w:line="480" w:lineRule="auto"/>
        <w:ind w:firstLine="240" w:firstLineChars="100"/>
        <w:rPr>
          <w:rFonts w:ascii="宋体" w:hAnsi="宋体"/>
          <w:sz w:val="24"/>
          <w:szCs w:val="24"/>
        </w:rPr>
      </w:pPr>
      <w:r>
        <w:rPr>
          <w:rFonts w:hint="eastAsia" w:ascii="宋体" w:hAnsi="宋体"/>
          <w:sz w:val="24"/>
          <w:szCs w:val="24"/>
          <w:lang w:val="zh-CN"/>
        </w:rPr>
        <w:t>一、总</w:t>
      </w:r>
      <w:r>
        <w:rPr>
          <w:rFonts w:ascii="宋体" w:hAnsi="宋体"/>
          <w:sz w:val="24"/>
          <w:szCs w:val="24"/>
          <w:lang w:val="zh-CN"/>
        </w:rPr>
        <w:t xml:space="preserve">  </w:t>
      </w:r>
      <w:r>
        <w:rPr>
          <w:rFonts w:hint="eastAsia" w:ascii="宋体" w:hAnsi="宋体"/>
          <w:sz w:val="24"/>
          <w:szCs w:val="24"/>
          <w:lang w:val="zh-CN"/>
        </w:rPr>
        <w:t>则</w:t>
      </w:r>
      <w:r>
        <w:rPr>
          <w:rFonts w:ascii="宋体" w:hAnsi="宋体"/>
          <w:sz w:val="24"/>
          <w:szCs w:val="24"/>
          <w:lang w:val="zh-CN"/>
        </w:rPr>
        <w:t>………………………………………………………………………</w:t>
      </w:r>
      <w:r>
        <w:rPr>
          <w:rFonts w:hint="eastAsia" w:ascii="宋体" w:hAnsi="宋体"/>
          <w:sz w:val="24"/>
          <w:szCs w:val="24"/>
        </w:rPr>
        <w:t>7</w:t>
      </w:r>
    </w:p>
    <w:p w14:paraId="1682A58B">
      <w:pPr>
        <w:spacing w:line="480" w:lineRule="auto"/>
        <w:ind w:firstLine="240" w:firstLineChars="100"/>
        <w:rPr>
          <w:rFonts w:ascii="宋体" w:hAnsi="宋体"/>
          <w:sz w:val="24"/>
          <w:szCs w:val="24"/>
        </w:rPr>
      </w:pPr>
      <w:r>
        <w:rPr>
          <w:rFonts w:hint="eastAsia" w:ascii="宋体" w:hAnsi="宋体"/>
          <w:sz w:val="24"/>
          <w:szCs w:val="24"/>
          <w:lang w:val="zh-CN"/>
        </w:rPr>
        <w:t>二、文件的编制</w:t>
      </w:r>
      <w:r>
        <w:rPr>
          <w:rFonts w:ascii="宋体" w:hAnsi="宋体"/>
          <w:sz w:val="24"/>
          <w:szCs w:val="24"/>
          <w:lang w:val="zh-CN"/>
        </w:rPr>
        <w:t>…………………………………………………………………</w:t>
      </w:r>
      <w:r>
        <w:rPr>
          <w:rFonts w:hint="eastAsia" w:ascii="宋体" w:hAnsi="宋体"/>
          <w:sz w:val="24"/>
          <w:szCs w:val="24"/>
        </w:rPr>
        <w:t>8</w:t>
      </w:r>
    </w:p>
    <w:p w14:paraId="7342FEA6">
      <w:pPr>
        <w:spacing w:line="480" w:lineRule="auto"/>
        <w:ind w:firstLine="240" w:firstLineChars="100"/>
        <w:rPr>
          <w:rFonts w:ascii="宋体" w:hAnsi="宋体"/>
          <w:sz w:val="24"/>
          <w:szCs w:val="24"/>
        </w:rPr>
      </w:pPr>
      <w:r>
        <w:rPr>
          <w:rFonts w:hint="eastAsia" w:ascii="宋体" w:hAnsi="宋体"/>
          <w:sz w:val="24"/>
          <w:szCs w:val="24"/>
          <w:lang w:val="zh-CN"/>
        </w:rPr>
        <w:t>三、投标文件的</w:t>
      </w:r>
      <w:r>
        <w:rPr>
          <w:rFonts w:hint="eastAsia" w:ascii="宋体" w:hAnsi="宋体"/>
          <w:sz w:val="24"/>
          <w:szCs w:val="24"/>
        </w:rPr>
        <w:t>递</w:t>
      </w:r>
      <w:r>
        <w:rPr>
          <w:rFonts w:hint="eastAsia" w:ascii="宋体" w:hAnsi="宋体"/>
          <w:sz w:val="24"/>
          <w:szCs w:val="24"/>
          <w:lang w:val="zh-CN"/>
        </w:rPr>
        <w:t>交</w:t>
      </w:r>
      <w:r>
        <w:rPr>
          <w:rFonts w:ascii="宋体" w:hAnsi="宋体"/>
          <w:sz w:val="24"/>
          <w:szCs w:val="24"/>
          <w:lang w:val="zh-CN"/>
        </w:rPr>
        <w:t>……………………………………………………………</w:t>
      </w:r>
      <w:r>
        <w:rPr>
          <w:rFonts w:hint="eastAsia" w:ascii="宋体" w:hAnsi="宋体"/>
          <w:sz w:val="24"/>
          <w:szCs w:val="24"/>
        </w:rPr>
        <w:t>8</w:t>
      </w:r>
    </w:p>
    <w:p w14:paraId="31AC2C82">
      <w:pPr>
        <w:spacing w:line="480" w:lineRule="auto"/>
        <w:ind w:firstLine="240" w:firstLineChars="100"/>
        <w:rPr>
          <w:rFonts w:ascii="宋体" w:hAnsi="宋体"/>
          <w:sz w:val="24"/>
          <w:szCs w:val="24"/>
        </w:rPr>
      </w:pPr>
      <w:r>
        <w:rPr>
          <w:rFonts w:hint="eastAsia" w:ascii="宋体" w:hAnsi="宋体"/>
          <w:sz w:val="24"/>
          <w:szCs w:val="24"/>
          <w:lang w:val="zh-CN"/>
        </w:rPr>
        <w:t>四、开</w:t>
      </w:r>
      <w:r>
        <w:rPr>
          <w:rFonts w:ascii="宋体" w:hAnsi="宋体"/>
          <w:sz w:val="24"/>
          <w:szCs w:val="24"/>
          <w:lang w:val="zh-CN"/>
        </w:rPr>
        <w:t xml:space="preserve">  </w:t>
      </w:r>
      <w:r>
        <w:rPr>
          <w:rFonts w:hint="eastAsia" w:ascii="宋体" w:hAnsi="宋体"/>
          <w:sz w:val="24"/>
          <w:szCs w:val="24"/>
          <w:lang w:val="zh-CN"/>
        </w:rPr>
        <w:t>标</w:t>
      </w:r>
      <w:r>
        <w:rPr>
          <w:rFonts w:ascii="宋体" w:hAnsi="宋体"/>
          <w:sz w:val="24"/>
          <w:szCs w:val="24"/>
          <w:lang w:val="zh-CN"/>
        </w:rPr>
        <w:t>………………………………………………………………………</w:t>
      </w:r>
      <w:r>
        <w:rPr>
          <w:rFonts w:hint="eastAsia" w:ascii="宋体" w:hAnsi="宋体"/>
          <w:sz w:val="24"/>
          <w:szCs w:val="24"/>
        </w:rPr>
        <w:t>9</w:t>
      </w:r>
    </w:p>
    <w:p w14:paraId="48AC8ED9">
      <w:pPr>
        <w:spacing w:line="480" w:lineRule="auto"/>
        <w:ind w:firstLine="240" w:firstLineChars="100"/>
        <w:rPr>
          <w:rFonts w:ascii="宋体" w:hAnsi="宋体"/>
          <w:sz w:val="24"/>
          <w:szCs w:val="24"/>
        </w:rPr>
      </w:pPr>
      <w:r>
        <w:rPr>
          <w:rFonts w:hint="eastAsia" w:ascii="宋体" w:hAnsi="宋体"/>
          <w:sz w:val="24"/>
          <w:szCs w:val="24"/>
          <w:lang w:val="zh-CN"/>
        </w:rPr>
        <w:t>五、资格审查</w:t>
      </w:r>
      <w:r>
        <w:rPr>
          <w:rFonts w:ascii="宋体" w:hAnsi="宋体"/>
          <w:sz w:val="24"/>
          <w:szCs w:val="24"/>
          <w:lang w:val="zh-CN"/>
        </w:rPr>
        <w:t>……………………………………………………………………</w:t>
      </w:r>
      <w:r>
        <w:rPr>
          <w:rFonts w:hint="eastAsia" w:ascii="宋体" w:hAnsi="宋体"/>
          <w:sz w:val="24"/>
          <w:szCs w:val="24"/>
        </w:rPr>
        <w:t>9</w:t>
      </w:r>
    </w:p>
    <w:p w14:paraId="36E5581D">
      <w:pPr>
        <w:spacing w:line="480" w:lineRule="auto"/>
        <w:ind w:firstLine="240" w:firstLineChars="100"/>
        <w:rPr>
          <w:rFonts w:ascii="宋体" w:hAnsi="宋体"/>
          <w:sz w:val="24"/>
          <w:szCs w:val="24"/>
        </w:rPr>
      </w:pPr>
      <w:r>
        <w:rPr>
          <w:rFonts w:hint="eastAsia" w:ascii="宋体" w:hAnsi="宋体"/>
          <w:sz w:val="24"/>
          <w:szCs w:val="24"/>
          <w:lang w:val="zh-CN"/>
        </w:rPr>
        <w:t>六、评标</w:t>
      </w:r>
      <w:r>
        <w:rPr>
          <w:rFonts w:ascii="宋体" w:hAnsi="宋体"/>
          <w:sz w:val="24"/>
          <w:szCs w:val="24"/>
          <w:lang w:val="zh-CN"/>
        </w:rPr>
        <w:t>…………………………………………………………………………</w:t>
      </w:r>
      <w:r>
        <w:rPr>
          <w:rFonts w:hint="eastAsia" w:ascii="宋体" w:hAnsi="宋体"/>
          <w:sz w:val="24"/>
          <w:szCs w:val="24"/>
        </w:rPr>
        <w:t>9</w:t>
      </w:r>
    </w:p>
    <w:p w14:paraId="188B3B0B">
      <w:pPr>
        <w:spacing w:line="480" w:lineRule="auto"/>
        <w:ind w:firstLine="240" w:firstLineChars="100"/>
        <w:rPr>
          <w:rFonts w:ascii="宋体" w:hAnsi="宋体"/>
          <w:sz w:val="24"/>
          <w:szCs w:val="24"/>
        </w:rPr>
      </w:pPr>
      <w:r>
        <w:rPr>
          <w:rFonts w:hint="eastAsia" w:ascii="宋体" w:hAnsi="宋体"/>
          <w:sz w:val="24"/>
          <w:szCs w:val="24"/>
          <w:lang w:val="zh-CN"/>
        </w:rPr>
        <w:t>七、签订合同</w:t>
      </w:r>
      <w:r>
        <w:rPr>
          <w:rFonts w:ascii="宋体" w:hAnsi="宋体"/>
          <w:sz w:val="24"/>
          <w:szCs w:val="24"/>
          <w:lang w:val="zh-CN"/>
        </w:rPr>
        <w:t>……………………………………………………………………</w:t>
      </w:r>
      <w:r>
        <w:rPr>
          <w:rFonts w:hint="eastAsia" w:ascii="宋体" w:hAnsi="宋体"/>
          <w:sz w:val="24"/>
          <w:szCs w:val="24"/>
        </w:rPr>
        <w:t>10</w:t>
      </w:r>
    </w:p>
    <w:p w14:paraId="7CA562B8">
      <w:pPr>
        <w:spacing w:line="480" w:lineRule="auto"/>
        <w:rPr>
          <w:rFonts w:hint="eastAsia" w:ascii="宋体" w:hAnsi="宋体" w:eastAsia="宋体"/>
          <w:sz w:val="24"/>
          <w:szCs w:val="24"/>
          <w:lang w:eastAsia="zh-CN"/>
        </w:rPr>
      </w:pPr>
      <w:r>
        <w:rPr>
          <w:rFonts w:hint="eastAsia" w:ascii="宋体" w:hAnsi="宋体"/>
          <w:sz w:val="24"/>
          <w:szCs w:val="24"/>
          <w:lang w:val="zh-CN"/>
        </w:rPr>
        <w:t>第三章</w:t>
      </w:r>
      <w:r>
        <w:rPr>
          <w:rFonts w:hint="eastAsia" w:ascii="宋体" w:hAnsi="宋体"/>
          <w:sz w:val="24"/>
          <w:szCs w:val="24"/>
          <w:lang w:val="en-US"/>
        </w:rPr>
        <w:t xml:space="preserve">  </w:t>
      </w:r>
      <w:r>
        <w:rPr>
          <w:rFonts w:hint="eastAsia" w:ascii="宋体" w:hAnsi="宋体"/>
          <w:sz w:val="24"/>
          <w:szCs w:val="24"/>
        </w:rPr>
        <w:t>合同文件</w:t>
      </w:r>
      <w:r>
        <w:rPr>
          <w:rFonts w:ascii="宋体" w:hAnsi="宋体"/>
          <w:sz w:val="24"/>
          <w:szCs w:val="24"/>
          <w:lang w:val="en-US"/>
        </w:rPr>
        <w:t>…………………………………………………………………</w:t>
      </w:r>
      <w:r>
        <w:rPr>
          <w:rFonts w:hint="eastAsia" w:ascii="宋体" w:hAnsi="宋体"/>
          <w:sz w:val="24"/>
          <w:szCs w:val="24"/>
        </w:rPr>
        <w:t>1</w:t>
      </w:r>
      <w:r>
        <w:rPr>
          <w:rFonts w:hint="eastAsia" w:ascii="宋体" w:hAnsi="宋体"/>
          <w:sz w:val="24"/>
          <w:szCs w:val="24"/>
          <w:lang w:val="en-US" w:eastAsia="zh-CN"/>
        </w:rPr>
        <w:t>5</w:t>
      </w:r>
    </w:p>
    <w:p w14:paraId="5AEB7A92">
      <w:pPr>
        <w:spacing w:line="480" w:lineRule="auto"/>
        <w:rPr>
          <w:rFonts w:hint="default" w:ascii="宋体" w:hAnsi="宋体" w:eastAsia="宋体"/>
          <w:sz w:val="24"/>
          <w:szCs w:val="24"/>
          <w:lang w:val="en-US" w:eastAsia="zh-CN"/>
        </w:rPr>
      </w:pPr>
      <w:r>
        <w:rPr>
          <w:rFonts w:hint="eastAsia" w:ascii="宋体" w:hAnsi="宋体"/>
          <w:sz w:val="24"/>
          <w:szCs w:val="24"/>
        </w:rPr>
        <w:t>第四章  投标文件格式</w:t>
      </w:r>
      <w:r>
        <w:rPr>
          <w:rFonts w:ascii="宋体" w:hAnsi="宋体"/>
          <w:sz w:val="24"/>
          <w:szCs w:val="24"/>
          <w:lang w:val="zh-CN"/>
        </w:rPr>
        <w:t>……………………………………………………………</w:t>
      </w:r>
      <w:r>
        <w:rPr>
          <w:rFonts w:hint="eastAsia" w:ascii="宋体" w:hAnsi="宋体"/>
          <w:sz w:val="24"/>
          <w:szCs w:val="24"/>
          <w:lang w:val="en-US" w:eastAsia="zh-CN"/>
        </w:rPr>
        <w:t>56</w:t>
      </w:r>
    </w:p>
    <w:p w14:paraId="42F613CB">
      <w:pPr>
        <w:rPr>
          <w:rFonts w:ascii="宋体" w:hAnsi="宋体"/>
          <w:sz w:val="24"/>
          <w:szCs w:val="24"/>
          <w:lang w:val="zh-CN"/>
        </w:rPr>
      </w:pPr>
      <w:r>
        <w:rPr>
          <w:rFonts w:ascii="宋体" w:hAnsi="宋体"/>
          <w:sz w:val="24"/>
          <w:szCs w:val="24"/>
        </w:rPr>
        <w:t xml:space="preserve"> </w:t>
      </w:r>
      <w:r>
        <w:rPr>
          <w:rFonts w:hint="eastAsia" w:ascii="宋体" w:hAnsi="宋体"/>
          <w:sz w:val="24"/>
          <w:szCs w:val="24"/>
        </w:rPr>
        <w:t xml:space="preserve"> </w:t>
      </w:r>
    </w:p>
    <w:p w14:paraId="6323707C">
      <w:pPr>
        <w:pStyle w:val="29"/>
        <w:tabs>
          <w:tab w:val="right" w:leader="dot" w:pos="9141"/>
        </w:tabs>
        <w:rPr>
          <w:rFonts w:hint="eastAsia" w:ascii="宋体" w:hAnsi="宋体"/>
        </w:rPr>
      </w:pPr>
    </w:p>
    <w:p w14:paraId="7E443492">
      <w:pPr>
        <w:pStyle w:val="29"/>
        <w:tabs>
          <w:tab w:val="right" w:leader="dot" w:pos="9141"/>
        </w:tabs>
        <w:rPr>
          <w:rFonts w:hint="eastAsia" w:ascii="宋体" w:hAnsi="宋体"/>
        </w:rPr>
      </w:pPr>
    </w:p>
    <w:p w14:paraId="66FB3278">
      <w:pPr>
        <w:pStyle w:val="29"/>
        <w:tabs>
          <w:tab w:val="right" w:leader="dot" w:pos="9141"/>
        </w:tabs>
        <w:rPr>
          <w:rFonts w:hint="eastAsia" w:ascii="宋体" w:hAnsi="宋体"/>
        </w:rPr>
      </w:pPr>
    </w:p>
    <w:p w14:paraId="597BF74F">
      <w:pPr>
        <w:pStyle w:val="29"/>
        <w:tabs>
          <w:tab w:val="right" w:leader="dot" w:pos="9141"/>
        </w:tabs>
        <w:rPr>
          <w:rFonts w:hint="eastAsia" w:ascii="宋体" w:hAnsi="宋体"/>
        </w:rPr>
      </w:pPr>
    </w:p>
    <w:p w14:paraId="3FFEC742">
      <w:pPr>
        <w:pStyle w:val="29"/>
        <w:tabs>
          <w:tab w:val="right" w:leader="dot" w:pos="9141"/>
        </w:tabs>
        <w:rPr>
          <w:rFonts w:hint="eastAsia" w:ascii="宋体" w:hAnsi="宋体"/>
        </w:rPr>
      </w:pPr>
    </w:p>
    <w:p w14:paraId="689EA355">
      <w:pPr>
        <w:pStyle w:val="29"/>
        <w:tabs>
          <w:tab w:val="right" w:leader="dot" w:pos="9141"/>
        </w:tabs>
        <w:rPr>
          <w:rFonts w:hint="eastAsia" w:ascii="宋体" w:hAnsi="宋体"/>
        </w:rPr>
      </w:pPr>
    </w:p>
    <w:p w14:paraId="127A7BF9">
      <w:pPr>
        <w:pStyle w:val="29"/>
        <w:tabs>
          <w:tab w:val="right" w:leader="dot" w:pos="9141"/>
        </w:tabs>
        <w:rPr>
          <w:rFonts w:hint="eastAsia" w:ascii="宋体" w:hAnsi="宋体"/>
        </w:rPr>
      </w:pPr>
    </w:p>
    <w:p w14:paraId="5BC5FF1D">
      <w:pPr>
        <w:pStyle w:val="29"/>
        <w:tabs>
          <w:tab w:val="right" w:leader="dot" w:pos="9141"/>
        </w:tabs>
        <w:rPr>
          <w:rFonts w:hint="eastAsia" w:ascii="宋体" w:hAnsi="宋体"/>
        </w:rPr>
      </w:pPr>
    </w:p>
    <w:p w14:paraId="377672C0">
      <w:pPr>
        <w:pStyle w:val="29"/>
        <w:tabs>
          <w:tab w:val="right" w:leader="dot" w:pos="9141"/>
        </w:tabs>
        <w:rPr>
          <w:rFonts w:hint="eastAsia" w:ascii="宋体" w:hAnsi="宋体"/>
        </w:rPr>
      </w:pPr>
    </w:p>
    <w:p w14:paraId="59FEEFFA">
      <w:pPr>
        <w:pStyle w:val="29"/>
        <w:tabs>
          <w:tab w:val="right" w:leader="dot" w:pos="9141"/>
        </w:tabs>
        <w:rPr>
          <w:rFonts w:hint="eastAsia" w:ascii="宋体" w:hAnsi="宋体"/>
        </w:rPr>
      </w:pPr>
    </w:p>
    <w:p w14:paraId="5401F98C">
      <w:pPr>
        <w:pStyle w:val="29"/>
        <w:tabs>
          <w:tab w:val="right" w:leader="dot" w:pos="9141"/>
        </w:tabs>
        <w:rPr>
          <w:rFonts w:hint="eastAsia" w:ascii="宋体" w:hAnsi="宋体"/>
        </w:rPr>
      </w:pPr>
    </w:p>
    <w:p w14:paraId="0E22A35B">
      <w:pPr>
        <w:pStyle w:val="29"/>
        <w:tabs>
          <w:tab w:val="right" w:leader="dot" w:pos="9141"/>
        </w:tabs>
        <w:rPr>
          <w:rFonts w:hint="eastAsia" w:ascii="宋体" w:hAnsi="宋体"/>
        </w:rPr>
      </w:pPr>
    </w:p>
    <w:p w14:paraId="449E71CC">
      <w:pPr>
        <w:pStyle w:val="29"/>
        <w:tabs>
          <w:tab w:val="right" w:leader="dot" w:pos="9141"/>
        </w:tabs>
        <w:rPr>
          <w:rFonts w:hint="eastAsia" w:ascii="宋体" w:hAnsi="宋体"/>
        </w:rPr>
      </w:pPr>
    </w:p>
    <w:p w14:paraId="65BE6D65">
      <w:pPr>
        <w:pStyle w:val="29"/>
        <w:tabs>
          <w:tab w:val="right" w:leader="dot" w:pos="9141"/>
        </w:tabs>
        <w:rPr>
          <w:rFonts w:hint="eastAsia" w:ascii="宋体" w:hAnsi="宋体"/>
        </w:rPr>
      </w:pPr>
    </w:p>
    <w:p w14:paraId="437DE993">
      <w:pPr>
        <w:pStyle w:val="29"/>
        <w:tabs>
          <w:tab w:val="right" w:leader="dot" w:pos="9141"/>
        </w:tabs>
        <w:rPr>
          <w:rFonts w:hint="eastAsia" w:ascii="宋体" w:hAnsi="宋体"/>
        </w:rPr>
      </w:pPr>
    </w:p>
    <w:p w14:paraId="2977607C">
      <w:pPr>
        <w:pStyle w:val="29"/>
        <w:tabs>
          <w:tab w:val="right" w:leader="dot" w:pos="9141"/>
        </w:tabs>
        <w:rPr>
          <w:rFonts w:hint="eastAsia" w:ascii="宋体" w:hAnsi="宋体"/>
        </w:rPr>
      </w:pPr>
    </w:p>
    <w:p w14:paraId="15514DD5">
      <w:pPr>
        <w:pStyle w:val="29"/>
        <w:tabs>
          <w:tab w:val="right" w:leader="dot" w:pos="9141"/>
        </w:tabs>
        <w:rPr>
          <w:rFonts w:hint="eastAsia" w:ascii="宋体" w:hAnsi="宋体"/>
        </w:rPr>
      </w:pPr>
    </w:p>
    <w:p w14:paraId="0C04F6FC">
      <w:pPr>
        <w:pStyle w:val="29"/>
        <w:tabs>
          <w:tab w:val="right" w:leader="dot" w:pos="9141"/>
        </w:tabs>
        <w:rPr>
          <w:rFonts w:hint="eastAsia" w:ascii="宋体" w:hAnsi="宋体"/>
        </w:rPr>
      </w:pPr>
    </w:p>
    <w:p w14:paraId="450D6BA8">
      <w:pPr>
        <w:pStyle w:val="29"/>
        <w:tabs>
          <w:tab w:val="right" w:leader="dot" w:pos="9141"/>
        </w:tabs>
        <w:rPr>
          <w:rFonts w:hint="eastAsia" w:ascii="宋体" w:hAnsi="宋体"/>
        </w:rPr>
      </w:pPr>
    </w:p>
    <w:p w14:paraId="69B67A65">
      <w:pPr>
        <w:widowControl/>
        <w:spacing w:before="78" w:beforeLines="25" w:after="78" w:afterLines="25" w:line="360" w:lineRule="auto"/>
        <w:jc w:val="center"/>
        <w:rPr>
          <w:rFonts w:ascii="宋体" w:hAnsi="宋体"/>
          <w:b/>
          <w:sz w:val="36"/>
          <w:szCs w:val="36"/>
        </w:rPr>
      </w:pPr>
      <w:bookmarkStart w:id="0" w:name="_Toc509669684"/>
      <w:r>
        <w:rPr>
          <w:rFonts w:ascii="宋体" w:hAnsi="宋体"/>
          <w:b/>
          <w:sz w:val="36"/>
          <w:szCs w:val="36"/>
        </w:rPr>
        <w:t>第一章</w:t>
      </w:r>
      <w:r>
        <w:rPr>
          <w:rFonts w:hint="eastAsia" w:ascii="宋体" w:hAnsi="宋体"/>
          <w:b/>
          <w:sz w:val="36"/>
          <w:szCs w:val="36"/>
        </w:rPr>
        <w:t xml:space="preserve">  </w:t>
      </w:r>
      <w:bookmarkEnd w:id="0"/>
      <w:r>
        <w:rPr>
          <w:rFonts w:hint="eastAsia" w:ascii="宋体" w:hAnsi="宋体"/>
          <w:b/>
          <w:sz w:val="36"/>
          <w:szCs w:val="36"/>
        </w:rPr>
        <w:t>公开招标（自主）公告</w:t>
      </w:r>
    </w:p>
    <w:p w14:paraId="382579EA">
      <w:pPr>
        <w:numPr>
          <w:ilvl w:val="0"/>
          <w:numId w:val="3"/>
        </w:numPr>
        <w:spacing w:line="540" w:lineRule="exact"/>
        <w:rPr>
          <w:rFonts w:ascii="仿宋_GB2312" w:hAnsi="仿宋_GB2312" w:eastAsia="仿宋_GB2312" w:cs="仿宋_GB2312"/>
          <w:sz w:val="28"/>
          <w:szCs w:val="28"/>
          <w:highlight w:val="none"/>
        </w:rPr>
      </w:pPr>
      <w:bookmarkStart w:id="1" w:name="_Toc509669685"/>
      <w:r>
        <w:rPr>
          <w:rFonts w:hint="eastAsia" w:ascii="仿宋_GB2312" w:hAnsi="仿宋_GB2312" w:eastAsia="仿宋_GB2312" w:cs="仿宋_GB2312"/>
          <w:b/>
          <w:bCs/>
          <w:sz w:val="28"/>
          <w:szCs w:val="28"/>
          <w:highlight w:val="none"/>
        </w:rPr>
        <w:t>项目名称：智慧家园项目物业管理用房装修工程</w:t>
      </w:r>
      <w:r>
        <w:rPr>
          <w:rFonts w:hint="eastAsia" w:ascii="仿宋_GB2312" w:hAnsi="仿宋_GB2312" w:eastAsia="仿宋_GB2312" w:cs="仿宋_GB2312"/>
          <w:b/>
          <w:bCs/>
          <w:sz w:val="28"/>
          <w:szCs w:val="28"/>
          <w:highlight w:val="none"/>
          <w:lang w:val="en-US" w:eastAsia="zh-CN"/>
        </w:rPr>
        <w:t>施工</w:t>
      </w:r>
    </w:p>
    <w:p w14:paraId="36F585F7">
      <w:pPr>
        <w:numPr>
          <w:ilvl w:val="0"/>
          <w:numId w:val="3"/>
        </w:numPr>
        <w:spacing w:line="560" w:lineRule="exact"/>
        <w:jc w:val="left"/>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项目概况：</w:t>
      </w:r>
      <w:r>
        <w:rPr>
          <w:rFonts w:hint="eastAsia" w:ascii="仿宋_GB2312" w:hAnsi="仿宋_GB2312" w:eastAsia="仿宋_GB2312" w:cs="仿宋_GB2312"/>
          <w:b w:val="0"/>
          <w:bCs w:val="0"/>
          <w:sz w:val="28"/>
          <w:szCs w:val="28"/>
          <w:highlight w:val="none"/>
          <w:lang w:val="en-US" w:eastAsia="zh-CN"/>
        </w:rPr>
        <w:t>本工程主要对智慧家园1栋A座201单元进行装饰装修改造，包括但不限于拆除及新建隔断墙、天地墙装饰、电气工程、暖通工程、消防工程等，建筑面积为859.99平方米（其中装修范围面积约505㎡）。</w:t>
      </w:r>
    </w:p>
    <w:p w14:paraId="4767FC54">
      <w:pPr>
        <w:spacing w:line="560" w:lineRule="exact"/>
        <w:jc w:val="left"/>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rPr>
        <w:t>：</w:t>
      </w:r>
      <w:bookmarkStart w:id="2" w:name="OLE_LINK3"/>
      <w:r>
        <w:rPr>
          <w:rFonts w:hint="eastAsia" w:ascii="仿宋_GB2312" w:hAnsi="仿宋_GB2312" w:eastAsia="仿宋_GB2312" w:cs="仿宋_GB2312"/>
          <w:b w:val="0"/>
          <w:bCs w:val="0"/>
          <w:sz w:val="28"/>
          <w:szCs w:val="28"/>
          <w:highlight w:val="none"/>
          <w:lang w:val="en-US" w:eastAsia="zh-CN"/>
        </w:rPr>
        <w:t>本工程主要对智慧家园1栋A座201单元进行装饰装修改造，包括但不限于拆除及新建隔断墙、天地墙装饰、电气工程、暖通工程、消防工程、竣工调试、相关报批报建手续办理、竣工图编制等，建筑面积为859.99平方米（其中装修范围面积约505㎡）</w:t>
      </w:r>
      <w:bookmarkEnd w:id="2"/>
      <w:r>
        <w:rPr>
          <w:rFonts w:hint="eastAsia" w:ascii="仿宋_GB2312" w:hAnsi="仿宋_GB2312" w:eastAsia="仿宋_GB2312" w:cs="仿宋_GB2312"/>
          <w:b w:val="0"/>
          <w:bCs w:val="0"/>
          <w:sz w:val="28"/>
          <w:szCs w:val="28"/>
          <w:highlight w:val="none"/>
          <w:lang w:val="en-US" w:eastAsia="zh-CN"/>
        </w:rPr>
        <w:t>。</w:t>
      </w:r>
    </w:p>
    <w:p w14:paraId="2CDEB884">
      <w:pPr>
        <w:spacing w:line="560" w:lineRule="exact"/>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sz w:val="28"/>
          <w:szCs w:val="28"/>
          <w:highlight w:val="none"/>
        </w:rPr>
        <w:t>四、公开招标（自主）价款：</w:t>
      </w:r>
      <w:r>
        <w:rPr>
          <w:rFonts w:hint="eastAsia" w:ascii="仿宋_GB2312" w:hAnsi="仿宋_GB2312" w:eastAsia="仿宋_GB2312" w:cs="仿宋_GB2312"/>
          <w:color w:val="auto"/>
          <w:sz w:val="28"/>
          <w:szCs w:val="28"/>
          <w:highlight w:val="none"/>
        </w:rPr>
        <w:t>投标上限价为</w:t>
      </w:r>
      <w:r>
        <w:rPr>
          <w:rFonts w:hint="eastAsia" w:ascii="仿宋_GB2312" w:hAnsi="仿宋_GB2312" w:eastAsia="仿宋_GB2312" w:cs="仿宋_GB2312"/>
          <w:color w:val="auto"/>
          <w:sz w:val="28"/>
          <w:szCs w:val="28"/>
          <w:highlight w:val="none"/>
          <w:lang w:val="en-US" w:eastAsia="zh-CN"/>
        </w:rPr>
        <w:t>79.83914万</w:t>
      </w:r>
      <w:r>
        <w:rPr>
          <w:rFonts w:hint="eastAsia" w:ascii="仿宋_GB2312" w:hAnsi="仿宋_GB2312" w:eastAsia="仿宋_GB2312" w:cs="仿宋_GB2312"/>
          <w:color w:val="auto"/>
          <w:sz w:val="28"/>
          <w:szCs w:val="28"/>
          <w:highlight w:val="none"/>
        </w:rPr>
        <w:t>元。投标报价上限相对招标控制价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除暂列金及安全文明措施费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的下浮率为5%</w:t>
      </w:r>
      <w:r>
        <w:rPr>
          <w:rFonts w:hint="eastAsia" w:ascii="仿宋_GB2312" w:hAnsi="仿宋_GB2312" w:eastAsia="仿宋_GB2312" w:cs="仿宋_GB2312"/>
          <w:color w:val="auto"/>
          <w:sz w:val="28"/>
          <w:szCs w:val="28"/>
          <w:highlight w:val="none"/>
          <w:lang w:eastAsia="zh-CN"/>
        </w:rPr>
        <w:t>。</w:t>
      </w:r>
    </w:p>
    <w:p w14:paraId="0865E6C1">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五、报价要求</w:t>
      </w:r>
      <w:r>
        <w:rPr>
          <w:rFonts w:hint="eastAsia" w:ascii="仿宋_GB2312" w:hAnsi="仿宋_GB2312" w:eastAsia="仿宋_GB2312" w:cs="仿宋_GB2312"/>
          <w:sz w:val="28"/>
          <w:szCs w:val="28"/>
          <w:highlight w:val="none"/>
        </w:rPr>
        <w:t>：投标人在限价范围内，自主报价。</w:t>
      </w:r>
    </w:p>
    <w:p w14:paraId="31D8E684">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六、响应单位资格要求：</w:t>
      </w:r>
    </w:p>
    <w:p w14:paraId="2F7065E8">
      <w:pPr>
        <w:spacing w:line="540" w:lineRule="exact"/>
        <w:ind w:left="0" w:leftChars="0" w:firstLine="638" w:firstLineChars="228"/>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施工单位需具有建筑装修装饰工程专业承包二级或以上资质。</w:t>
      </w:r>
    </w:p>
    <w:p w14:paraId="112E265E">
      <w:pPr>
        <w:spacing w:line="540" w:lineRule="exact"/>
        <w:ind w:left="0" w:leftChars="0" w:firstLine="638" w:firstLineChars="228"/>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2、不接受联合体投标。</w:t>
      </w:r>
    </w:p>
    <w:p w14:paraId="3E57F6D1">
      <w:pPr>
        <w:spacing w:line="540" w:lineRule="exact"/>
        <w:ind w:left="0" w:leftChars="0" w:firstLine="638" w:firstLineChars="228"/>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3、施工项目负责人具有二级注册建造师及以上资格，注册专业为：建筑工程，且具备项目经理安全生产考核合格证。</w:t>
      </w:r>
    </w:p>
    <w:p w14:paraId="65AA957A">
      <w:pPr>
        <w:spacing w:line="54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rPr>
        <w:t>七、评审方法：</w:t>
      </w:r>
      <w:r>
        <w:rPr>
          <w:rFonts w:hint="eastAsia" w:ascii="仿宋_GB2312" w:hAnsi="仿宋_GB2312" w:eastAsia="仿宋_GB2312" w:cs="仿宋_GB2312"/>
          <w:b w:val="0"/>
          <w:bCs w:val="0"/>
          <w:sz w:val="28"/>
          <w:szCs w:val="28"/>
          <w:lang w:val="en-US" w:eastAsia="zh-CN"/>
        </w:rPr>
        <w:t>定性评审，票决定标。</w:t>
      </w:r>
    </w:p>
    <w:p w14:paraId="6CFE8329">
      <w:pPr>
        <w:pStyle w:val="115"/>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合同模式：</w:t>
      </w:r>
      <w:r>
        <w:rPr>
          <w:rFonts w:hint="eastAsia" w:ascii="仿宋_GB2312" w:hAnsi="仿宋_GB2312" w:eastAsia="仿宋_GB2312" w:cs="仿宋_GB2312"/>
          <w:b w:val="0"/>
          <w:bCs w:val="0"/>
          <w:sz w:val="28"/>
          <w:szCs w:val="28"/>
          <w:highlight w:val="none"/>
          <w:lang w:val="en-US" w:eastAsia="zh-CN"/>
        </w:rPr>
        <w:t>本合同采用固定单价的合同形式，最终结算价款以相关结算审核部门审定的金额为准（如有）。</w:t>
      </w:r>
    </w:p>
    <w:p w14:paraId="0B790B5B">
      <w:pPr>
        <w:numPr>
          <w:ilvl w:val="255"/>
          <w:numId w:val="0"/>
        </w:numPr>
        <w:spacing w:line="560" w:lineRule="exact"/>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九、工</w:t>
      </w:r>
      <w:r>
        <w:rPr>
          <w:rFonts w:hint="eastAsia" w:ascii="仿宋_GB2312" w:hAnsi="仿宋_GB2312" w:eastAsia="仿宋_GB2312" w:cs="仿宋_GB2312"/>
          <w:b/>
          <w:bCs/>
          <w:sz w:val="28"/>
          <w:szCs w:val="28"/>
          <w:highlight w:val="none"/>
          <w:lang w:val="en-US" w:eastAsia="zh-CN"/>
        </w:rPr>
        <w:t>程保险：</w:t>
      </w:r>
      <w:r>
        <w:rPr>
          <w:rFonts w:hint="default" w:ascii="仿宋_GB2312" w:hAnsi="仿宋_GB2312" w:eastAsia="仿宋_GB2312" w:cs="仿宋_GB2312"/>
          <w:b w:val="0"/>
          <w:bCs w:val="0"/>
          <w:sz w:val="28"/>
          <w:szCs w:val="28"/>
          <w:highlight w:val="none"/>
          <w:lang w:val="en-US" w:eastAsia="zh-CN"/>
        </w:rPr>
        <w:t>发包人委托承包人购买建筑工程一切险、安装工程一切险和第三者责任险。该部分费用实报实销，且不超过</w:t>
      </w:r>
      <w:r>
        <w:rPr>
          <w:rFonts w:hint="eastAsia" w:ascii="仿宋_GB2312" w:hAnsi="仿宋_GB2312" w:eastAsia="仿宋_GB2312" w:cs="仿宋_GB2312"/>
          <w:b w:val="0"/>
          <w:bCs w:val="0"/>
          <w:sz w:val="28"/>
          <w:szCs w:val="28"/>
          <w:highlight w:val="none"/>
          <w:lang w:val="en-US" w:eastAsia="zh-CN"/>
        </w:rPr>
        <w:t>投标金额</w:t>
      </w:r>
      <w:r>
        <w:rPr>
          <w:rFonts w:hint="default" w:ascii="仿宋_GB2312" w:hAnsi="仿宋_GB2312" w:eastAsia="仿宋_GB2312" w:cs="仿宋_GB2312"/>
          <w:b w:val="0"/>
          <w:bCs w:val="0"/>
          <w:sz w:val="28"/>
          <w:szCs w:val="28"/>
          <w:highlight w:val="none"/>
          <w:lang w:val="en-US" w:eastAsia="zh-CN"/>
        </w:rPr>
        <w:t>。</w:t>
      </w:r>
    </w:p>
    <w:p w14:paraId="5479A0C9">
      <w:pPr>
        <w:numPr>
          <w:ilvl w:val="-1"/>
          <w:numId w:val="0"/>
        </w:numPr>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28"/>
          <w:szCs w:val="28"/>
          <w:lang w:val="en-US" w:eastAsia="zh-CN"/>
        </w:rPr>
        <w:t>十、工期要求</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28"/>
          <w:szCs w:val="28"/>
          <w:highlight w:val="none"/>
          <w:lang w:val="en-US" w:eastAsia="zh-CN"/>
        </w:rPr>
        <w:t>计划工期：60日历天（具体开工日期以开工令或发包人的开工通知为准）。</w:t>
      </w:r>
    </w:p>
    <w:p w14:paraId="18FBC635">
      <w:pPr>
        <w:numPr>
          <w:ilvl w:val="0"/>
          <w:numId w:val="0"/>
        </w:numPr>
        <w:spacing w:line="560" w:lineRule="exact"/>
        <w:rPr>
          <w:rFonts w:ascii="仿宋_GB2312" w:hAnsi="仿宋_GB2312" w:eastAsia="仿宋_GB2312" w:cs="仿宋_GB2312"/>
          <w:color w:val="auto"/>
          <w:sz w:val="32"/>
          <w:szCs w:val="32"/>
        </w:rPr>
      </w:pPr>
    </w:p>
    <w:p w14:paraId="423E3A76">
      <w:pPr>
        <w:spacing w:line="56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十一、项目质量要求：</w:t>
      </w:r>
      <w:r>
        <w:rPr>
          <w:rFonts w:hint="eastAsia" w:ascii="仿宋_GB2312" w:hAnsi="仿宋_GB2312" w:eastAsia="仿宋_GB2312" w:cs="仿宋_GB2312"/>
          <w:b w:val="0"/>
          <w:bCs w:val="0"/>
          <w:sz w:val="28"/>
          <w:szCs w:val="28"/>
          <w:lang w:val="en-US" w:eastAsia="zh-CN"/>
        </w:rPr>
        <w:t>合格。</w:t>
      </w:r>
    </w:p>
    <w:p w14:paraId="01798EE4">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lang w:val="en-US" w:eastAsia="zh-CN"/>
        </w:rPr>
        <w:t>十二、</w:t>
      </w:r>
      <w:r>
        <w:rPr>
          <w:rFonts w:hint="eastAsia" w:ascii="仿宋_GB2312" w:hAnsi="仿宋_GB2312" w:eastAsia="仿宋_GB2312" w:cs="仿宋_GB2312"/>
          <w:b/>
          <w:bCs/>
          <w:sz w:val="28"/>
          <w:szCs w:val="28"/>
          <w:highlight w:val="none"/>
        </w:rPr>
        <w:t>支付方式：</w:t>
      </w:r>
    </w:p>
    <w:p w14:paraId="0957E159">
      <w:pPr>
        <w:spacing w:line="540" w:lineRule="exact"/>
        <w:ind w:firstLine="560" w:firstLineChars="200"/>
        <w:rPr>
          <w:rFonts w:hint="eastAsia"/>
          <w:lang w:val="en-US" w:eastAsia="zh-CN"/>
        </w:rPr>
      </w:pPr>
      <w:r>
        <w:rPr>
          <w:rFonts w:hint="eastAsia" w:ascii="仿宋_GB2312" w:hAnsi="仿宋_GB2312" w:eastAsia="仿宋_GB2312" w:cs="仿宋_GB2312"/>
          <w:bCs w:val="0"/>
          <w:color w:val="auto"/>
          <w:kern w:val="2"/>
          <w:sz w:val="28"/>
          <w:szCs w:val="28"/>
          <w:highlight w:val="none"/>
          <w:u w:val="none"/>
          <w:lang w:val="en-US" w:eastAsia="zh-CN" w:bidi="ar-SA"/>
        </w:rPr>
        <w:t>1、</w:t>
      </w:r>
      <w:r>
        <w:rPr>
          <w:rFonts w:hint="eastAsia" w:ascii="仿宋_GB2312" w:hAnsi="仿宋_GB2312" w:eastAsia="仿宋_GB2312" w:cs="仿宋_GB2312"/>
          <w:b w:val="0"/>
          <w:bCs w:val="0"/>
          <w:sz w:val="28"/>
          <w:szCs w:val="28"/>
          <w:highlight w:val="none"/>
          <w:lang w:val="en-US" w:eastAsia="zh-CN"/>
        </w:rPr>
        <w:t>本项目预付款为合同暂定价款（不含暂列金额）的10%，项目全部完工后支付至合同暂定价款（不含暂列金额）的70%；竣工结算完成后支付至相关审核部门（如有）审定结算价款的97%；剩余3%为质量保证金，在工程缺陷责任期满（2年）后支付。</w:t>
      </w:r>
    </w:p>
    <w:p w14:paraId="29C83B4E">
      <w:pPr>
        <w:spacing w:line="540" w:lineRule="exact"/>
        <w:ind w:firstLine="560" w:firstLineChars="200"/>
        <w:rPr>
          <w:rFonts w:hint="default"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Cs w:val="0"/>
          <w:color w:val="auto"/>
          <w:kern w:val="2"/>
          <w:sz w:val="28"/>
          <w:szCs w:val="28"/>
          <w:highlight w:val="none"/>
          <w:u w:val="none"/>
          <w:lang w:val="en-US" w:eastAsia="zh-CN" w:bidi="ar-SA"/>
        </w:rPr>
        <w:t>2、结算原则：本合同采用固定单价的合同形式，最终结算价款以相关结算审核部门审定的金额为准（如有）。</w:t>
      </w:r>
    </w:p>
    <w:p w14:paraId="23E86487">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、响应文件要求：</w:t>
      </w:r>
    </w:p>
    <w:p w14:paraId="5519A76F">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auto"/>
          <w:sz w:val="28"/>
          <w:szCs w:val="28"/>
        </w:rPr>
        <w:t>本次公告时间从202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日止，响应承包商应于</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日15:00</w:t>
      </w:r>
      <w:r>
        <w:rPr>
          <w:rFonts w:ascii="仿宋_GB2312" w:hAnsi="仿宋_GB2312" w:eastAsia="仿宋_GB2312" w:cs="仿宋_GB2312"/>
          <w:color w:val="auto"/>
          <w:sz w:val="28"/>
          <w:szCs w:val="28"/>
        </w:rPr>
        <w:t>前</w:t>
      </w:r>
      <w:r>
        <w:rPr>
          <w:rFonts w:hint="eastAsia" w:ascii="仿宋_GB2312" w:hAnsi="仿宋_GB2312" w:eastAsia="仿宋_GB2312" w:cs="仿宋_GB2312"/>
          <w:sz w:val="28"/>
          <w:szCs w:val="28"/>
        </w:rPr>
        <w:t>将响应文件1正4副密封（统一密封，密封处加盖公章）送交到龙岗区中心城腾飞路创投大厦22</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室（</w:t>
      </w:r>
      <w:r>
        <w:rPr>
          <w:rFonts w:hint="eastAsia" w:ascii="仿宋_GB2312" w:hAnsi="仿宋_GB2312" w:eastAsia="仿宋_GB2312" w:cs="仿宋_GB2312"/>
          <w:sz w:val="28"/>
          <w:szCs w:val="28"/>
          <w:lang w:val="en-US" w:eastAsia="zh-CN"/>
        </w:rPr>
        <w:t>合约造价部</w:t>
      </w: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邹工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15820472526</w:t>
      </w:r>
      <w:r>
        <w:rPr>
          <w:rFonts w:hint="eastAsia" w:ascii="仿宋_GB2312" w:hAnsi="仿宋_GB2312" w:eastAsia="仿宋_GB2312" w:cs="仿宋_GB2312"/>
          <w:sz w:val="28"/>
          <w:szCs w:val="28"/>
        </w:rPr>
        <w:t>），逾期送达或未按要求密封将予以拒收或原封退回给报价人。</w:t>
      </w:r>
    </w:p>
    <w:p w14:paraId="5837CE03">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（2）响应文件包含承诺函、委托人要求提供的资料等，详见公开招标（自主）文件。</w:t>
      </w:r>
    </w:p>
    <w:p w14:paraId="7916B666">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25AEF204">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、公开招标（自主）结果公示</w:t>
      </w:r>
    </w:p>
    <w:p w14:paraId="4233869B">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递交响应文件截止后，委托人将自行组织响应文件开启、评审等工作，确定承包单位后将在龙岗区城投集团官方网站进行公示。</w:t>
      </w:r>
    </w:p>
    <w:p w14:paraId="07EA68CC">
      <w:pPr>
        <w:pStyle w:val="24"/>
      </w:pPr>
    </w:p>
    <w:p w14:paraId="412C7C97"/>
    <w:p w14:paraId="294F25C3"/>
    <w:p w14:paraId="1A352BF9"/>
    <w:p w14:paraId="078D0812">
      <w:pPr>
        <w:spacing w:line="540" w:lineRule="exact"/>
        <w:ind w:left="1687" w:hanging="1687" w:hangingChars="6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特别说明：1.资格不符合要求的投标人不能进入比选程序。</w:t>
      </w:r>
    </w:p>
    <w:p w14:paraId="0FE95E4A">
      <w:pPr>
        <w:numPr>
          <w:ilvl w:val="255"/>
          <w:numId w:val="0"/>
        </w:numPr>
        <w:spacing w:line="540" w:lineRule="exact"/>
        <w:ind w:left="1677" w:leftChars="665" w:hanging="281" w:hanging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所有响应单位视为同意上述公告内容，确定为承包单位后按公告约定与委托人签署合同。</w:t>
      </w:r>
    </w:p>
    <w:p w14:paraId="0E8663D3">
      <w:pPr>
        <w:numPr>
          <w:ilvl w:val="255"/>
          <w:numId w:val="0"/>
        </w:numPr>
        <w:spacing w:line="540" w:lineRule="exact"/>
        <w:ind w:left="1677" w:leftChars="665" w:hanging="281" w:hanging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公开招标（自主）评审后，如承包单位放弃中选资格或者拒不签订合同的，委托人可以从资格审查合格的其他投标单位中采用原评审方法，由原评审小组确定承包单位。</w:t>
      </w:r>
    </w:p>
    <w:p w14:paraId="5665C547">
      <w:pPr>
        <w:spacing w:line="540" w:lineRule="exact"/>
        <w:ind w:left="1687" w:hanging="1687" w:hangingChars="600"/>
        <w:rPr>
          <w:rFonts w:ascii="仿宋_GB2312" w:hAnsi="仿宋_GB2312" w:eastAsia="仿宋_GB2312" w:cs="仿宋_GB2312"/>
          <w:b/>
          <w:bCs/>
          <w:sz w:val="28"/>
          <w:szCs w:val="28"/>
        </w:rPr>
      </w:pPr>
    </w:p>
    <w:p w14:paraId="6ED2A588">
      <w:pPr>
        <w:adjustRightInd/>
        <w:snapToGrid/>
        <w:spacing w:line="360" w:lineRule="auto"/>
        <w:ind w:left="0" w:firstLine="0" w:firstLineChars="0"/>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宋体" w:eastAsia="仿宋_GB2312" w:cs="Times New Roman"/>
          <w:b/>
          <w:bCs w:val="0"/>
          <w:sz w:val="30"/>
          <w:szCs w:val="30"/>
          <w:lang w:val="en-US" w:eastAsia="zh-CN"/>
        </w:rPr>
        <w:t>深圳市龙岗区城市建投投资集团有限公司</w:t>
      </w:r>
    </w:p>
    <w:p w14:paraId="29EB8D22">
      <w:pPr>
        <w:spacing w:line="540" w:lineRule="exact"/>
        <w:ind w:firstLine="480"/>
        <w:rPr>
          <w:rFonts w:ascii="仿宋_GB2312" w:hAnsi="仿宋_GB2312" w:eastAsia="仿宋_GB2312" w:cs="仿宋_GB2312"/>
          <w:b/>
          <w:bCs/>
          <w:sz w:val="28"/>
          <w:szCs w:val="28"/>
          <w:highlight w:val="yellow"/>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202</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14</w:t>
      </w:r>
      <w:r>
        <w:rPr>
          <w:rFonts w:hint="eastAsia" w:ascii="仿宋_GB2312" w:hAnsi="仿宋_GB2312" w:eastAsia="仿宋_GB2312" w:cs="仿宋_GB2312"/>
          <w:b/>
          <w:bCs/>
          <w:sz w:val="28"/>
          <w:szCs w:val="28"/>
        </w:rPr>
        <w:t>日</w:t>
      </w:r>
    </w:p>
    <w:p w14:paraId="109E350E">
      <w:r>
        <w:br w:type="page"/>
      </w:r>
    </w:p>
    <w:p w14:paraId="480B0B78">
      <w:pPr>
        <w:pStyle w:val="24"/>
        <w:jc w:val="center"/>
        <w:rPr>
          <w:b/>
          <w:sz w:val="36"/>
          <w:szCs w:val="36"/>
        </w:rPr>
      </w:pPr>
      <w:r>
        <w:rPr>
          <w:rFonts w:hint="eastAsia"/>
          <w:b/>
          <w:sz w:val="36"/>
          <w:szCs w:val="36"/>
        </w:rPr>
        <w:t>第二章　</w:t>
      </w:r>
      <w:bookmarkStart w:id="3" w:name="_Toc306716052"/>
      <w:r>
        <w:rPr>
          <w:rFonts w:hint="eastAsia"/>
          <w:b/>
          <w:sz w:val="36"/>
          <w:szCs w:val="36"/>
        </w:rPr>
        <w:t>投标须知</w:t>
      </w:r>
      <w:bookmarkEnd w:id="1"/>
      <w:bookmarkEnd w:id="3"/>
    </w:p>
    <w:p w14:paraId="7BBD2373">
      <w:pPr>
        <w:pStyle w:val="24"/>
        <w:jc w:val="center"/>
        <w:rPr>
          <w:b/>
          <w:sz w:val="32"/>
          <w:szCs w:val="32"/>
        </w:rPr>
      </w:pPr>
      <w:r>
        <w:rPr>
          <w:rFonts w:hint="eastAsia"/>
          <w:b/>
          <w:sz w:val="32"/>
          <w:szCs w:val="32"/>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1F8E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34A30358">
            <w:pPr>
              <w:spacing w:line="240" w:lineRule="auto"/>
              <w:ind w:firstLine="0" w:firstLineChars="0"/>
              <w:jc w:val="both"/>
              <w:rPr>
                <w:rFonts w:hint="eastAsia" w:ascii="宋体" w:hAnsi="宋体"/>
              </w:rPr>
            </w:pPr>
            <w:r>
              <w:rPr>
                <w:rFonts w:hint="eastAsia" w:ascii="宋体" w:hAnsi="宋体"/>
              </w:rPr>
              <w:t>序号</w:t>
            </w:r>
          </w:p>
        </w:tc>
        <w:tc>
          <w:tcPr>
            <w:tcW w:w="1534" w:type="dxa"/>
            <w:vAlign w:val="center"/>
          </w:tcPr>
          <w:p w14:paraId="598D4D2B">
            <w:pPr>
              <w:spacing w:line="240" w:lineRule="auto"/>
              <w:ind w:firstLine="0" w:firstLineChars="0"/>
              <w:jc w:val="both"/>
              <w:rPr>
                <w:rFonts w:hint="eastAsia" w:ascii="宋体" w:hAnsi="宋体"/>
              </w:rPr>
            </w:pPr>
            <w:r>
              <w:rPr>
                <w:rFonts w:hint="eastAsia" w:ascii="宋体" w:hAnsi="宋体"/>
              </w:rPr>
              <w:t>项目明细内容</w:t>
            </w:r>
          </w:p>
        </w:tc>
        <w:tc>
          <w:tcPr>
            <w:tcW w:w="3151" w:type="dxa"/>
            <w:vAlign w:val="center"/>
          </w:tcPr>
          <w:p w14:paraId="602A7F5E">
            <w:pPr>
              <w:spacing w:line="240" w:lineRule="auto"/>
              <w:ind w:firstLine="0" w:firstLineChars="0"/>
              <w:jc w:val="both"/>
              <w:rPr>
                <w:rFonts w:hint="eastAsia" w:ascii="宋体" w:hAnsi="宋体"/>
              </w:rPr>
            </w:pPr>
            <w:r>
              <w:rPr>
                <w:rFonts w:hint="eastAsia" w:ascii="宋体" w:hAnsi="宋体"/>
              </w:rPr>
              <w:t>要求</w:t>
            </w:r>
          </w:p>
        </w:tc>
        <w:tc>
          <w:tcPr>
            <w:tcW w:w="3108" w:type="dxa"/>
            <w:vAlign w:val="center"/>
          </w:tcPr>
          <w:p w14:paraId="6FB79F87">
            <w:pPr>
              <w:spacing w:line="240" w:lineRule="auto"/>
              <w:ind w:firstLine="0" w:firstLineChars="0"/>
              <w:jc w:val="both"/>
              <w:rPr>
                <w:rFonts w:hint="eastAsia" w:ascii="宋体" w:hAnsi="宋体"/>
              </w:rPr>
            </w:pPr>
            <w:r>
              <w:rPr>
                <w:rFonts w:hint="eastAsia" w:ascii="宋体" w:hAnsi="宋体"/>
              </w:rPr>
              <w:t>备注</w:t>
            </w:r>
          </w:p>
        </w:tc>
      </w:tr>
      <w:tr w14:paraId="2FE4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7C4D81C2">
            <w:pPr>
              <w:spacing w:line="240" w:lineRule="auto"/>
              <w:ind w:firstLine="0" w:firstLineChars="0"/>
              <w:jc w:val="both"/>
              <w:rPr>
                <w:rFonts w:hint="eastAsia" w:ascii="宋体" w:hAnsi="宋体"/>
              </w:rPr>
            </w:pPr>
            <w:r>
              <w:rPr>
                <w:rFonts w:hint="eastAsia" w:ascii="宋体" w:hAnsi="宋体"/>
              </w:rPr>
              <w:t>1</w:t>
            </w:r>
          </w:p>
        </w:tc>
        <w:tc>
          <w:tcPr>
            <w:tcW w:w="1534" w:type="dxa"/>
            <w:vAlign w:val="center"/>
          </w:tcPr>
          <w:p w14:paraId="2A5B3F1A">
            <w:pPr>
              <w:spacing w:line="240" w:lineRule="auto"/>
              <w:ind w:firstLine="0" w:firstLineChars="0"/>
              <w:jc w:val="both"/>
              <w:rPr>
                <w:rFonts w:hint="eastAsia" w:ascii="宋体" w:hAnsi="宋体"/>
              </w:rPr>
            </w:pPr>
            <w:r>
              <w:rPr>
                <w:rFonts w:hint="eastAsia" w:ascii="宋体" w:hAnsi="宋体"/>
              </w:rPr>
              <w:t>公开招标（自主）文件</w:t>
            </w:r>
          </w:p>
        </w:tc>
        <w:tc>
          <w:tcPr>
            <w:tcW w:w="3151" w:type="dxa"/>
            <w:vAlign w:val="center"/>
          </w:tcPr>
          <w:p w14:paraId="3868AE2F">
            <w:pPr>
              <w:spacing w:line="240" w:lineRule="auto"/>
              <w:ind w:firstLine="0" w:firstLineChars="0"/>
              <w:jc w:val="both"/>
              <w:rPr>
                <w:rFonts w:hint="eastAsia" w:ascii="宋体" w:hAnsi="宋体"/>
              </w:rPr>
            </w:pPr>
            <w:r>
              <w:rPr>
                <w:rFonts w:hint="eastAsia" w:ascii="宋体" w:hAnsi="宋体"/>
                <w:color w:val="auto"/>
                <w:highlight w:val="yellow"/>
              </w:rPr>
              <w:t>公告时间从</w:t>
            </w:r>
            <w:r>
              <w:rPr>
                <w:rFonts w:hint="eastAsia" w:ascii="宋体" w:hAnsi="宋体" w:cs="Times New Roman"/>
                <w:color w:val="auto"/>
                <w:sz w:val="21"/>
                <w:szCs w:val="22"/>
                <w:highlight w:val="yellow"/>
                <w:lang w:eastAsia="zh-CN"/>
              </w:rPr>
              <w:t>2025年</w:t>
            </w:r>
            <w:r>
              <w:rPr>
                <w:rFonts w:hint="eastAsia" w:ascii="宋体" w:hAnsi="宋体" w:cs="Times New Roman"/>
                <w:color w:val="auto"/>
                <w:sz w:val="21"/>
                <w:szCs w:val="22"/>
                <w:highlight w:val="yellow"/>
                <w:lang w:val="en-US" w:eastAsia="zh-CN"/>
              </w:rPr>
              <w:t>5</w:t>
            </w:r>
            <w:r>
              <w:rPr>
                <w:rFonts w:hint="eastAsia" w:ascii="宋体" w:hAnsi="宋体" w:cs="Times New Roman"/>
                <w:color w:val="auto"/>
                <w:sz w:val="21"/>
                <w:szCs w:val="22"/>
                <w:highlight w:val="yellow"/>
                <w:lang w:eastAsia="zh-CN"/>
              </w:rPr>
              <w:t>月1</w:t>
            </w:r>
            <w:r>
              <w:rPr>
                <w:rFonts w:hint="eastAsia" w:ascii="宋体" w:hAnsi="宋体" w:cs="Times New Roman"/>
                <w:color w:val="auto"/>
                <w:sz w:val="21"/>
                <w:szCs w:val="22"/>
                <w:highlight w:val="yellow"/>
                <w:lang w:val="en-US" w:eastAsia="zh-CN"/>
              </w:rPr>
              <w:t>5</w:t>
            </w:r>
            <w:r>
              <w:rPr>
                <w:rFonts w:hint="eastAsia" w:ascii="宋体" w:hAnsi="宋体" w:cs="Times New Roman"/>
                <w:color w:val="auto"/>
                <w:sz w:val="21"/>
                <w:szCs w:val="22"/>
                <w:highlight w:val="yellow"/>
                <w:lang w:eastAsia="zh-CN"/>
              </w:rPr>
              <w:t>日</w:t>
            </w:r>
            <w:r>
              <w:rPr>
                <w:rFonts w:hint="eastAsia" w:ascii="宋体" w:hAnsi="宋体" w:eastAsia="宋体" w:cs="Times New Roman"/>
                <w:color w:val="auto"/>
                <w:sz w:val="21"/>
                <w:szCs w:val="22"/>
                <w:highlight w:val="yellow"/>
              </w:rPr>
              <w:t>—</w:t>
            </w:r>
            <w:r>
              <w:rPr>
                <w:rFonts w:hint="eastAsia" w:ascii="宋体" w:hAnsi="宋体" w:cs="Times New Roman"/>
                <w:color w:val="auto"/>
                <w:sz w:val="21"/>
                <w:szCs w:val="22"/>
                <w:highlight w:val="yellow"/>
                <w:lang w:val="en-US" w:eastAsia="zh-CN"/>
              </w:rPr>
              <w:t>5</w:t>
            </w:r>
            <w:r>
              <w:rPr>
                <w:rFonts w:hint="eastAsia" w:ascii="宋体" w:hAnsi="宋体" w:eastAsia="宋体" w:cs="Times New Roman"/>
                <w:color w:val="auto"/>
                <w:sz w:val="21"/>
                <w:szCs w:val="22"/>
                <w:highlight w:val="yellow"/>
              </w:rPr>
              <w:t>月</w:t>
            </w:r>
            <w:r>
              <w:rPr>
                <w:rFonts w:hint="eastAsia" w:ascii="宋体" w:hAnsi="宋体" w:cs="Times New Roman"/>
                <w:color w:val="auto"/>
                <w:sz w:val="21"/>
                <w:szCs w:val="22"/>
                <w:highlight w:val="yellow"/>
                <w:lang w:val="en-US" w:eastAsia="zh-CN"/>
              </w:rPr>
              <w:t>22</w:t>
            </w:r>
            <w:r>
              <w:rPr>
                <w:rFonts w:hint="eastAsia" w:ascii="宋体" w:hAnsi="宋体" w:eastAsia="宋体" w:cs="Times New Roman"/>
                <w:color w:val="auto"/>
                <w:sz w:val="21"/>
                <w:szCs w:val="22"/>
                <w:highlight w:val="yellow"/>
              </w:rPr>
              <w:t>日</w:t>
            </w:r>
            <w:r>
              <w:rPr>
                <w:rFonts w:hint="eastAsia" w:ascii="宋体" w:hAnsi="宋体"/>
                <w:color w:val="auto"/>
                <w:highlight w:val="yellow"/>
              </w:rPr>
              <w:t>止</w:t>
            </w:r>
          </w:p>
        </w:tc>
        <w:tc>
          <w:tcPr>
            <w:tcW w:w="3108" w:type="dxa"/>
            <w:vAlign w:val="center"/>
          </w:tcPr>
          <w:p w14:paraId="02CFF90A">
            <w:pPr>
              <w:spacing w:line="240" w:lineRule="auto"/>
              <w:ind w:firstLine="0" w:firstLineChars="0"/>
              <w:jc w:val="both"/>
              <w:rPr>
                <w:rFonts w:hint="eastAsia" w:ascii="宋体" w:hAnsi="宋体"/>
              </w:rPr>
            </w:pPr>
            <w:r>
              <w:rPr>
                <w:rFonts w:hint="eastAsia" w:ascii="宋体" w:hAnsi="宋体"/>
              </w:rPr>
              <w:t>龙岗区城投集团官方网站</w:t>
            </w:r>
          </w:p>
        </w:tc>
      </w:tr>
      <w:tr w14:paraId="5AB8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6" w:type="dxa"/>
            <w:vAlign w:val="center"/>
          </w:tcPr>
          <w:p w14:paraId="58CA8266">
            <w:pPr>
              <w:spacing w:line="240" w:lineRule="auto"/>
              <w:ind w:firstLine="0" w:firstLineChars="0"/>
              <w:jc w:val="both"/>
              <w:rPr>
                <w:rFonts w:hint="eastAsia" w:ascii="宋体" w:hAnsi="宋体"/>
              </w:rPr>
            </w:pPr>
            <w:r>
              <w:rPr>
                <w:rFonts w:hint="eastAsia" w:ascii="宋体" w:hAnsi="宋体"/>
              </w:rPr>
              <w:t>2</w:t>
            </w:r>
          </w:p>
        </w:tc>
        <w:tc>
          <w:tcPr>
            <w:tcW w:w="1534" w:type="dxa"/>
            <w:vAlign w:val="center"/>
          </w:tcPr>
          <w:p w14:paraId="63164D07">
            <w:pPr>
              <w:spacing w:line="240" w:lineRule="auto"/>
              <w:ind w:firstLine="0" w:firstLineChars="0"/>
              <w:jc w:val="both"/>
              <w:rPr>
                <w:rFonts w:hint="eastAsia" w:ascii="宋体" w:hAnsi="宋体"/>
              </w:rPr>
            </w:pPr>
            <w:r>
              <w:rPr>
                <w:rFonts w:hint="eastAsia" w:ascii="宋体" w:hAnsi="宋体"/>
              </w:rPr>
              <w:t>公开招标（自主）上限价</w:t>
            </w:r>
          </w:p>
        </w:tc>
        <w:tc>
          <w:tcPr>
            <w:tcW w:w="3151" w:type="dxa"/>
            <w:vAlign w:val="center"/>
          </w:tcPr>
          <w:p w14:paraId="0F6FE793">
            <w:pPr>
              <w:spacing w:line="240" w:lineRule="auto"/>
              <w:ind w:firstLine="0" w:firstLineChars="0"/>
              <w:jc w:val="both"/>
              <w:rPr>
                <w:rFonts w:hint="eastAsia" w:ascii="宋体" w:hAnsi="宋体"/>
              </w:rPr>
            </w:pPr>
            <w:r>
              <w:rPr>
                <w:rFonts w:hint="eastAsia" w:ascii="宋体" w:hAnsi="宋体"/>
              </w:rPr>
              <w:t>投标上限价为</w:t>
            </w:r>
            <w:r>
              <w:rPr>
                <w:rFonts w:hint="eastAsia" w:ascii="宋体" w:hAnsi="宋体"/>
                <w:lang w:val="en-US" w:eastAsia="zh-CN"/>
              </w:rPr>
              <w:t>79.83914</w:t>
            </w:r>
            <w:r>
              <w:rPr>
                <w:rFonts w:hint="eastAsia" w:ascii="宋体" w:hAnsi="宋体"/>
              </w:rPr>
              <w:t>万元</w:t>
            </w:r>
          </w:p>
        </w:tc>
        <w:tc>
          <w:tcPr>
            <w:tcW w:w="3108" w:type="dxa"/>
            <w:vMerge w:val="restart"/>
            <w:vAlign w:val="center"/>
          </w:tcPr>
          <w:p w14:paraId="017819BE">
            <w:pPr>
              <w:spacing w:line="240" w:lineRule="auto"/>
              <w:ind w:firstLine="0" w:firstLineChars="0"/>
              <w:jc w:val="both"/>
              <w:rPr>
                <w:rFonts w:hint="default" w:ascii="宋体" w:hAnsi="宋体" w:eastAsia="宋体"/>
                <w:lang w:val="en-US" w:eastAsia="zh-CN"/>
              </w:rPr>
            </w:pPr>
            <w:r>
              <w:rPr>
                <w:rFonts w:hint="default" w:ascii="宋体" w:hAnsi="宋体" w:eastAsia="宋体"/>
                <w:lang w:val="en-US" w:eastAsia="zh-CN"/>
              </w:rPr>
              <w:t>投标报价上限相对招标控制价（除暂列金及安全文明措施费）的下浮率为5%。</w:t>
            </w:r>
          </w:p>
        </w:tc>
      </w:tr>
      <w:tr w14:paraId="091F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03BFC407">
            <w:pPr>
              <w:spacing w:line="240" w:lineRule="auto"/>
              <w:ind w:firstLine="0" w:firstLineChars="0"/>
              <w:jc w:val="both"/>
              <w:rPr>
                <w:rFonts w:hint="eastAsia" w:ascii="宋体" w:hAnsi="宋体"/>
              </w:rPr>
            </w:pPr>
            <w:r>
              <w:rPr>
                <w:rFonts w:hint="eastAsia" w:ascii="宋体" w:hAnsi="宋体"/>
              </w:rPr>
              <w:t>3</w:t>
            </w:r>
          </w:p>
        </w:tc>
        <w:tc>
          <w:tcPr>
            <w:tcW w:w="1534" w:type="dxa"/>
            <w:vAlign w:val="center"/>
          </w:tcPr>
          <w:p w14:paraId="1CA822BD">
            <w:pPr>
              <w:spacing w:line="240" w:lineRule="auto"/>
              <w:ind w:firstLine="0" w:firstLineChars="0"/>
              <w:jc w:val="both"/>
              <w:rPr>
                <w:rFonts w:hint="eastAsia" w:ascii="宋体" w:hAnsi="宋体"/>
              </w:rPr>
            </w:pPr>
            <w:r>
              <w:rPr>
                <w:rFonts w:hint="eastAsia" w:ascii="宋体" w:hAnsi="宋体"/>
              </w:rPr>
              <w:t>投标报价要求</w:t>
            </w:r>
          </w:p>
        </w:tc>
        <w:tc>
          <w:tcPr>
            <w:tcW w:w="3151" w:type="dxa"/>
            <w:vAlign w:val="center"/>
          </w:tcPr>
          <w:p w14:paraId="1EA47516">
            <w:pPr>
              <w:spacing w:line="240" w:lineRule="auto"/>
              <w:ind w:firstLine="0" w:firstLineChars="0"/>
              <w:jc w:val="both"/>
              <w:rPr>
                <w:rFonts w:hint="eastAsia" w:ascii="宋体" w:hAnsi="宋体"/>
              </w:rPr>
            </w:pPr>
            <w:r>
              <w:rPr>
                <w:rFonts w:hint="eastAsia" w:ascii="宋体" w:hAnsi="宋体"/>
              </w:rPr>
              <w:t>自主报价</w:t>
            </w:r>
          </w:p>
        </w:tc>
        <w:tc>
          <w:tcPr>
            <w:tcW w:w="3108" w:type="dxa"/>
            <w:vMerge w:val="continue"/>
            <w:vAlign w:val="center"/>
          </w:tcPr>
          <w:p w14:paraId="2363DA48">
            <w:pPr>
              <w:spacing w:line="240" w:lineRule="auto"/>
              <w:ind w:firstLine="0" w:firstLineChars="0"/>
              <w:jc w:val="both"/>
              <w:rPr>
                <w:rFonts w:hint="eastAsia" w:ascii="宋体" w:hAnsi="宋体"/>
              </w:rPr>
            </w:pPr>
          </w:p>
        </w:tc>
      </w:tr>
      <w:tr w14:paraId="5812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vAlign w:val="center"/>
          </w:tcPr>
          <w:p w14:paraId="3721B866">
            <w:pPr>
              <w:spacing w:line="240" w:lineRule="auto"/>
              <w:ind w:firstLine="0" w:firstLineChars="0"/>
              <w:jc w:val="both"/>
              <w:rPr>
                <w:rFonts w:hint="eastAsia" w:ascii="宋体" w:hAnsi="宋体"/>
              </w:rPr>
            </w:pPr>
            <w:r>
              <w:rPr>
                <w:rFonts w:hint="eastAsia" w:ascii="宋体" w:hAnsi="宋体"/>
              </w:rPr>
              <w:t>4</w:t>
            </w:r>
          </w:p>
        </w:tc>
        <w:tc>
          <w:tcPr>
            <w:tcW w:w="1534" w:type="dxa"/>
            <w:vAlign w:val="center"/>
          </w:tcPr>
          <w:p w14:paraId="7F5AF37D">
            <w:pPr>
              <w:spacing w:line="240" w:lineRule="auto"/>
              <w:ind w:firstLine="0" w:firstLineChars="0"/>
              <w:jc w:val="both"/>
              <w:rPr>
                <w:rFonts w:hint="eastAsia" w:ascii="宋体" w:hAnsi="宋体"/>
              </w:rPr>
            </w:pPr>
            <w:r>
              <w:rPr>
                <w:rFonts w:hint="eastAsia" w:ascii="宋体" w:hAnsi="宋体"/>
              </w:rPr>
              <w:t>工期要求</w:t>
            </w:r>
          </w:p>
        </w:tc>
        <w:tc>
          <w:tcPr>
            <w:tcW w:w="3151" w:type="dxa"/>
            <w:vAlign w:val="center"/>
          </w:tcPr>
          <w:p w14:paraId="06B018CB">
            <w:pPr>
              <w:spacing w:line="240" w:lineRule="auto"/>
              <w:ind w:firstLine="0" w:firstLineChars="0"/>
              <w:jc w:val="both"/>
              <w:rPr>
                <w:rFonts w:hint="eastAsia" w:ascii="宋体" w:hAnsi="宋体"/>
              </w:rPr>
            </w:pPr>
            <w:r>
              <w:rPr>
                <w:rFonts w:hint="eastAsia" w:ascii="宋体" w:hAnsi="宋体" w:cs="Times New Roman"/>
                <w:color w:val="auto"/>
                <w:sz w:val="21"/>
                <w:szCs w:val="22"/>
                <w:highlight w:val="none"/>
                <w:lang w:val="en-US" w:eastAsia="zh-CN"/>
              </w:rPr>
              <w:t>计划工期：60日历天（具体开工日期以开工令或发包人的开工通知为准）。</w:t>
            </w:r>
          </w:p>
        </w:tc>
        <w:tc>
          <w:tcPr>
            <w:tcW w:w="3108" w:type="dxa"/>
            <w:vAlign w:val="center"/>
          </w:tcPr>
          <w:p w14:paraId="4F0A8AFE">
            <w:pPr>
              <w:spacing w:line="240" w:lineRule="auto"/>
              <w:ind w:firstLine="0" w:firstLineChars="0"/>
              <w:jc w:val="both"/>
              <w:rPr>
                <w:rFonts w:hint="default" w:ascii="宋体" w:hAnsi="宋体" w:eastAsia="宋体"/>
                <w:lang w:val="en-US" w:eastAsia="zh-CN"/>
              </w:rPr>
            </w:pPr>
          </w:p>
        </w:tc>
      </w:tr>
      <w:tr w14:paraId="275A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363EFB1B">
            <w:pPr>
              <w:spacing w:line="240" w:lineRule="auto"/>
              <w:ind w:firstLine="0" w:firstLineChars="0"/>
              <w:jc w:val="both"/>
              <w:rPr>
                <w:rFonts w:hint="eastAsia" w:ascii="宋体" w:hAnsi="宋体"/>
              </w:rPr>
            </w:pPr>
            <w:r>
              <w:rPr>
                <w:rFonts w:hint="eastAsia" w:ascii="宋体" w:hAnsi="宋体"/>
              </w:rPr>
              <w:t>5</w:t>
            </w:r>
          </w:p>
        </w:tc>
        <w:tc>
          <w:tcPr>
            <w:tcW w:w="1534" w:type="dxa"/>
            <w:vAlign w:val="center"/>
          </w:tcPr>
          <w:p w14:paraId="1CB2E790">
            <w:pPr>
              <w:spacing w:line="240" w:lineRule="auto"/>
              <w:ind w:firstLine="0" w:firstLineChars="0"/>
              <w:jc w:val="both"/>
              <w:rPr>
                <w:rFonts w:hint="eastAsia" w:ascii="宋体" w:hAnsi="宋体"/>
              </w:rPr>
            </w:pPr>
            <w:r>
              <w:rPr>
                <w:rFonts w:hint="eastAsia" w:ascii="宋体" w:hAnsi="宋体"/>
              </w:rPr>
              <w:t>递交投标文件截止时间</w:t>
            </w:r>
          </w:p>
        </w:tc>
        <w:tc>
          <w:tcPr>
            <w:tcW w:w="3151" w:type="dxa"/>
            <w:vAlign w:val="center"/>
          </w:tcPr>
          <w:p w14:paraId="5B6585D4">
            <w:pPr>
              <w:spacing w:line="240" w:lineRule="auto"/>
              <w:ind w:firstLine="0" w:firstLineChars="0"/>
              <w:jc w:val="both"/>
              <w:rPr>
                <w:rFonts w:hint="eastAsia" w:ascii="宋体" w:hAnsi="宋体"/>
                <w:highlight w:val="yellow"/>
              </w:rPr>
            </w:pPr>
            <w:r>
              <w:rPr>
                <w:rFonts w:hint="eastAsia" w:ascii="宋体" w:hAnsi="宋体"/>
                <w:color w:val="auto"/>
                <w:highlight w:val="yellow"/>
                <w:lang w:eastAsia="zh-CN"/>
              </w:rPr>
              <w:t>2025年</w:t>
            </w:r>
            <w:r>
              <w:rPr>
                <w:rFonts w:hint="eastAsia" w:ascii="宋体" w:hAnsi="宋体"/>
                <w:color w:val="auto"/>
                <w:highlight w:val="yellow"/>
                <w:lang w:val="en-US" w:eastAsia="zh-CN"/>
              </w:rPr>
              <w:t>5</w:t>
            </w:r>
            <w:r>
              <w:rPr>
                <w:rFonts w:hint="eastAsia" w:ascii="宋体" w:hAnsi="宋体"/>
                <w:color w:val="auto"/>
                <w:highlight w:val="yellow"/>
                <w:lang w:eastAsia="zh-CN"/>
              </w:rPr>
              <w:t>月2</w:t>
            </w:r>
            <w:r>
              <w:rPr>
                <w:rFonts w:hint="eastAsia" w:ascii="宋体" w:hAnsi="宋体"/>
                <w:color w:val="auto"/>
                <w:highlight w:val="yellow"/>
                <w:lang w:val="en-US" w:eastAsia="zh-CN"/>
              </w:rPr>
              <w:t>2</w:t>
            </w:r>
            <w:r>
              <w:rPr>
                <w:rFonts w:hint="eastAsia" w:ascii="宋体" w:hAnsi="宋体"/>
                <w:color w:val="auto"/>
                <w:highlight w:val="yellow"/>
                <w:lang w:eastAsia="zh-CN"/>
              </w:rPr>
              <w:t>日</w:t>
            </w:r>
            <w:r>
              <w:rPr>
                <w:rFonts w:hint="eastAsia" w:ascii="宋体" w:hAnsi="宋体"/>
                <w:color w:val="auto"/>
                <w:highlight w:val="yellow"/>
              </w:rPr>
              <w:t>下午15：00</w:t>
            </w:r>
          </w:p>
        </w:tc>
        <w:tc>
          <w:tcPr>
            <w:tcW w:w="3108" w:type="dxa"/>
            <w:vAlign w:val="center"/>
          </w:tcPr>
          <w:p w14:paraId="233DB793">
            <w:pPr>
              <w:spacing w:line="240" w:lineRule="auto"/>
              <w:ind w:firstLine="0" w:firstLineChars="0"/>
              <w:jc w:val="both"/>
              <w:rPr>
                <w:rFonts w:hint="eastAsia" w:ascii="宋体" w:hAnsi="宋体" w:eastAsia="宋体"/>
                <w:lang w:eastAsia="zh-CN"/>
              </w:rPr>
            </w:pPr>
            <w:r>
              <w:rPr>
                <w:rFonts w:hint="eastAsia" w:ascii="宋体" w:hAnsi="宋体"/>
              </w:rPr>
              <w:t>地点：龙岗区中心城腾飞路创投大厦</w:t>
            </w:r>
            <w:r>
              <w:rPr>
                <w:rFonts w:hint="eastAsia" w:ascii="宋体" w:hAnsi="宋体"/>
                <w:lang w:eastAsia="zh-CN"/>
              </w:rPr>
              <w:t>22楼2210室</w:t>
            </w:r>
          </w:p>
        </w:tc>
      </w:tr>
      <w:tr w14:paraId="012E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7B64F58F">
            <w:pPr>
              <w:spacing w:line="240" w:lineRule="auto"/>
              <w:ind w:firstLine="0" w:firstLineChars="0"/>
              <w:jc w:val="both"/>
              <w:rPr>
                <w:rFonts w:hint="eastAsia" w:ascii="宋体" w:hAnsi="宋体"/>
              </w:rPr>
            </w:pPr>
            <w:r>
              <w:rPr>
                <w:rFonts w:hint="eastAsia" w:ascii="宋体" w:hAnsi="宋体"/>
              </w:rPr>
              <w:t>6</w:t>
            </w:r>
          </w:p>
        </w:tc>
        <w:tc>
          <w:tcPr>
            <w:tcW w:w="1534" w:type="dxa"/>
            <w:vAlign w:val="center"/>
          </w:tcPr>
          <w:p w14:paraId="7193DA13">
            <w:pPr>
              <w:spacing w:line="240" w:lineRule="auto"/>
              <w:ind w:firstLine="0" w:firstLineChars="0"/>
              <w:jc w:val="both"/>
              <w:rPr>
                <w:rFonts w:hint="eastAsia" w:ascii="宋体" w:hAnsi="宋体"/>
              </w:rPr>
            </w:pPr>
            <w:r>
              <w:rPr>
                <w:rFonts w:hint="eastAsia" w:ascii="宋体" w:hAnsi="宋体"/>
              </w:rPr>
              <w:t>开标时间</w:t>
            </w:r>
          </w:p>
        </w:tc>
        <w:tc>
          <w:tcPr>
            <w:tcW w:w="3151" w:type="dxa"/>
            <w:vAlign w:val="center"/>
          </w:tcPr>
          <w:p w14:paraId="5A010E84">
            <w:pPr>
              <w:spacing w:line="240" w:lineRule="auto"/>
              <w:ind w:firstLine="0" w:firstLineChars="0"/>
              <w:jc w:val="both"/>
              <w:rPr>
                <w:rFonts w:hint="eastAsia" w:ascii="宋体" w:hAnsi="宋体"/>
                <w:color w:val="auto"/>
                <w:highlight w:val="yellow"/>
              </w:rPr>
            </w:pPr>
            <w:r>
              <w:rPr>
                <w:rFonts w:hint="eastAsia" w:ascii="宋体" w:hAnsi="宋体"/>
                <w:color w:val="auto"/>
                <w:highlight w:val="yellow"/>
                <w:lang w:eastAsia="zh-CN"/>
              </w:rPr>
              <w:t>2025年</w:t>
            </w:r>
            <w:r>
              <w:rPr>
                <w:rFonts w:hint="eastAsia" w:ascii="宋体" w:hAnsi="宋体"/>
                <w:color w:val="auto"/>
                <w:highlight w:val="yellow"/>
                <w:lang w:val="en-US" w:eastAsia="zh-CN"/>
              </w:rPr>
              <w:t>5</w:t>
            </w:r>
            <w:r>
              <w:rPr>
                <w:rFonts w:hint="eastAsia" w:ascii="宋体" w:hAnsi="宋体"/>
                <w:color w:val="auto"/>
                <w:highlight w:val="yellow"/>
                <w:lang w:eastAsia="zh-CN"/>
              </w:rPr>
              <w:t>月2</w:t>
            </w:r>
            <w:r>
              <w:rPr>
                <w:rFonts w:hint="eastAsia" w:ascii="宋体" w:hAnsi="宋体"/>
                <w:color w:val="auto"/>
                <w:highlight w:val="yellow"/>
                <w:lang w:val="en-US" w:eastAsia="zh-CN"/>
              </w:rPr>
              <w:t>2</w:t>
            </w:r>
            <w:r>
              <w:rPr>
                <w:rFonts w:hint="eastAsia" w:ascii="宋体" w:hAnsi="宋体"/>
                <w:color w:val="auto"/>
                <w:highlight w:val="yellow"/>
                <w:lang w:eastAsia="zh-CN"/>
              </w:rPr>
              <w:t>日</w:t>
            </w:r>
            <w:r>
              <w:rPr>
                <w:rFonts w:hint="eastAsia" w:ascii="宋体" w:hAnsi="宋体"/>
                <w:color w:val="auto"/>
                <w:highlight w:val="yellow"/>
              </w:rPr>
              <w:t>下午15：00</w:t>
            </w:r>
          </w:p>
          <w:p w14:paraId="44975C61">
            <w:pPr>
              <w:spacing w:line="240" w:lineRule="auto"/>
              <w:ind w:firstLine="0" w:firstLineChars="0"/>
              <w:jc w:val="both"/>
              <w:rPr>
                <w:rFonts w:hint="eastAsia" w:ascii="宋体" w:hAnsi="宋体"/>
                <w:highlight w:val="yellow"/>
              </w:rPr>
            </w:pPr>
            <w:r>
              <w:rPr>
                <w:rFonts w:hint="eastAsia" w:ascii="宋体" w:hAnsi="宋体"/>
                <w:color w:val="auto"/>
                <w:highlight w:val="yellow"/>
              </w:rPr>
              <w:t>（具体以招标人时间安排为准）</w:t>
            </w:r>
            <w:r>
              <w:rPr>
                <w:rFonts w:hint="eastAsia" w:ascii="宋体" w:hAnsi="宋体"/>
                <w:highlight w:val="yellow"/>
              </w:rPr>
              <w:t xml:space="preserve"> </w:t>
            </w:r>
          </w:p>
        </w:tc>
        <w:tc>
          <w:tcPr>
            <w:tcW w:w="3108" w:type="dxa"/>
            <w:vAlign w:val="center"/>
          </w:tcPr>
          <w:p w14:paraId="0109FCFF">
            <w:pPr>
              <w:spacing w:line="240" w:lineRule="auto"/>
              <w:ind w:firstLine="0" w:firstLineChars="0"/>
              <w:jc w:val="both"/>
              <w:rPr>
                <w:rFonts w:hint="eastAsia" w:ascii="宋体" w:hAnsi="宋体"/>
              </w:rPr>
            </w:pPr>
            <w:r>
              <w:rPr>
                <w:rFonts w:hint="eastAsia" w:ascii="宋体" w:hAnsi="宋体"/>
              </w:rPr>
              <w:t>深圳市龙岗区城市建设投资集团有限公司会议室</w:t>
            </w:r>
          </w:p>
        </w:tc>
      </w:tr>
      <w:tr w14:paraId="55A1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38B37933">
            <w:pPr>
              <w:spacing w:line="240" w:lineRule="auto"/>
              <w:ind w:firstLine="0" w:firstLineChars="0"/>
              <w:jc w:val="both"/>
              <w:rPr>
                <w:rFonts w:hint="eastAsia" w:ascii="宋体" w:hAnsi="宋体"/>
              </w:rPr>
            </w:pPr>
            <w:r>
              <w:rPr>
                <w:rFonts w:hint="eastAsia" w:ascii="宋体" w:hAnsi="宋体"/>
              </w:rPr>
              <w:t>7</w:t>
            </w:r>
          </w:p>
        </w:tc>
        <w:tc>
          <w:tcPr>
            <w:tcW w:w="1534" w:type="dxa"/>
            <w:vAlign w:val="center"/>
          </w:tcPr>
          <w:p w14:paraId="1D993A75">
            <w:pPr>
              <w:spacing w:line="240" w:lineRule="auto"/>
              <w:ind w:firstLine="0" w:firstLineChars="0"/>
              <w:jc w:val="both"/>
              <w:rPr>
                <w:rFonts w:hint="eastAsia" w:ascii="宋体" w:hAnsi="宋体"/>
              </w:rPr>
            </w:pPr>
            <w:r>
              <w:rPr>
                <w:rFonts w:hint="eastAsia" w:ascii="宋体" w:hAnsi="宋体"/>
              </w:rPr>
              <w:t>投标文件</w:t>
            </w:r>
          </w:p>
        </w:tc>
        <w:tc>
          <w:tcPr>
            <w:tcW w:w="3151" w:type="dxa"/>
            <w:vAlign w:val="center"/>
          </w:tcPr>
          <w:p w14:paraId="37914844">
            <w:pPr>
              <w:spacing w:line="240" w:lineRule="auto"/>
              <w:ind w:firstLine="0" w:firstLineChars="0"/>
              <w:jc w:val="both"/>
              <w:rPr>
                <w:rFonts w:hint="eastAsia" w:ascii="宋体" w:hAnsi="宋体"/>
              </w:rPr>
            </w:pPr>
            <w:r>
              <w:rPr>
                <w:rFonts w:hint="eastAsia" w:ascii="宋体" w:hAnsi="宋体"/>
              </w:rPr>
              <w:t>一正四副</w:t>
            </w:r>
          </w:p>
        </w:tc>
        <w:tc>
          <w:tcPr>
            <w:tcW w:w="3108" w:type="dxa"/>
            <w:vAlign w:val="center"/>
          </w:tcPr>
          <w:p w14:paraId="187E6081">
            <w:pPr>
              <w:spacing w:line="240" w:lineRule="auto"/>
              <w:ind w:firstLine="0" w:firstLineChars="0"/>
              <w:jc w:val="both"/>
              <w:rPr>
                <w:rFonts w:hint="eastAsia" w:ascii="宋体" w:hAnsi="宋体"/>
              </w:rPr>
            </w:pPr>
          </w:p>
        </w:tc>
      </w:tr>
      <w:tr w14:paraId="32F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6BE98EF3">
            <w:pPr>
              <w:spacing w:line="240" w:lineRule="auto"/>
              <w:ind w:firstLine="0" w:firstLineChars="0"/>
              <w:jc w:val="both"/>
              <w:rPr>
                <w:rFonts w:hint="eastAsia" w:ascii="宋体" w:hAnsi="宋体"/>
              </w:rPr>
            </w:pPr>
            <w:r>
              <w:rPr>
                <w:rFonts w:hint="eastAsia" w:ascii="宋体" w:hAnsi="宋体"/>
              </w:rPr>
              <w:t>8</w:t>
            </w:r>
          </w:p>
        </w:tc>
        <w:tc>
          <w:tcPr>
            <w:tcW w:w="1534" w:type="dxa"/>
            <w:vAlign w:val="center"/>
          </w:tcPr>
          <w:p w14:paraId="4AEAABF1">
            <w:pPr>
              <w:spacing w:line="240" w:lineRule="auto"/>
              <w:ind w:firstLine="0" w:firstLineChars="0"/>
              <w:jc w:val="both"/>
              <w:rPr>
                <w:rFonts w:hint="eastAsia" w:ascii="宋体" w:hAnsi="宋体"/>
              </w:rPr>
            </w:pPr>
            <w:r>
              <w:rPr>
                <w:rFonts w:hint="eastAsia" w:ascii="宋体" w:hAnsi="宋体"/>
              </w:rPr>
              <w:t>投标担保</w:t>
            </w:r>
          </w:p>
        </w:tc>
        <w:tc>
          <w:tcPr>
            <w:tcW w:w="3151" w:type="dxa"/>
            <w:vAlign w:val="center"/>
          </w:tcPr>
          <w:p w14:paraId="4E0F13F1">
            <w:pPr>
              <w:spacing w:line="240" w:lineRule="auto"/>
              <w:ind w:firstLine="0" w:firstLineChars="0"/>
              <w:jc w:val="both"/>
              <w:rPr>
                <w:rFonts w:hint="eastAsia" w:ascii="宋体" w:hAnsi="宋体"/>
              </w:rPr>
            </w:pPr>
            <w:r>
              <w:rPr>
                <w:rFonts w:hint="eastAsia" w:ascii="宋体" w:hAnsi="宋体"/>
              </w:rPr>
              <w:t>不提供</w:t>
            </w:r>
          </w:p>
        </w:tc>
        <w:tc>
          <w:tcPr>
            <w:tcW w:w="3108" w:type="dxa"/>
            <w:vAlign w:val="center"/>
          </w:tcPr>
          <w:p w14:paraId="4AABA420">
            <w:pPr>
              <w:spacing w:line="240" w:lineRule="auto"/>
              <w:ind w:firstLine="0" w:firstLineChars="0"/>
              <w:jc w:val="both"/>
              <w:rPr>
                <w:rFonts w:hint="eastAsia" w:ascii="宋体" w:hAnsi="宋体"/>
              </w:rPr>
            </w:pPr>
          </w:p>
        </w:tc>
      </w:tr>
      <w:tr w14:paraId="315D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76A27103">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9</w:t>
            </w:r>
          </w:p>
        </w:tc>
        <w:tc>
          <w:tcPr>
            <w:tcW w:w="1534" w:type="dxa"/>
            <w:vAlign w:val="center"/>
          </w:tcPr>
          <w:p w14:paraId="599ACC25">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投标有效期</w:t>
            </w:r>
          </w:p>
        </w:tc>
        <w:tc>
          <w:tcPr>
            <w:tcW w:w="3151" w:type="dxa"/>
            <w:vAlign w:val="center"/>
          </w:tcPr>
          <w:p w14:paraId="76E86DB3">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60天</w:t>
            </w:r>
          </w:p>
        </w:tc>
        <w:tc>
          <w:tcPr>
            <w:tcW w:w="3108" w:type="dxa"/>
            <w:vAlign w:val="center"/>
          </w:tcPr>
          <w:p w14:paraId="58506426">
            <w:pPr>
              <w:spacing w:line="240" w:lineRule="auto"/>
              <w:ind w:firstLine="0" w:firstLineChars="0"/>
              <w:jc w:val="both"/>
              <w:rPr>
                <w:rFonts w:hint="eastAsia" w:ascii="宋体" w:hAnsi="宋体" w:eastAsia="宋体" w:cs="Times New Roman"/>
              </w:rPr>
            </w:pPr>
          </w:p>
        </w:tc>
      </w:tr>
      <w:tr w14:paraId="5DBF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61DCB35F">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10</w:t>
            </w:r>
          </w:p>
        </w:tc>
        <w:tc>
          <w:tcPr>
            <w:tcW w:w="1534" w:type="dxa"/>
            <w:vAlign w:val="center"/>
          </w:tcPr>
          <w:p w14:paraId="766DF2E7">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招标人</w:t>
            </w:r>
          </w:p>
          <w:p w14:paraId="35643719">
            <w:pPr>
              <w:spacing w:line="240" w:lineRule="auto"/>
              <w:ind w:firstLine="0" w:firstLineChars="0"/>
              <w:jc w:val="both"/>
              <w:rPr>
                <w:rFonts w:hint="eastAsia" w:ascii="宋体" w:hAnsi="宋体" w:eastAsia="宋体" w:cs="Times New Roman"/>
              </w:rPr>
            </w:pPr>
          </w:p>
        </w:tc>
        <w:tc>
          <w:tcPr>
            <w:tcW w:w="3151" w:type="dxa"/>
            <w:vAlign w:val="center"/>
          </w:tcPr>
          <w:p w14:paraId="5651E052">
            <w:pPr>
              <w:spacing w:line="240" w:lineRule="auto"/>
              <w:ind w:firstLine="0" w:firstLineChars="0"/>
              <w:jc w:val="both"/>
              <w:rPr>
                <w:rFonts w:hint="eastAsia" w:ascii="宋体" w:hAnsi="宋体" w:eastAsia="宋体" w:cs="Times New Roman"/>
                <w:lang w:val="en-US" w:eastAsia="zh-CN"/>
              </w:rPr>
            </w:pPr>
            <w:r>
              <w:rPr>
                <w:rFonts w:hint="eastAsia" w:ascii="宋体" w:hAnsi="宋体" w:eastAsia="宋体" w:cs="Times New Roman"/>
              </w:rPr>
              <w:t>联系单位：</w:t>
            </w:r>
            <w:r>
              <w:rPr>
                <w:rFonts w:hint="eastAsia" w:ascii="宋体" w:hAnsi="宋体" w:cs="Times New Roman"/>
                <w:lang w:val="en-US" w:eastAsia="zh-CN"/>
              </w:rPr>
              <w:t>深圳市龙岗区城市建投投资集团有限公司</w:t>
            </w:r>
          </w:p>
          <w:p w14:paraId="3ED80833">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联系地址：龙岗区中心城腾飞路创投大厦</w:t>
            </w:r>
            <w:r>
              <w:rPr>
                <w:rFonts w:hint="eastAsia" w:ascii="宋体" w:hAnsi="宋体" w:cs="Times New Roman"/>
                <w:lang w:val="en-US" w:eastAsia="zh-CN"/>
              </w:rPr>
              <w:t>2210</w:t>
            </w:r>
            <w:r>
              <w:rPr>
                <w:rFonts w:hint="eastAsia" w:ascii="宋体" w:hAnsi="宋体" w:eastAsia="宋体" w:cs="Times New Roman"/>
              </w:rPr>
              <w:t>室</w:t>
            </w:r>
          </w:p>
          <w:p w14:paraId="4FC84E2B">
            <w:pPr>
              <w:spacing w:line="240" w:lineRule="auto"/>
              <w:ind w:firstLine="0" w:firstLineChars="0"/>
              <w:jc w:val="both"/>
              <w:rPr>
                <w:rFonts w:hint="default" w:ascii="宋体" w:hAnsi="宋体" w:eastAsia="宋体" w:cs="Times New Roman"/>
                <w:lang w:val="en-US"/>
              </w:rPr>
            </w:pPr>
            <w:r>
              <w:rPr>
                <w:rFonts w:hint="eastAsia" w:ascii="宋体" w:hAnsi="宋体" w:eastAsia="宋体" w:cs="Times New Roman"/>
              </w:rPr>
              <w:t>联 系 人：</w:t>
            </w:r>
            <w:r>
              <w:rPr>
                <w:rFonts w:hint="eastAsia" w:ascii="宋体" w:hAnsi="宋体" w:cs="Times New Roman"/>
                <w:lang w:val="en-US" w:eastAsia="zh-CN"/>
              </w:rPr>
              <w:t>邹工</w:t>
            </w:r>
          </w:p>
          <w:p w14:paraId="10231BB5">
            <w:pPr>
              <w:spacing w:line="240" w:lineRule="auto"/>
              <w:ind w:firstLine="0" w:firstLineChars="0"/>
              <w:jc w:val="both"/>
              <w:rPr>
                <w:rFonts w:hint="default" w:ascii="宋体" w:hAnsi="宋体" w:eastAsia="宋体" w:cs="Times New Roman"/>
                <w:lang w:val="en-US" w:eastAsia="zh-CN"/>
              </w:rPr>
            </w:pPr>
            <w:r>
              <w:rPr>
                <w:rFonts w:hint="eastAsia" w:ascii="宋体" w:hAnsi="宋体" w:eastAsia="宋体" w:cs="Times New Roman"/>
              </w:rPr>
              <w:t>联系电话：</w:t>
            </w:r>
            <w:r>
              <w:rPr>
                <w:rFonts w:hint="eastAsia" w:ascii="宋体" w:hAnsi="宋体" w:cs="Times New Roman"/>
                <w:lang w:val="en-US" w:eastAsia="zh-CN"/>
              </w:rPr>
              <w:t>15820472526</w:t>
            </w:r>
          </w:p>
        </w:tc>
        <w:tc>
          <w:tcPr>
            <w:tcW w:w="3108" w:type="dxa"/>
            <w:vAlign w:val="center"/>
          </w:tcPr>
          <w:p w14:paraId="07862F45">
            <w:pPr>
              <w:spacing w:line="240" w:lineRule="auto"/>
              <w:ind w:firstLine="0" w:firstLineChars="0"/>
              <w:jc w:val="both"/>
              <w:rPr>
                <w:rFonts w:hint="eastAsia" w:ascii="宋体" w:hAnsi="宋体" w:eastAsia="宋体" w:cs="Times New Roman"/>
              </w:rPr>
            </w:pPr>
          </w:p>
        </w:tc>
      </w:tr>
    </w:tbl>
    <w:p w14:paraId="09DA5318">
      <w:r>
        <w:rPr>
          <w:rFonts w:hint="eastAsia" w:ascii="宋体" w:hAnsi="宋体"/>
        </w:rPr>
        <w:br w:type="page"/>
      </w:r>
    </w:p>
    <w:p w14:paraId="3F04E9D5">
      <w:pPr>
        <w:spacing w:line="360" w:lineRule="auto"/>
        <w:jc w:val="center"/>
        <w:outlineLvl w:val="2"/>
        <w:rPr>
          <w:rFonts w:ascii="宋体" w:hAnsi="宋体"/>
          <w:b/>
          <w:snapToGrid w:val="0"/>
          <w:kern w:val="0"/>
          <w:sz w:val="32"/>
          <w:szCs w:val="32"/>
        </w:rPr>
      </w:pPr>
      <w:bookmarkStart w:id="4" w:name="_Toc509669686"/>
      <w:bookmarkStart w:id="5" w:name="_Toc24983"/>
      <w:r>
        <w:rPr>
          <w:rFonts w:hint="eastAsia" w:ascii="宋体" w:hAnsi="宋体"/>
          <w:b/>
          <w:snapToGrid w:val="0"/>
          <w:kern w:val="0"/>
          <w:sz w:val="32"/>
          <w:szCs w:val="32"/>
        </w:rPr>
        <w:t>一、总  则</w:t>
      </w:r>
      <w:bookmarkEnd w:id="4"/>
      <w:bookmarkEnd w:id="5"/>
    </w:p>
    <w:p w14:paraId="72AE1389">
      <w:pPr>
        <w:spacing w:line="520" w:lineRule="exact"/>
        <w:ind w:firstLine="422" w:firstLineChars="200"/>
        <w:rPr>
          <w:rFonts w:ascii="宋体" w:hAnsi="宋体"/>
          <w:b/>
          <w:snapToGrid w:val="0"/>
          <w:kern w:val="0"/>
          <w:szCs w:val="21"/>
        </w:rPr>
      </w:pPr>
      <w:r>
        <w:rPr>
          <w:rFonts w:hint="eastAsia" w:ascii="宋体" w:hAnsi="宋体"/>
          <w:b/>
          <w:snapToGrid w:val="0"/>
          <w:kern w:val="0"/>
          <w:szCs w:val="21"/>
        </w:rPr>
        <w:t>1.项目概况</w:t>
      </w:r>
    </w:p>
    <w:p w14:paraId="1DF8639D">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根据《中华人民共和国招标投标法》等有关法律、法规、规章和规范性文件的规定，本公开招标（自主）项目已具备公开招标（自主）条件，现进行公开招标（自主）。</w:t>
      </w:r>
    </w:p>
    <w:p w14:paraId="62019A0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1.1招标人：</w:t>
      </w:r>
      <w:r>
        <w:rPr>
          <w:rFonts w:hint="eastAsia" w:ascii="宋体" w:hAnsi="宋体"/>
          <w:snapToGrid w:val="0"/>
          <w:kern w:val="0"/>
          <w:szCs w:val="21"/>
          <w:lang w:val="en-US" w:eastAsia="zh-CN"/>
        </w:rPr>
        <w:t>深圳市龙岗区城市建投投资集团有限公司</w:t>
      </w:r>
      <w:r>
        <w:rPr>
          <w:rFonts w:hint="eastAsia" w:ascii="宋体" w:hAnsi="宋体"/>
          <w:snapToGrid w:val="0"/>
          <w:kern w:val="0"/>
          <w:szCs w:val="21"/>
        </w:rPr>
        <w:t>。</w:t>
      </w:r>
    </w:p>
    <w:p w14:paraId="300D2C3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1.2公开招标（自主）工程名称：智慧家园项目物业管理用房装修工程施工。</w:t>
      </w:r>
    </w:p>
    <w:p w14:paraId="37BFAAF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1.3公开招标（自主）工程地点：深圳市龙岗区龙城街道创投大厦。</w:t>
      </w:r>
    </w:p>
    <w:p w14:paraId="290029B1">
      <w:pPr>
        <w:spacing w:line="520" w:lineRule="exact"/>
        <w:ind w:firstLine="420" w:firstLineChars="200"/>
        <w:jc w:val="left"/>
        <w:rPr>
          <w:rFonts w:hint="default" w:eastAsia="宋体"/>
          <w:lang w:val="en-US" w:eastAsia="zh-CN"/>
        </w:rPr>
      </w:pPr>
      <w:r>
        <w:rPr>
          <w:rFonts w:hint="eastAsia" w:ascii="宋体" w:hAnsi="宋体"/>
          <w:snapToGrid w:val="0"/>
          <w:kern w:val="0"/>
          <w:szCs w:val="21"/>
        </w:rPr>
        <w:t>1.4工程规模：本工程主要对智慧家园1栋A座201单元进行装饰装修改造，包括但不限于拆除及新建隔断墙、天地墙装饰、电气工程、暖通工程、消防工程等，建筑面积为859.99平方米（其中装修范围面积约505㎡）。</w:t>
      </w:r>
    </w:p>
    <w:p w14:paraId="63CEC295">
      <w:pPr>
        <w:spacing w:line="520" w:lineRule="exact"/>
        <w:ind w:firstLine="420" w:firstLineChars="200"/>
        <w:jc w:val="left"/>
        <w:rPr>
          <w:rFonts w:hint="eastAsia" w:ascii="宋体" w:hAnsi="宋体"/>
          <w:snapToGrid w:val="0"/>
          <w:kern w:val="0"/>
          <w:szCs w:val="21"/>
          <w:lang w:val="en-US" w:eastAsia="zh-CN"/>
        </w:rPr>
      </w:pPr>
      <w:r>
        <w:rPr>
          <w:rFonts w:hint="eastAsia" w:ascii="宋体" w:hAnsi="宋体"/>
          <w:snapToGrid w:val="0"/>
          <w:kern w:val="0"/>
          <w:szCs w:val="21"/>
        </w:rPr>
        <w:t>1.5工作范围：</w:t>
      </w:r>
      <w:r>
        <w:rPr>
          <w:rFonts w:hint="eastAsia" w:ascii="宋体" w:hAnsi="宋体"/>
          <w:snapToGrid w:val="0"/>
          <w:kern w:val="0"/>
          <w:szCs w:val="21"/>
          <w:lang w:val="en-US" w:eastAsia="zh-CN"/>
        </w:rPr>
        <w:t>本工程主要对智慧家园1栋A座201单元进行装饰装修改造，包括但不限于拆除及新建隔断墙、天地墙装饰、电气工程、暖通工程、消防工程、竣工调试、相关报批报建手续办理、竣工图编制等，建筑面积为859.99平方米（其中装修范围面积约505㎡）。</w:t>
      </w:r>
    </w:p>
    <w:p w14:paraId="559F6916">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2.投标人资格要求</w:t>
      </w:r>
    </w:p>
    <w:p w14:paraId="79414C71">
      <w:pPr>
        <w:spacing w:line="520" w:lineRule="exact"/>
        <w:ind w:firstLine="420" w:firstLineChars="200"/>
        <w:jc w:val="left"/>
        <w:rPr>
          <w:rFonts w:hint="eastAsia" w:ascii="宋体" w:hAnsi="宋体"/>
          <w:b w:val="0"/>
          <w:bCs/>
          <w:snapToGrid w:val="0"/>
          <w:kern w:val="0"/>
          <w:szCs w:val="21"/>
        </w:rPr>
      </w:pPr>
      <w:r>
        <w:rPr>
          <w:rFonts w:hint="eastAsia" w:ascii="宋体" w:hAnsi="宋体"/>
          <w:b w:val="0"/>
          <w:bCs/>
          <w:snapToGrid w:val="0"/>
          <w:kern w:val="0"/>
          <w:szCs w:val="21"/>
        </w:rPr>
        <w:t>1、施工单位需具有建筑装修装饰工程专业承包二级或以上资质。</w:t>
      </w:r>
    </w:p>
    <w:p w14:paraId="0B964D40">
      <w:pPr>
        <w:spacing w:line="520" w:lineRule="exact"/>
        <w:ind w:firstLine="420" w:firstLineChars="200"/>
        <w:jc w:val="left"/>
        <w:rPr>
          <w:rFonts w:hint="eastAsia" w:ascii="宋体" w:hAnsi="宋体"/>
          <w:b w:val="0"/>
          <w:bCs/>
          <w:snapToGrid w:val="0"/>
          <w:kern w:val="0"/>
          <w:szCs w:val="21"/>
        </w:rPr>
      </w:pPr>
      <w:r>
        <w:rPr>
          <w:rFonts w:hint="eastAsia" w:ascii="宋体" w:hAnsi="宋体"/>
          <w:b w:val="0"/>
          <w:bCs/>
          <w:snapToGrid w:val="0"/>
          <w:kern w:val="0"/>
          <w:szCs w:val="21"/>
        </w:rPr>
        <w:t>2、不接受联合体投标。</w:t>
      </w:r>
    </w:p>
    <w:p w14:paraId="7DEA4E38">
      <w:pPr>
        <w:spacing w:line="520" w:lineRule="exact"/>
        <w:ind w:firstLine="420" w:firstLineChars="200"/>
        <w:jc w:val="left"/>
        <w:rPr>
          <w:rFonts w:hint="eastAsia" w:ascii="宋体" w:hAnsi="宋体"/>
          <w:b w:val="0"/>
          <w:bCs/>
          <w:snapToGrid w:val="0"/>
          <w:kern w:val="0"/>
          <w:szCs w:val="21"/>
        </w:rPr>
      </w:pPr>
      <w:r>
        <w:rPr>
          <w:rFonts w:hint="eastAsia" w:ascii="宋体" w:hAnsi="宋体"/>
          <w:b w:val="0"/>
          <w:bCs/>
          <w:snapToGrid w:val="0"/>
          <w:kern w:val="0"/>
          <w:szCs w:val="21"/>
        </w:rPr>
        <w:t>3、施工项目负责人具有二级注册建造师及以上资格，注册专业为：建筑工程，且具备项目经理安全生产考核合格证。</w:t>
      </w:r>
    </w:p>
    <w:p w14:paraId="28344F17">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3.投标费用</w:t>
      </w:r>
    </w:p>
    <w:p w14:paraId="6B48CDA3">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投标人应自行承担所有准备及参加投标相关的费用。不论投标的结果如何，招标人均无</w:t>
      </w:r>
      <w:r>
        <w:rPr>
          <w:rFonts w:hint="eastAsia" w:ascii="宋体" w:hAnsi="宋体"/>
          <w:snapToGrid w:val="0"/>
          <w:kern w:val="0"/>
          <w:szCs w:val="21"/>
          <w:lang w:val="en-US" w:eastAsia="zh-CN"/>
        </w:rPr>
        <w:t>需</w:t>
      </w:r>
      <w:r>
        <w:rPr>
          <w:rFonts w:hint="eastAsia" w:ascii="宋体" w:hAnsi="宋体"/>
          <w:snapToGrid w:val="0"/>
          <w:kern w:val="0"/>
          <w:szCs w:val="21"/>
        </w:rPr>
        <w:t>承担相应的义务和责任。</w:t>
      </w:r>
    </w:p>
    <w:p w14:paraId="4E1F2966">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4.踏勘现场</w:t>
      </w:r>
    </w:p>
    <w:p w14:paraId="0A49E1D2">
      <w:pPr>
        <w:spacing w:line="360" w:lineRule="auto"/>
        <w:ind w:firstLine="420" w:firstLineChars="200"/>
        <w:jc w:val="left"/>
        <w:rPr>
          <w:rFonts w:ascii="宋体" w:hAnsi="宋体"/>
          <w:snapToGrid w:val="0"/>
          <w:kern w:val="0"/>
          <w:szCs w:val="21"/>
        </w:rPr>
      </w:pPr>
      <w:r>
        <w:rPr>
          <w:rFonts w:ascii="宋体" w:hAnsi="宋体"/>
          <w:snapToGrid w:val="0"/>
          <w:kern w:val="0"/>
          <w:szCs w:val="21"/>
        </w:rPr>
        <w:t>本项目不组织现场踏</w:t>
      </w:r>
      <w:r>
        <w:rPr>
          <w:rFonts w:hint="eastAsia" w:ascii="宋体" w:hAnsi="宋体"/>
          <w:snapToGrid w:val="0"/>
          <w:kern w:val="0"/>
          <w:szCs w:val="21"/>
        </w:rPr>
        <w:t>勘。</w:t>
      </w:r>
    </w:p>
    <w:p w14:paraId="70B36A29">
      <w:pPr>
        <w:jc w:val="left"/>
        <w:rPr>
          <w:rFonts w:ascii="宋体" w:hAnsi="宋体"/>
          <w:snapToGrid w:val="0"/>
          <w:kern w:val="0"/>
          <w:szCs w:val="21"/>
        </w:rPr>
      </w:pPr>
      <w:r>
        <w:rPr>
          <w:rFonts w:hint="eastAsia" w:ascii="宋体" w:hAnsi="宋体"/>
          <w:snapToGrid w:val="0"/>
          <w:kern w:val="0"/>
          <w:szCs w:val="21"/>
        </w:rPr>
        <w:br w:type="page"/>
      </w:r>
    </w:p>
    <w:p w14:paraId="7E2C5D84">
      <w:pPr>
        <w:spacing w:line="360" w:lineRule="auto"/>
        <w:jc w:val="center"/>
        <w:outlineLvl w:val="2"/>
        <w:rPr>
          <w:rFonts w:ascii="宋体" w:hAnsi="宋体"/>
          <w:b/>
          <w:snapToGrid w:val="0"/>
          <w:kern w:val="0"/>
          <w:sz w:val="32"/>
          <w:szCs w:val="32"/>
        </w:rPr>
      </w:pPr>
      <w:bookmarkStart w:id="6" w:name="_Toc15270"/>
      <w:bookmarkStart w:id="7" w:name="_Toc509669687"/>
      <w:r>
        <w:rPr>
          <w:rFonts w:hint="eastAsia" w:ascii="宋体" w:hAnsi="宋体"/>
          <w:b/>
          <w:snapToGrid w:val="0"/>
          <w:kern w:val="0"/>
          <w:sz w:val="32"/>
          <w:szCs w:val="32"/>
        </w:rPr>
        <w:t>二、投标文件的编制</w:t>
      </w:r>
      <w:bookmarkEnd w:id="6"/>
      <w:bookmarkEnd w:id="7"/>
    </w:p>
    <w:p w14:paraId="26D4757D">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5.投标文件的语言及度量单位</w:t>
      </w:r>
    </w:p>
    <w:p w14:paraId="6D3A9F3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5.1投标人与招标人之间与投标有关的所有往来通知、函件和投标文件均应用中文。投标人随投标文件提供的证明文件和资料可以为其他语言，但必须附中文译文。在此，为了解释投标文件，应以中文为准。</w:t>
      </w:r>
    </w:p>
    <w:p w14:paraId="417EA2A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5.2 除技术规范另有规定外，投标文件使用的度量单位，均采用中华人民共和国法定计量单位。</w:t>
      </w:r>
    </w:p>
    <w:p w14:paraId="5B8000CB">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5.3公开招标（自主）文件中所出现的日期为自然日，货币单位为人民币。</w:t>
      </w:r>
    </w:p>
    <w:p w14:paraId="7CA46D09">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6.投标有效期</w:t>
      </w:r>
    </w:p>
    <w:p w14:paraId="49DA85BA">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6.1投标有效期60天。在此期间，所有投标均保持有效。</w:t>
      </w:r>
    </w:p>
    <w:p w14:paraId="3DD79C79">
      <w:pPr>
        <w:spacing w:line="360" w:lineRule="auto"/>
        <w:ind w:firstLine="420" w:firstLineChars="200"/>
        <w:jc w:val="left"/>
        <w:rPr>
          <w:rFonts w:ascii="宋体" w:hAnsi="宋体"/>
          <w:snapToGrid w:val="0"/>
          <w:kern w:val="0"/>
          <w:szCs w:val="21"/>
        </w:rPr>
      </w:pPr>
    </w:p>
    <w:p w14:paraId="1B642BE4">
      <w:pPr>
        <w:spacing w:line="360" w:lineRule="auto"/>
        <w:jc w:val="center"/>
        <w:outlineLvl w:val="2"/>
        <w:rPr>
          <w:rFonts w:ascii="宋体" w:hAnsi="宋体"/>
          <w:b/>
          <w:snapToGrid w:val="0"/>
          <w:kern w:val="0"/>
          <w:sz w:val="32"/>
          <w:szCs w:val="32"/>
        </w:rPr>
      </w:pPr>
      <w:bookmarkStart w:id="8" w:name="_Toc509669688"/>
      <w:bookmarkStart w:id="9" w:name="_Toc18627"/>
      <w:r>
        <w:rPr>
          <w:rFonts w:hint="eastAsia" w:ascii="宋体" w:hAnsi="宋体"/>
          <w:b/>
          <w:snapToGrid w:val="0"/>
          <w:kern w:val="0"/>
          <w:sz w:val="32"/>
          <w:szCs w:val="32"/>
        </w:rPr>
        <w:t>三、投标文件的递交</w:t>
      </w:r>
      <w:bookmarkEnd w:id="8"/>
      <w:bookmarkEnd w:id="9"/>
    </w:p>
    <w:p w14:paraId="089F8267">
      <w:pPr>
        <w:spacing w:line="540" w:lineRule="exact"/>
        <w:ind w:firstLine="422" w:firstLineChars="200"/>
        <w:jc w:val="left"/>
        <w:rPr>
          <w:rFonts w:ascii="宋体" w:hAnsi="宋体"/>
          <w:b/>
          <w:snapToGrid w:val="0"/>
          <w:kern w:val="0"/>
          <w:szCs w:val="21"/>
        </w:rPr>
      </w:pPr>
      <w:r>
        <w:rPr>
          <w:rFonts w:hint="eastAsia" w:ascii="宋体" w:hAnsi="宋体"/>
          <w:b/>
          <w:snapToGrid w:val="0"/>
          <w:kern w:val="0"/>
          <w:szCs w:val="21"/>
        </w:rPr>
        <w:t>8.投标文件的递交和截标时投标文件的数量要求</w:t>
      </w:r>
    </w:p>
    <w:p w14:paraId="50AEE1D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8.1投标截止时间和地点</w:t>
      </w:r>
      <w:r>
        <w:rPr>
          <w:rFonts w:hint="eastAsia" w:ascii="宋体" w:hAnsi="宋体"/>
          <w:snapToGrid w:val="0"/>
          <w:kern w:val="0"/>
          <w:szCs w:val="21"/>
          <w:lang w:eastAsia="zh-CN"/>
        </w:rPr>
        <w:t>。</w:t>
      </w:r>
      <w:r>
        <w:rPr>
          <w:rFonts w:hint="eastAsia" w:ascii="宋体" w:hAnsi="宋体"/>
          <w:snapToGrid w:val="0"/>
          <w:kern w:val="0"/>
          <w:szCs w:val="21"/>
        </w:rPr>
        <w:t>投</w:t>
      </w:r>
      <w:r>
        <w:rPr>
          <w:rFonts w:hint="eastAsia" w:ascii="宋体" w:hAnsi="宋体"/>
          <w:snapToGrid w:val="0"/>
          <w:kern w:val="0"/>
          <w:szCs w:val="21"/>
          <w:highlight w:val="yellow"/>
        </w:rPr>
        <w:t>标人应在</w:t>
      </w:r>
      <w:r>
        <w:rPr>
          <w:rFonts w:hint="eastAsia" w:ascii="宋体" w:hAnsi="宋体"/>
          <w:snapToGrid w:val="0"/>
          <w:color w:val="auto"/>
          <w:kern w:val="0"/>
          <w:szCs w:val="21"/>
          <w:highlight w:val="yellow"/>
          <w:lang w:eastAsia="zh-CN"/>
        </w:rPr>
        <w:t>2025年</w:t>
      </w:r>
      <w:r>
        <w:rPr>
          <w:rFonts w:hint="eastAsia" w:ascii="宋体" w:hAnsi="宋体"/>
          <w:snapToGrid w:val="0"/>
          <w:color w:val="auto"/>
          <w:kern w:val="0"/>
          <w:szCs w:val="21"/>
          <w:highlight w:val="yellow"/>
          <w:lang w:val="en-US" w:eastAsia="zh-CN"/>
        </w:rPr>
        <w:t>5</w:t>
      </w:r>
      <w:r>
        <w:rPr>
          <w:rFonts w:hint="eastAsia" w:ascii="宋体" w:hAnsi="宋体"/>
          <w:snapToGrid w:val="0"/>
          <w:color w:val="auto"/>
          <w:kern w:val="0"/>
          <w:szCs w:val="21"/>
          <w:highlight w:val="yellow"/>
          <w:lang w:eastAsia="zh-CN"/>
        </w:rPr>
        <w:t>月2</w:t>
      </w:r>
      <w:r>
        <w:rPr>
          <w:rFonts w:hint="eastAsia" w:ascii="宋体" w:hAnsi="宋体"/>
          <w:snapToGrid w:val="0"/>
          <w:color w:val="auto"/>
          <w:kern w:val="0"/>
          <w:szCs w:val="21"/>
          <w:highlight w:val="yellow"/>
          <w:lang w:val="en-US" w:eastAsia="zh-CN"/>
        </w:rPr>
        <w:t>2</w:t>
      </w:r>
      <w:r>
        <w:rPr>
          <w:rFonts w:hint="eastAsia" w:ascii="宋体" w:hAnsi="宋体"/>
          <w:snapToGrid w:val="0"/>
          <w:color w:val="auto"/>
          <w:kern w:val="0"/>
          <w:szCs w:val="21"/>
          <w:highlight w:val="yellow"/>
          <w:lang w:eastAsia="zh-CN"/>
        </w:rPr>
        <w:t>日</w:t>
      </w:r>
      <w:r>
        <w:rPr>
          <w:rFonts w:hint="eastAsia" w:ascii="宋体" w:hAnsi="宋体"/>
          <w:snapToGrid w:val="0"/>
          <w:color w:val="auto"/>
          <w:kern w:val="0"/>
          <w:szCs w:val="21"/>
          <w:highlight w:val="yellow"/>
        </w:rPr>
        <w:t>下午15：00</w:t>
      </w:r>
      <w:r>
        <w:rPr>
          <w:rFonts w:hint="eastAsia" w:ascii="宋体" w:hAnsi="宋体"/>
          <w:snapToGrid w:val="0"/>
          <w:kern w:val="0"/>
          <w:szCs w:val="21"/>
          <w:highlight w:val="yellow"/>
        </w:rPr>
        <w:t>之前将</w:t>
      </w:r>
      <w:r>
        <w:rPr>
          <w:rFonts w:hint="eastAsia" w:ascii="宋体" w:hAnsi="宋体"/>
          <w:snapToGrid w:val="0"/>
          <w:kern w:val="0"/>
          <w:szCs w:val="21"/>
        </w:rPr>
        <w:t>投标文件送达龙岗区中心城腾飞路创投大厦</w:t>
      </w:r>
      <w:r>
        <w:rPr>
          <w:rFonts w:hint="eastAsia" w:ascii="宋体" w:hAnsi="宋体"/>
          <w:snapToGrid w:val="0"/>
          <w:kern w:val="0"/>
          <w:szCs w:val="21"/>
          <w:lang w:eastAsia="zh-CN"/>
        </w:rPr>
        <w:t>22楼2210室</w:t>
      </w:r>
      <w:r>
        <w:rPr>
          <w:rFonts w:hint="eastAsia" w:ascii="宋体" w:hAnsi="宋体"/>
          <w:snapToGrid w:val="0"/>
          <w:kern w:val="0"/>
          <w:szCs w:val="21"/>
        </w:rPr>
        <w:t>。</w:t>
      </w:r>
    </w:p>
    <w:p w14:paraId="6773CC05">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8.2投标文件的密封和标记</w:t>
      </w:r>
    </w:p>
    <w:p w14:paraId="6FAA2324">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8.2.1投标文件1正4副，1个密封袋密封。将密封包装好的投标文件密封袋上注明工程名称、招标人、投标人名称、开封时间等，并在密封袋的封口处和标签上应加盖投标人公章，同时1正4副投标文件封面加盖公章及骑缝章。</w:t>
      </w:r>
    </w:p>
    <w:p w14:paraId="1F455D4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8.2.2投标文件若未按规定进行密封及标志，招标人不承担投标文件错放或提前开封的责任。</w:t>
      </w:r>
    </w:p>
    <w:p w14:paraId="59384D40">
      <w:pPr>
        <w:spacing w:line="360" w:lineRule="auto"/>
        <w:ind w:firstLine="420" w:firstLineChars="200"/>
        <w:jc w:val="left"/>
        <w:rPr>
          <w:rFonts w:ascii="宋体" w:hAnsi="宋体"/>
          <w:b/>
          <w:bCs/>
          <w:snapToGrid w:val="0"/>
          <w:kern w:val="0"/>
          <w:szCs w:val="21"/>
        </w:rPr>
      </w:pPr>
      <w:r>
        <w:rPr>
          <w:rFonts w:hint="eastAsia" w:ascii="宋体" w:hAnsi="宋体"/>
          <w:snapToGrid w:val="0"/>
          <w:kern w:val="0"/>
          <w:szCs w:val="21"/>
        </w:rPr>
        <w:t>8.3</w:t>
      </w:r>
      <w:r>
        <w:rPr>
          <w:rFonts w:hint="eastAsia" w:ascii="宋体" w:hAnsi="宋体"/>
          <w:b/>
          <w:bCs/>
          <w:snapToGrid w:val="0"/>
          <w:kern w:val="0"/>
          <w:szCs w:val="21"/>
        </w:rPr>
        <w:t>一次公告后，递交资审文件或资格审查合格投标人少于3家的，重新发布公开招标（自主）公告（原则不少于一次公告发布时间的50%）。二次公告后，递交资审文件或资格审查合格投标人数量不足3家的，将按定标规则横向对比后选取1家；递交资审文件或资格审查合格投标人数量不足2家的，将进入直接委托程序。</w:t>
      </w:r>
    </w:p>
    <w:p w14:paraId="7E30C06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8.4迟交的投标文件</w:t>
      </w:r>
    </w:p>
    <w:p w14:paraId="72E42608">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招标人在本须知第8.1条规定的投标截止日期以后收到的投标文件，将被拒绝或原封退回给投标人。</w:t>
      </w:r>
    </w:p>
    <w:p w14:paraId="781CC52E">
      <w:pPr>
        <w:spacing w:line="360" w:lineRule="auto"/>
        <w:jc w:val="center"/>
        <w:outlineLvl w:val="2"/>
        <w:rPr>
          <w:rFonts w:ascii="宋体" w:hAnsi="宋体"/>
          <w:b/>
          <w:snapToGrid w:val="0"/>
          <w:kern w:val="0"/>
          <w:sz w:val="32"/>
          <w:szCs w:val="32"/>
        </w:rPr>
      </w:pPr>
      <w:bookmarkStart w:id="10" w:name="_Toc509669689"/>
    </w:p>
    <w:p w14:paraId="6930783A">
      <w:pPr>
        <w:spacing w:line="360" w:lineRule="auto"/>
        <w:jc w:val="center"/>
        <w:outlineLvl w:val="2"/>
        <w:rPr>
          <w:rFonts w:ascii="宋体" w:hAnsi="宋体"/>
          <w:b/>
          <w:snapToGrid w:val="0"/>
          <w:kern w:val="0"/>
          <w:sz w:val="32"/>
          <w:szCs w:val="32"/>
        </w:rPr>
      </w:pPr>
      <w:bookmarkStart w:id="11" w:name="_Toc512"/>
      <w:r>
        <w:rPr>
          <w:rFonts w:hint="eastAsia" w:ascii="宋体" w:hAnsi="宋体"/>
          <w:b/>
          <w:snapToGrid w:val="0"/>
          <w:kern w:val="0"/>
          <w:sz w:val="32"/>
          <w:szCs w:val="32"/>
        </w:rPr>
        <w:t>四、开  标</w:t>
      </w:r>
      <w:bookmarkEnd w:id="10"/>
      <w:bookmarkEnd w:id="11"/>
    </w:p>
    <w:p w14:paraId="408E4E3F">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9.开标</w:t>
      </w:r>
    </w:p>
    <w:p w14:paraId="56BFD0A2">
      <w:pPr>
        <w:pStyle w:val="98"/>
        <w:tabs>
          <w:tab w:val="left" w:pos="14"/>
          <w:tab w:val="left" w:pos="1232"/>
        </w:tabs>
        <w:spacing w:line="360" w:lineRule="auto"/>
        <w:rPr>
          <w:rFonts w:ascii="宋体" w:hAnsi="宋体"/>
          <w:snapToGrid w:val="0"/>
          <w:kern w:val="0"/>
          <w:szCs w:val="21"/>
        </w:rPr>
      </w:pPr>
      <w:r>
        <w:rPr>
          <w:rFonts w:hint="eastAsia" w:ascii="宋体" w:hAnsi="宋体"/>
          <w:snapToGrid w:val="0"/>
          <w:kern w:val="0"/>
          <w:szCs w:val="21"/>
        </w:rPr>
        <w:t>9.1招标人计划</w:t>
      </w:r>
      <w:r>
        <w:rPr>
          <w:rFonts w:hint="eastAsia" w:ascii="宋体" w:hAnsi="宋体"/>
          <w:snapToGrid w:val="0"/>
          <w:kern w:val="0"/>
          <w:szCs w:val="21"/>
          <w:highlight w:val="yellow"/>
        </w:rPr>
        <w:t>在</w:t>
      </w:r>
      <w:r>
        <w:rPr>
          <w:rFonts w:hint="eastAsia" w:ascii="宋体" w:hAnsi="宋体"/>
          <w:b/>
          <w:snapToGrid w:val="0"/>
          <w:color w:val="000000"/>
          <w:kern w:val="0"/>
          <w:szCs w:val="21"/>
          <w:highlight w:val="yellow"/>
          <w:lang w:eastAsia="zh-CN"/>
        </w:rPr>
        <w:t>2025年</w:t>
      </w:r>
      <w:r>
        <w:rPr>
          <w:rFonts w:hint="eastAsia" w:ascii="宋体" w:hAnsi="宋体"/>
          <w:b/>
          <w:snapToGrid w:val="0"/>
          <w:color w:val="000000"/>
          <w:kern w:val="0"/>
          <w:szCs w:val="21"/>
          <w:highlight w:val="yellow"/>
          <w:lang w:val="en-US" w:eastAsia="zh-CN"/>
        </w:rPr>
        <w:t>5</w:t>
      </w:r>
      <w:r>
        <w:rPr>
          <w:rFonts w:hint="eastAsia" w:ascii="宋体" w:hAnsi="宋体"/>
          <w:b/>
          <w:snapToGrid w:val="0"/>
          <w:color w:val="000000"/>
          <w:kern w:val="0"/>
          <w:szCs w:val="21"/>
          <w:highlight w:val="yellow"/>
          <w:lang w:eastAsia="zh-CN"/>
        </w:rPr>
        <w:t>月2</w:t>
      </w:r>
      <w:r>
        <w:rPr>
          <w:rFonts w:hint="eastAsia" w:ascii="宋体" w:hAnsi="宋体"/>
          <w:b/>
          <w:snapToGrid w:val="0"/>
          <w:color w:val="000000"/>
          <w:kern w:val="0"/>
          <w:szCs w:val="21"/>
          <w:highlight w:val="yellow"/>
          <w:lang w:val="en-US" w:eastAsia="zh-CN"/>
        </w:rPr>
        <w:t>2</w:t>
      </w:r>
      <w:r>
        <w:rPr>
          <w:rFonts w:hint="eastAsia" w:ascii="宋体" w:hAnsi="宋体"/>
          <w:b/>
          <w:snapToGrid w:val="0"/>
          <w:color w:val="000000"/>
          <w:kern w:val="0"/>
          <w:szCs w:val="21"/>
          <w:highlight w:val="yellow"/>
          <w:lang w:eastAsia="zh-CN"/>
        </w:rPr>
        <w:t>日</w:t>
      </w:r>
      <w:r>
        <w:rPr>
          <w:rFonts w:hint="eastAsia" w:ascii="宋体" w:hAnsi="宋体"/>
          <w:b/>
          <w:snapToGrid w:val="0"/>
          <w:color w:val="000000"/>
          <w:kern w:val="0"/>
          <w:szCs w:val="21"/>
          <w:highlight w:val="yellow"/>
        </w:rPr>
        <w:t>下午</w:t>
      </w:r>
      <w:r>
        <w:rPr>
          <w:rFonts w:hint="eastAsia" w:ascii="宋体" w:hAnsi="宋体"/>
          <w:b/>
          <w:snapToGrid w:val="0"/>
          <w:color w:val="000000"/>
          <w:kern w:val="0"/>
          <w:szCs w:val="21"/>
          <w:highlight w:val="yellow"/>
          <w:lang w:val="en-US" w:eastAsia="zh-CN"/>
        </w:rPr>
        <w:t>3</w:t>
      </w:r>
      <w:r>
        <w:rPr>
          <w:rFonts w:hint="eastAsia" w:ascii="宋体" w:hAnsi="宋体"/>
          <w:b/>
          <w:snapToGrid w:val="0"/>
          <w:color w:val="000000"/>
          <w:kern w:val="0"/>
          <w:szCs w:val="21"/>
          <w:highlight w:val="yellow"/>
        </w:rPr>
        <w:t>:00</w:t>
      </w:r>
      <w:r>
        <w:rPr>
          <w:rFonts w:ascii="宋体" w:hAnsi="宋体" w:cs="宋体"/>
          <w:kern w:val="0"/>
          <w:szCs w:val="21"/>
        </w:rPr>
        <w:t>龙岗区中心城腾飞路创投大厦</w:t>
      </w:r>
      <w:r>
        <w:rPr>
          <w:rFonts w:hint="eastAsia" w:ascii="宋体" w:hAnsi="宋体"/>
          <w:szCs w:val="21"/>
        </w:rPr>
        <w:t>深圳市龙岗区城市建设投资集团有限公司会议室</w:t>
      </w:r>
      <w:r>
        <w:rPr>
          <w:rFonts w:hint="eastAsia" w:ascii="宋体" w:hAnsi="宋体"/>
          <w:b/>
          <w:snapToGrid w:val="0"/>
          <w:color w:val="000000"/>
          <w:kern w:val="0"/>
          <w:szCs w:val="21"/>
        </w:rPr>
        <w:t>开标</w:t>
      </w:r>
      <w:r>
        <w:rPr>
          <w:rFonts w:hint="eastAsia" w:ascii="宋体" w:hAnsi="宋体"/>
          <w:snapToGrid w:val="0"/>
          <w:kern w:val="0"/>
          <w:szCs w:val="21"/>
        </w:rPr>
        <w:t>，并邀请</w:t>
      </w:r>
      <w:r>
        <w:rPr>
          <w:rFonts w:hint="eastAsia" w:ascii="宋体" w:hAnsi="宋体"/>
          <w:szCs w:val="21"/>
        </w:rPr>
        <w:t>评标委员会委员和监督小组成员</w:t>
      </w:r>
      <w:r>
        <w:rPr>
          <w:rFonts w:hint="eastAsia" w:ascii="宋体" w:hAnsi="宋体"/>
          <w:snapToGrid w:val="0"/>
          <w:kern w:val="0"/>
          <w:szCs w:val="21"/>
        </w:rPr>
        <w:t>参加。</w:t>
      </w:r>
    </w:p>
    <w:p w14:paraId="671463DD">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9.2开标会由招标人主持。</w:t>
      </w:r>
      <w:bookmarkStart w:id="33" w:name="_GoBack"/>
      <w:bookmarkEnd w:id="33"/>
    </w:p>
    <w:p w14:paraId="788EF08D">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9.3</w:t>
      </w:r>
      <w:r>
        <w:rPr>
          <w:rFonts w:hint="eastAsia" w:ascii="宋体" w:hAnsi="宋体"/>
          <w:szCs w:val="21"/>
        </w:rPr>
        <w:t>开标会结束，相关资料送交评标委员会。</w:t>
      </w:r>
    </w:p>
    <w:p w14:paraId="633FFD90">
      <w:pPr>
        <w:spacing w:line="360" w:lineRule="auto"/>
        <w:jc w:val="center"/>
        <w:outlineLvl w:val="2"/>
        <w:rPr>
          <w:rFonts w:ascii="宋体" w:hAnsi="宋体"/>
          <w:b/>
          <w:snapToGrid w:val="0"/>
          <w:kern w:val="0"/>
          <w:sz w:val="32"/>
          <w:szCs w:val="32"/>
        </w:rPr>
      </w:pPr>
      <w:bookmarkStart w:id="12" w:name="_Toc509669690"/>
    </w:p>
    <w:p w14:paraId="7DF672F4">
      <w:pPr>
        <w:spacing w:line="360" w:lineRule="auto"/>
        <w:jc w:val="center"/>
        <w:outlineLvl w:val="2"/>
        <w:rPr>
          <w:rFonts w:ascii="宋体" w:hAnsi="宋体"/>
          <w:b/>
          <w:snapToGrid w:val="0"/>
          <w:kern w:val="0"/>
          <w:sz w:val="32"/>
          <w:szCs w:val="32"/>
        </w:rPr>
      </w:pPr>
      <w:bookmarkStart w:id="13" w:name="_Toc23872"/>
      <w:r>
        <w:rPr>
          <w:rFonts w:hint="eastAsia" w:ascii="宋体" w:hAnsi="宋体"/>
          <w:b/>
          <w:snapToGrid w:val="0"/>
          <w:kern w:val="0"/>
          <w:sz w:val="32"/>
          <w:szCs w:val="32"/>
        </w:rPr>
        <w:t>五、资格审查</w:t>
      </w:r>
      <w:bookmarkEnd w:id="12"/>
      <w:bookmarkEnd w:id="13"/>
    </w:p>
    <w:p w14:paraId="4ED01A1A">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10.资格审查按以下规定进行</w:t>
      </w:r>
    </w:p>
    <w:p w14:paraId="41DEBD19">
      <w:pPr>
        <w:spacing w:line="360" w:lineRule="auto"/>
        <w:ind w:firstLine="420" w:firstLineChars="200"/>
        <w:jc w:val="left"/>
        <w:rPr>
          <w:rFonts w:ascii="宋体" w:hAnsi="宋体"/>
          <w:snapToGrid w:val="0"/>
          <w:color w:val="000000"/>
          <w:kern w:val="0"/>
          <w:szCs w:val="21"/>
        </w:rPr>
      </w:pPr>
      <w:r>
        <w:rPr>
          <w:rFonts w:hint="eastAsia" w:ascii="宋体" w:hAnsi="宋体"/>
          <w:snapToGrid w:val="0"/>
          <w:color w:val="000000"/>
          <w:kern w:val="0"/>
          <w:szCs w:val="21"/>
        </w:rPr>
        <w:t>10.1资格审查由评标委员会负责。</w:t>
      </w:r>
    </w:p>
    <w:p w14:paraId="3841C60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10.2评标委员严格对照公开招标（自主）要求的投标人资格条件，逐个审查投标人递交的资格审查文件，审核判断投标人是否满足该资格条件。</w:t>
      </w:r>
    </w:p>
    <w:p w14:paraId="0636E68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10.3全部投标人的资格审查材料审查完毕后，</w:t>
      </w:r>
      <w:r>
        <w:rPr>
          <w:rFonts w:hint="eastAsia" w:ascii="宋体" w:hAnsi="宋体"/>
          <w:b/>
          <w:snapToGrid w:val="0"/>
          <w:color w:val="000000"/>
          <w:kern w:val="0"/>
          <w:szCs w:val="21"/>
        </w:rPr>
        <w:t>评标委员会出具资格审查报告</w:t>
      </w:r>
      <w:r>
        <w:rPr>
          <w:rFonts w:hint="eastAsia" w:ascii="宋体" w:hAnsi="宋体"/>
          <w:snapToGrid w:val="0"/>
          <w:kern w:val="0"/>
          <w:szCs w:val="21"/>
        </w:rPr>
        <w:t>。资格审查合格投标人少于3家的，不再进行后续公开招标（自主）投标程序。</w:t>
      </w:r>
    </w:p>
    <w:p w14:paraId="0E4695A6">
      <w:pPr>
        <w:spacing w:line="360" w:lineRule="auto"/>
        <w:jc w:val="center"/>
        <w:outlineLvl w:val="2"/>
        <w:rPr>
          <w:rFonts w:ascii="宋体" w:hAnsi="宋体"/>
          <w:b/>
          <w:snapToGrid w:val="0"/>
          <w:kern w:val="0"/>
          <w:sz w:val="32"/>
          <w:szCs w:val="32"/>
        </w:rPr>
      </w:pPr>
      <w:bookmarkStart w:id="14" w:name="_Toc509669691"/>
    </w:p>
    <w:p w14:paraId="42D5322E">
      <w:pPr>
        <w:spacing w:line="360" w:lineRule="auto"/>
        <w:jc w:val="center"/>
        <w:outlineLvl w:val="2"/>
        <w:rPr>
          <w:rFonts w:ascii="宋体" w:hAnsi="宋体"/>
          <w:b/>
          <w:snapToGrid w:val="0"/>
          <w:kern w:val="0"/>
          <w:sz w:val="32"/>
          <w:szCs w:val="32"/>
        </w:rPr>
      </w:pPr>
      <w:bookmarkStart w:id="15" w:name="_Toc31878"/>
      <w:r>
        <w:rPr>
          <w:rFonts w:hint="eastAsia" w:ascii="宋体" w:hAnsi="宋体"/>
          <w:b/>
          <w:snapToGrid w:val="0"/>
          <w:kern w:val="0"/>
          <w:sz w:val="32"/>
          <w:szCs w:val="32"/>
        </w:rPr>
        <w:t>六、评标</w:t>
      </w:r>
      <w:bookmarkEnd w:id="14"/>
      <w:bookmarkEnd w:id="15"/>
    </w:p>
    <w:p w14:paraId="374EC983">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11.评标委员会和评标</w:t>
      </w:r>
    </w:p>
    <w:p w14:paraId="4DA5A500">
      <w:pPr>
        <w:spacing w:line="360" w:lineRule="auto"/>
        <w:ind w:firstLine="420" w:firstLineChars="200"/>
        <w:jc w:val="left"/>
        <w:rPr>
          <w:rFonts w:hAnsi="宋体"/>
        </w:rPr>
      </w:pPr>
      <w:r>
        <w:rPr>
          <w:rFonts w:hint="eastAsia" w:ascii="宋体" w:hAnsi="宋体"/>
          <w:snapToGrid w:val="0"/>
          <w:kern w:val="0"/>
          <w:szCs w:val="21"/>
        </w:rPr>
        <w:t>11.1评标委员会的组建：招标人依法组建评标委员会，负责该公开招标（自主）项目的评标活动。</w:t>
      </w:r>
    </w:p>
    <w:p w14:paraId="0452597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11.2评标委员会的职责：评标委员会应根据公开招标（自主）文件规定的评标方法和标准，对投标文件进行系统地评审。评标委员会根据公开招标（自主）文件的规定直接确定中标人。</w:t>
      </w:r>
    </w:p>
    <w:p w14:paraId="089F58A0">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11.3评标委员会的原则：</w:t>
      </w:r>
      <w:r>
        <w:rPr>
          <w:rFonts w:ascii="宋体" w:hAnsi="宋体"/>
          <w:snapToGrid w:val="0"/>
          <w:kern w:val="0"/>
          <w:szCs w:val="21"/>
        </w:rPr>
        <w:t>评标活动</w:t>
      </w:r>
      <w:r>
        <w:rPr>
          <w:rFonts w:hint="eastAsia" w:ascii="宋体" w:hAnsi="宋体"/>
          <w:snapToGrid w:val="0"/>
          <w:kern w:val="0"/>
          <w:szCs w:val="21"/>
        </w:rPr>
        <w:t>应</w:t>
      </w:r>
      <w:r>
        <w:rPr>
          <w:rFonts w:ascii="宋体" w:hAnsi="宋体"/>
          <w:snapToGrid w:val="0"/>
          <w:kern w:val="0"/>
          <w:szCs w:val="21"/>
        </w:rPr>
        <w:t>遵循公开、公正、公平、科学、择优的原则。</w:t>
      </w:r>
      <w:r>
        <w:rPr>
          <w:rFonts w:hint="eastAsia" w:ascii="宋体" w:hAnsi="宋体"/>
          <w:snapToGrid w:val="0"/>
          <w:kern w:val="0"/>
          <w:szCs w:val="21"/>
        </w:rPr>
        <w:t>评标委员会的评审应实行少数服从多数的原则，经评标委员会成员实名表决半数以上通过的评标结果有效。</w:t>
      </w:r>
    </w:p>
    <w:p w14:paraId="6F7012B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11.4招标人应向评标委员会提供以下资料，供评标使用：</w:t>
      </w:r>
    </w:p>
    <w:p w14:paraId="77C4F04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(1)公开招标（自主）文件，包括公开招标（自主）文件的补充、修改或澄清文件；</w:t>
      </w:r>
    </w:p>
    <w:p w14:paraId="082CCCF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(2)其他评标必需的资料。</w:t>
      </w:r>
    </w:p>
    <w:p w14:paraId="08141978">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12.投标文件的澄清和对答辩人的要求（此次不要求）</w:t>
      </w:r>
    </w:p>
    <w:p w14:paraId="13C33F85">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12.1可以要求投标人对投标文件含义不明确的内容作必要的澄清、说明。澄清、说明应以书面方式进行并不得超出投标文件的范围或改变投标文件的实质性内容。</w:t>
      </w:r>
    </w:p>
    <w:p w14:paraId="4037A43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12.2</w:t>
      </w:r>
      <w:r>
        <w:rPr>
          <w:rFonts w:ascii="宋体" w:hAnsi="宋体"/>
          <w:snapToGrid w:val="0"/>
          <w:kern w:val="0"/>
          <w:szCs w:val="21"/>
        </w:rPr>
        <w:t>投标</w:t>
      </w:r>
      <w:r>
        <w:rPr>
          <w:rFonts w:hint="eastAsia" w:ascii="宋体" w:hAnsi="宋体"/>
          <w:snapToGrid w:val="0"/>
          <w:kern w:val="0"/>
          <w:szCs w:val="21"/>
        </w:rPr>
        <w:t>人委派</w:t>
      </w:r>
      <w:r>
        <w:rPr>
          <w:rFonts w:ascii="宋体" w:hAnsi="宋体"/>
          <w:snapToGrid w:val="0"/>
          <w:kern w:val="0"/>
          <w:szCs w:val="21"/>
        </w:rPr>
        <w:t>的答辩人</w:t>
      </w:r>
      <w:r>
        <w:rPr>
          <w:rFonts w:hint="eastAsia" w:ascii="宋体" w:hAnsi="宋体"/>
          <w:snapToGrid w:val="0"/>
          <w:kern w:val="0"/>
          <w:szCs w:val="21"/>
        </w:rPr>
        <w:t>应符合以</w:t>
      </w:r>
      <w:r>
        <w:rPr>
          <w:rFonts w:ascii="宋体" w:hAnsi="宋体"/>
          <w:snapToGrid w:val="0"/>
          <w:kern w:val="0"/>
          <w:szCs w:val="21"/>
        </w:rPr>
        <w:t>下</w:t>
      </w:r>
      <w:r>
        <w:rPr>
          <w:rFonts w:hint="eastAsia" w:ascii="宋体" w:hAnsi="宋体"/>
          <w:snapToGrid w:val="0"/>
          <w:kern w:val="0"/>
          <w:szCs w:val="21"/>
        </w:rPr>
        <w:t>条件</w:t>
      </w:r>
      <w:r>
        <w:rPr>
          <w:rFonts w:ascii="宋体" w:hAnsi="宋体"/>
          <w:snapToGrid w:val="0"/>
          <w:kern w:val="0"/>
          <w:szCs w:val="21"/>
        </w:rPr>
        <w:t>：</w:t>
      </w:r>
    </w:p>
    <w:p w14:paraId="504D92D5">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12.2.1拟进行投标</w:t>
      </w:r>
      <w:r>
        <w:rPr>
          <w:rFonts w:ascii="宋体" w:hAnsi="宋体"/>
          <w:snapToGrid w:val="0"/>
          <w:kern w:val="0"/>
          <w:szCs w:val="21"/>
        </w:rPr>
        <w:t>答辩</w:t>
      </w:r>
      <w:r>
        <w:rPr>
          <w:rFonts w:hint="eastAsia" w:ascii="宋体" w:hAnsi="宋体"/>
          <w:snapToGrid w:val="0"/>
          <w:kern w:val="0"/>
          <w:szCs w:val="21"/>
        </w:rPr>
        <w:t>的，答辩人必须是投标人拟派往本公开招标（自主）项目的项目负责人、其法定代表人或者法定代表人委托代理人。</w:t>
      </w:r>
    </w:p>
    <w:p w14:paraId="1766C72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12.3要求投标人进行答辩，但投标人在规定时间内未派出答辩人的，将根据公开招标（自主）文件规定作出不利于投标人的判定，且投标人不得因此提出任何异议。</w:t>
      </w:r>
    </w:p>
    <w:p w14:paraId="3806B099">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w:t>
      </w:r>
      <w:r>
        <w:rPr>
          <w:rFonts w:ascii="宋体" w:hAnsi="宋体"/>
          <w:b/>
          <w:snapToGrid w:val="0"/>
          <w:kern w:val="0"/>
          <w:szCs w:val="21"/>
        </w:rPr>
        <w:t>3</w:t>
      </w:r>
      <w:r>
        <w:rPr>
          <w:rFonts w:hint="eastAsia" w:ascii="宋体" w:hAnsi="宋体"/>
          <w:b/>
          <w:snapToGrid w:val="0"/>
          <w:kern w:val="0"/>
          <w:szCs w:val="21"/>
        </w:rPr>
        <w:t>.评标方法</w:t>
      </w:r>
    </w:p>
    <w:p w14:paraId="0813F4A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评标委员会对进入评标环节的全部投标文件进行评审，给出评审意见，评委采用投票方式推荐综合评价最优的1名投标单位为中标候选人。</w:t>
      </w:r>
    </w:p>
    <w:p w14:paraId="669BF40D">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14．投标人的推荐</w:t>
      </w:r>
    </w:p>
    <w:p w14:paraId="613D92DB">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1CBC8CFA">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14.2本次公开招标（自主）如果评标委员会已推荐投标人，无论随后出现何种情形，招标人在本次公开招标（自主）中不再接受另外的投标人，除非重新组织公开招标（自主）投标。</w:t>
      </w:r>
    </w:p>
    <w:p w14:paraId="7D8B1F10">
      <w:pPr>
        <w:spacing w:line="360" w:lineRule="auto"/>
        <w:jc w:val="center"/>
        <w:outlineLvl w:val="2"/>
        <w:rPr>
          <w:rFonts w:ascii="宋体" w:hAnsi="宋体"/>
          <w:b/>
          <w:snapToGrid w:val="0"/>
          <w:kern w:val="0"/>
          <w:sz w:val="32"/>
          <w:szCs w:val="32"/>
        </w:rPr>
      </w:pPr>
      <w:bookmarkStart w:id="16" w:name="_Toc509669692"/>
    </w:p>
    <w:p w14:paraId="18065EC5">
      <w:pPr>
        <w:spacing w:line="360" w:lineRule="auto"/>
        <w:jc w:val="center"/>
        <w:outlineLvl w:val="2"/>
        <w:rPr>
          <w:rFonts w:ascii="宋体" w:hAnsi="宋体"/>
          <w:b/>
          <w:snapToGrid w:val="0"/>
          <w:kern w:val="0"/>
          <w:sz w:val="32"/>
          <w:szCs w:val="32"/>
        </w:rPr>
      </w:pPr>
      <w:bookmarkStart w:id="17" w:name="_Toc31188"/>
      <w:r>
        <w:rPr>
          <w:rFonts w:hint="eastAsia" w:ascii="宋体" w:hAnsi="宋体"/>
          <w:b/>
          <w:snapToGrid w:val="0"/>
          <w:kern w:val="0"/>
          <w:sz w:val="32"/>
          <w:szCs w:val="32"/>
        </w:rPr>
        <w:t>七、签订合同</w:t>
      </w:r>
      <w:bookmarkEnd w:id="16"/>
      <w:bookmarkEnd w:id="17"/>
    </w:p>
    <w:p w14:paraId="4E14889D">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15.中标通知</w:t>
      </w:r>
    </w:p>
    <w:p w14:paraId="2BF3FF0B">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15</w:t>
      </w:r>
      <w:r>
        <w:rPr>
          <w:rFonts w:ascii="宋体" w:hAnsi="宋体"/>
          <w:snapToGrid w:val="0"/>
          <w:kern w:val="0"/>
          <w:szCs w:val="21"/>
        </w:rPr>
        <w:t>.</w:t>
      </w:r>
      <w:r>
        <w:rPr>
          <w:rFonts w:hint="eastAsia" w:ascii="宋体" w:hAnsi="宋体"/>
          <w:snapToGrid w:val="0"/>
          <w:kern w:val="0"/>
          <w:szCs w:val="21"/>
        </w:rPr>
        <w:t>1招标人应在确定中标人后，发出委托函。委托函是本公开招标（自主）项目合同的组成部分。如接到有关投诉的，招标人将可能暂停发出委托函。</w:t>
      </w:r>
    </w:p>
    <w:p w14:paraId="71323208">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16.签订合同</w:t>
      </w:r>
    </w:p>
    <w:p w14:paraId="73858CD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16.1招标人和中标人应当按在委托函</w:t>
      </w:r>
      <w:r>
        <w:rPr>
          <w:rFonts w:hint="eastAsia" w:ascii="宋体" w:hAnsi="宋体"/>
          <w:snapToGrid w:val="0"/>
          <w:color w:val="auto"/>
          <w:kern w:val="0"/>
          <w:szCs w:val="21"/>
        </w:rPr>
        <w:t>发出30日内</w:t>
      </w:r>
      <w:r>
        <w:rPr>
          <w:rFonts w:hint="eastAsia" w:ascii="宋体" w:hAnsi="宋体"/>
          <w:snapToGrid w:val="0"/>
          <w:kern w:val="0"/>
          <w:szCs w:val="21"/>
        </w:rPr>
        <w:t>，依据公开招标（自主）文件和中标人的投标文件订立书面合同。</w:t>
      </w:r>
    </w:p>
    <w:p w14:paraId="469548C9">
      <w:pPr>
        <w:spacing w:line="360" w:lineRule="auto"/>
        <w:ind w:firstLine="422" w:firstLineChars="200"/>
        <w:jc w:val="left"/>
        <w:rPr>
          <w:rFonts w:ascii="宋体" w:hAnsi="宋体"/>
          <w:sz w:val="24"/>
          <w:szCs w:val="24"/>
          <w:highlight w:val="yellow"/>
        </w:rPr>
      </w:pPr>
      <w:r>
        <w:rPr>
          <w:rFonts w:hAnsi="宋体"/>
          <w:b/>
          <w:szCs w:val="21"/>
        </w:rPr>
        <w:br w:type="page"/>
      </w:r>
    </w:p>
    <w:p w14:paraId="0A528C1A">
      <w:pPr>
        <w:pStyle w:val="100"/>
        <w:widowControl/>
        <w:spacing w:line="560" w:lineRule="exact"/>
        <w:rPr>
          <w:rFonts w:hint="default" w:ascii="仿宋" w:hAnsi="仿宋" w:eastAsia="仿宋"/>
          <w:sz w:val="30"/>
          <w:szCs w:val="30"/>
        </w:rPr>
      </w:pPr>
      <w:r>
        <w:rPr>
          <w:rFonts w:ascii="仿宋" w:hAnsi="仿宋" w:eastAsia="仿宋"/>
          <w:b/>
          <w:sz w:val="30"/>
          <w:szCs w:val="30"/>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666B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4ACF2728">
            <w:pPr>
              <w:pStyle w:val="98"/>
              <w:spacing w:line="360" w:lineRule="exact"/>
              <w:ind w:firstLine="0" w:firstLineChars="0"/>
              <w:jc w:val="center"/>
              <w:rPr>
                <w:rFonts w:ascii="宋体" w:hAnsi="宋体"/>
                <w:b/>
                <w:bCs/>
                <w:sz w:val="24"/>
                <w:szCs w:val="24"/>
              </w:rPr>
            </w:pPr>
            <w:r>
              <w:rPr>
                <w:rFonts w:hint="eastAsia" w:ascii="宋体" w:hAnsi="宋体"/>
                <w:b/>
                <w:bCs/>
                <w:sz w:val="24"/>
                <w:szCs w:val="24"/>
              </w:rPr>
              <w:t>序号</w:t>
            </w:r>
          </w:p>
        </w:tc>
        <w:tc>
          <w:tcPr>
            <w:tcW w:w="3234" w:type="dxa"/>
            <w:vAlign w:val="center"/>
          </w:tcPr>
          <w:p w14:paraId="512D0013">
            <w:pPr>
              <w:pStyle w:val="98"/>
              <w:spacing w:line="360" w:lineRule="exact"/>
              <w:ind w:firstLine="0" w:firstLineChars="0"/>
              <w:jc w:val="center"/>
              <w:rPr>
                <w:rFonts w:ascii="宋体" w:hAnsi="宋体"/>
                <w:b/>
                <w:bCs/>
                <w:sz w:val="24"/>
                <w:szCs w:val="24"/>
              </w:rPr>
            </w:pPr>
            <w:r>
              <w:rPr>
                <w:rFonts w:hint="eastAsia" w:ascii="宋体" w:hAnsi="宋体"/>
                <w:b/>
                <w:bCs/>
                <w:sz w:val="24"/>
                <w:szCs w:val="24"/>
              </w:rPr>
              <w:t>文件名称</w:t>
            </w:r>
          </w:p>
        </w:tc>
        <w:tc>
          <w:tcPr>
            <w:tcW w:w="5095" w:type="dxa"/>
            <w:vAlign w:val="center"/>
          </w:tcPr>
          <w:p w14:paraId="16BC667E">
            <w:pPr>
              <w:pStyle w:val="98"/>
              <w:spacing w:line="360" w:lineRule="exact"/>
              <w:ind w:firstLine="0" w:firstLineChars="0"/>
              <w:jc w:val="center"/>
              <w:rPr>
                <w:rFonts w:ascii="宋体" w:hAnsi="宋体"/>
                <w:b/>
                <w:bCs/>
                <w:sz w:val="24"/>
                <w:szCs w:val="24"/>
              </w:rPr>
            </w:pPr>
            <w:r>
              <w:rPr>
                <w:rFonts w:hint="eastAsia" w:ascii="宋体" w:hAnsi="宋体"/>
                <w:b/>
                <w:bCs/>
                <w:sz w:val="24"/>
                <w:szCs w:val="24"/>
              </w:rPr>
              <w:t>要求说明</w:t>
            </w:r>
          </w:p>
        </w:tc>
      </w:tr>
      <w:tr w14:paraId="029D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46862EAD">
            <w:pPr>
              <w:pStyle w:val="98"/>
              <w:spacing w:line="360" w:lineRule="exact"/>
              <w:ind w:firstLine="0" w:firstLineChars="0"/>
              <w:jc w:val="center"/>
              <w:rPr>
                <w:rFonts w:ascii="宋体" w:hAnsi="宋体"/>
                <w:sz w:val="24"/>
                <w:szCs w:val="24"/>
              </w:rPr>
            </w:pPr>
            <w:r>
              <w:rPr>
                <w:rFonts w:hint="eastAsia" w:ascii="宋体" w:hAnsi="宋体"/>
                <w:sz w:val="24"/>
                <w:szCs w:val="24"/>
              </w:rPr>
              <w:t>1</w:t>
            </w:r>
          </w:p>
        </w:tc>
        <w:tc>
          <w:tcPr>
            <w:tcW w:w="3234" w:type="dxa"/>
            <w:vAlign w:val="center"/>
          </w:tcPr>
          <w:p w14:paraId="38C09FAE">
            <w:pPr>
              <w:adjustRightInd w:val="0"/>
              <w:snapToGrid w:val="0"/>
              <w:spacing w:line="580" w:lineRule="exact"/>
              <w:jc w:val="left"/>
              <w:rPr>
                <w:rFonts w:ascii="宋体" w:hAnsi="宋体"/>
                <w:sz w:val="24"/>
                <w:szCs w:val="24"/>
              </w:rPr>
            </w:pPr>
            <w:r>
              <w:rPr>
                <w:rFonts w:hint="eastAsia" w:ascii="宋体" w:hAnsi="宋体"/>
                <w:sz w:val="24"/>
                <w:szCs w:val="24"/>
              </w:rPr>
              <w:t>基本情况资料</w:t>
            </w:r>
          </w:p>
        </w:tc>
        <w:tc>
          <w:tcPr>
            <w:tcW w:w="5095" w:type="dxa"/>
            <w:vAlign w:val="center"/>
          </w:tcPr>
          <w:p w14:paraId="06763013">
            <w:pPr>
              <w:pStyle w:val="2"/>
              <w:ind w:firstLine="0" w:firstLineChars="0"/>
            </w:pPr>
            <w:r>
              <w:rPr>
                <w:rFonts w:ascii="宋体" w:hAnsi="宋体" w:eastAsia="宋体" w:cs="Times New Roman"/>
                <w:sz w:val="24"/>
                <w:szCs w:val="24"/>
              </w:rPr>
              <w:t>提供营业执照复印件、资质证书复印件、法定代表人证明书及身份证复印件、法定代表人授权委托书及身份证复印件（如有）</w:t>
            </w:r>
          </w:p>
        </w:tc>
      </w:tr>
      <w:tr w14:paraId="060E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3ED02E08">
            <w:pPr>
              <w:pStyle w:val="98"/>
              <w:spacing w:line="360" w:lineRule="exact"/>
              <w:ind w:firstLine="0" w:firstLineChars="0"/>
              <w:jc w:val="center"/>
              <w:rPr>
                <w:rFonts w:ascii="宋体" w:hAnsi="宋体"/>
                <w:sz w:val="24"/>
                <w:szCs w:val="24"/>
              </w:rPr>
            </w:pPr>
            <w:r>
              <w:rPr>
                <w:rFonts w:hint="eastAsia" w:ascii="宋体" w:hAnsi="宋体"/>
                <w:sz w:val="24"/>
                <w:szCs w:val="24"/>
              </w:rPr>
              <w:t>2</w:t>
            </w:r>
          </w:p>
        </w:tc>
        <w:tc>
          <w:tcPr>
            <w:tcW w:w="3234" w:type="dxa"/>
            <w:vAlign w:val="center"/>
          </w:tcPr>
          <w:p w14:paraId="4104D0D7">
            <w:pPr>
              <w:adjustRightInd w:val="0"/>
              <w:snapToGrid w:val="0"/>
              <w:spacing w:line="580" w:lineRule="exact"/>
              <w:jc w:val="left"/>
              <w:rPr>
                <w:rFonts w:ascii="宋体" w:hAnsi="宋体"/>
                <w:sz w:val="24"/>
                <w:szCs w:val="24"/>
              </w:rPr>
            </w:pPr>
            <w:r>
              <w:rPr>
                <w:rFonts w:hint="eastAsia" w:ascii="宋体" w:hAnsi="宋体"/>
                <w:sz w:val="24"/>
                <w:szCs w:val="24"/>
              </w:rPr>
              <w:t>承诺函</w:t>
            </w:r>
          </w:p>
        </w:tc>
        <w:tc>
          <w:tcPr>
            <w:tcW w:w="5095" w:type="dxa"/>
            <w:vAlign w:val="center"/>
          </w:tcPr>
          <w:p w14:paraId="0DC4DA6A">
            <w:pPr>
              <w:pStyle w:val="98"/>
              <w:spacing w:line="360" w:lineRule="exact"/>
              <w:ind w:firstLine="0" w:firstLineChars="0"/>
              <w:jc w:val="left"/>
              <w:rPr>
                <w:rFonts w:ascii="宋体" w:hAnsi="宋体"/>
                <w:sz w:val="24"/>
                <w:szCs w:val="24"/>
              </w:rPr>
            </w:pPr>
            <w:r>
              <w:rPr>
                <w:rFonts w:hint="eastAsia" w:ascii="宋体" w:hAnsi="宋体"/>
                <w:sz w:val="24"/>
                <w:szCs w:val="24"/>
              </w:rPr>
              <w:t>格式附后</w:t>
            </w:r>
          </w:p>
        </w:tc>
      </w:tr>
      <w:tr w14:paraId="21E5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1287668">
            <w:pPr>
              <w:pStyle w:val="98"/>
              <w:spacing w:line="360" w:lineRule="exact"/>
              <w:ind w:firstLine="0" w:firstLineChars="0"/>
              <w:jc w:val="center"/>
              <w:rPr>
                <w:rFonts w:ascii="宋体" w:hAnsi="宋体"/>
                <w:sz w:val="24"/>
                <w:szCs w:val="24"/>
              </w:rPr>
            </w:pPr>
            <w:r>
              <w:rPr>
                <w:rFonts w:hint="eastAsia" w:ascii="宋体" w:hAnsi="宋体"/>
                <w:sz w:val="24"/>
                <w:szCs w:val="24"/>
              </w:rPr>
              <w:t>3</w:t>
            </w:r>
          </w:p>
        </w:tc>
        <w:tc>
          <w:tcPr>
            <w:tcW w:w="3234" w:type="dxa"/>
            <w:vAlign w:val="center"/>
          </w:tcPr>
          <w:p w14:paraId="2592F85F">
            <w:pPr>
              <w:pStyle w:val="98"/>
              <w:spacing w:line="360" w:lineRule="exact"/>
              <w:ind w:firstLine="0" w:firstLineChars="0"/>
              <w:jc w:val="left"/>
              <w:rPr>
                <w:rFonts w:ascii="宋体" w:hAnsi="宋体" w:cs="宋体"/>
                <w:kern w:val="0"/>
                <w:sz w:val="24"/>
                <w:szCs w:val="24"/>
              </w:rPr>
            </w:pPr>
            <w:r>
              <w:rPr>
                <w:rFonts w:hint="eastAsia" w:ascii="宋体" w:hAnsi="宋体" w:cs="宋体"/>
                <w:kern w:val="0"/>
                <w:sz w:val="24"/>
                <w:szCs w:val="24"/>
              </w:rPr>
              <w:t>龙岗区进一步规范政商交往行为告知书</w:t>
            </w:r>
          </w:p>
        </w:tc>
        <w:tc>
          <w:tcPr>
            <w:tcW w:w="5095" w:type="dxa"/>
            <w:vAlign w:val="center"/>
          </w:tcPr>
          <w:p w14:paraId="13A5601B">
            <w:pPr>
              <w:pStyle w:val="98"/>
              <w:spacing w:line="360" w:lineRule="exact"/>
              <w:ind w:firstLine="0" w:firstLineChars="0"/>
              <w:jc w:val="left"/>
              <w:rPr>
                <w:rFonts w:ascii="宋体" w:hAnsi="宋体"/>
                <w:sz w:val="24"/>
                <w:szCs w:val="24"/>
              </w:rPr>
            </w:pPr>
            <w:r>
              <w:rPr>
                <w:rFonts w:hint="eastAsia" w:ascii="宋体" w:hAnsi="宋体"/>
                <w:sz w:val="24"/>
                <w:szCs w:val="24"/>
              </w:rPr>
              <w:t>提供法定代表人或者法定代表人授权人签字版</w:t>
            </w:r>
          </w:p>
          <w:p w14:paraId="461604C7">
            <w:pPr>
              <w:pStyle w:val="98"/>
              <w:spacing w:line="360" w:lineRule="exact"/>
              <w:ind w:firstLine="0" w:firstLineChars="0"/>
              <w:jc w:val="left"/>
              <w:rPr>
                <w:rFonts w:ascii="宋体" w:hAnsi="宋体"/>
                <w:sz w:val="24"/>
                <w:szCs w:val="24"/>
              </w:rPr>
            </w:pPr>
            <w:r>
              <w:rPr>
                <w:rFonts w:hint="eastAsia" w:ascii="宋体" w:hAnsi="宋体"/>
                <w:sz w:val="24"/>
                <w:szCs w:val="24"/>
              </w:rPr>
              <w:t>格式见后附件</w:t>
            </w:r>
          </w:p>
        </w:tc>
      </w:tr>
      <w:tr w14:paraId="4EDB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3C58A8C4">
            <w:pPr>
              <w:pStyle w:val="98"/>
              <w:spacing w:line="360" w:lineRule="exact"/>
              <w:ind w:firstLine="0" w:firstLineChars="0"/>
              <w:jc w:val="center"/>
              <w:rPr>
                <w:rFonts w:ascii="宋体" w:hAnsi="宋体"/>
                <w:sz w:val="24"/>
                <w:szCs w:val="24"/>
              </w:rPr>
            </w:pPr>
            <w:r>
              <w:rPr>
                <w:rFonts w:ascii="宋体" w:hAnsi="宋体"/>
                <w:sz w:val="24"/>
                <w:szCs w:val="24"/>
              </w:rPr>
              <w:t>4</w:t>
            </w:r>
          </w:p>
        </w:tc>
        <w:tc>
          <w:tcPr>
            <w:tcW w:w="3234" w:type="dxa"/>
            <w:vAlign w:val="center"/>
          </w:tcPr>
          <w:p w14:paraId="78E18989">
            <w:pPr>
              <w:pStyle w:val="98"/>
              <w:spacing w:line="360" w:lineRule="exact"/>
              <w:ind w:firstLine="0" w:firstLineChars="0"/>
              <w:jc w:val="left"/>
              <w:rPr>
                <w:rFonts w:ascii="宋体" w:hAnsi="宋体" w:cs="宋体"/>
                <w:kern w:val="0"/>
                <w:sz w:val="24"/>
                <w:szCs w:val="24"/>
              </w:rPr>
            </w:pPr>
            <w:r>
              <w:rPr>
                <w:rFonts w:hint="eastAsia" w:ascii="宋体" w:hAnsi="宋体" w:cs="宋体"/>
                <w:kern w:val="0"/>
                <w:sz w:val="24"/>
                <w:szCs w:val="24"/>
              </w:rPr>
              <w:t>资信与方案要求</w:t>
            </w:r>
          </w:p>
        </w:tc>
        <w:tc>
          <w:tcPr>
            <w:tcW w:w="5095" w:type="dxa"/>
            <w:vAlign w:val="center"/>
          </w:tcPr>
          <w:p w14:paraId="09F5DDCF">
            <w:pPr>
              <w:pStyle w:val="98"/>
              <w:spacing w:line="360" w:lineRule="exact"/>
              <w:ind w:firstLine="0" w:firstLineChars="0"/>
              <w:jc w:val="left"/>
              <w:rPr>
                <w:rFonts w:ascii="宋体" w:hAnsi="宋体"/>
                <w:sz w:val="24"/>
                <w:szCs w:val="24"/>
              </w:rPr>
            </w:pPr>
            <w:r>
              <w:rPr>
                <w:rFonts w:hint="eastAsia" w:ascii="宋体" w:hAnsi="宋体"/>
                <w:sz w:val="24"/>
                <w:szCs w:val="24"/>
              </w:rPr>
              <w:t>按</w:t>
            </w:r>
            <w:r>
              <w:rPr>
                <w:rFonts w:ascii="宋体" w:hAnsi="宋体"/>
                <w:sz w:val="24"/>
                <w:szCs w:val="24"/>
              </w:rPr>
              <w:t>“</w:t>
            </w:r>
            <w:r>
              <w:rPr>
                <w:rFonts w:hint="eastAsia" w:ascii="宋体" w:hAnsi="宋体"/>
                <w:sz w:val="24"/>
                <w:szCs w:val="24"/>
              </w:rPr>
              <w:t>资信与方案要求</w:t>
            </w:r>
            <w:r>
              <w:rPr>
                <w:rFonts w:ascii="宋体" w:hAnsi="宋体"/>
                <w:sz w:val="24"/>
                <w:szCs w:val="24"/>
              </w:rPr>
              <w:t>”</w:t>
            </w:r>
            <w:r>
              <w:rPr>
                <w:rFonts w:hint="eastAsia" w:ascii="宋体" w:hAnsi="宋体"/>
                <w:sz w:val="24"/>
                <w:szCs w:val="24"/>
              </w:rPr>
              <w:t>提供</w:t>
            </w:r>
          </w:p>
        </w:tc>
      </w:tr>
      <w:tr w14:paraId="64C6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4DE92E6A">
            <w:pPr>
              <w:pStyle w:val="98"/>
              <w:spacing w:line="360" w:lineRule="exact"/>
              <w:ind w:firstLine="0" w:firstLineChars="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3234" w:type="dxa"/>
            <w:vAlign w:val="center"/>
          </w:tcPr>
          <w:p w14:paraId="2032643F">
            <w:pPr>
              <w:pStyle w:val="98"/>
              <w:spacing w:line="360" w:lineRule="exact"/>
              <w:ind w:firstLine="0" w:firstLineChars="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商务标</w:t>
            </w:r>
          </w:p>
        </w:tc>
        <w:tc>
          <w:tcPr>
            <w:tcW w:w="5095" w:type="dxa"/>
            <w:vAlign w:val="center"/>
          </w:tcPr>
          <w:p w14:paraId="200BB2F1">
            <w:pPr>
              <w:pStyle w:val="98"/>
              <w:spacing w:line="360" w:lineRule="exact"/>
              <w:ind w:firstLine="0" w:firstLineChars="0"/>
              <w:jc w:val="left"/>
              <w:rPr>
                <w:rFonts w:hint="default" w:ascii="宋体" w:hAnsi="宋体" w:eastAsia="宋体"/>
                <w:sz w:val="24"/>
                <w:szCs w:val="24"/>
                <w:lang w:val="en-US" w:eastAsia="zh-CN"/>
              </w:rPr>
            </w:pPr>
            <w:r>
              <w:rPr>
                <w:rFonts w:hint="eastAsia" w:ascii="宋体" w:hAnsi="宋体"/>
                <w:sz w:val="24"/>
                <w:szCs w:val="24"/>
                <w:highlight w:val="none"/>
                <w:lang w:val="en-US" w:eastAsia="zh-CN"/>
              </w:rPr>
              <w:t>按要求提供</w:t>
            </w:r>
          </w:p>
        </w:tc>
      </w:tr>
      <w:tr w14:paraId="1671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3ECF2B87">
            <w:pPr>
              <w:pStyle w:val="98"/>
              <w:spacing w:line="360" w:lineRule="exact"/>
              <w:ind w:firstLine="0" w:firstLineChars="0"/>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3234" w:type="dxa"/>
            <w:vAlign w:val="center"/>
          </w:tcPr>
          <w:p w14:paraId="0CAE04FA">
            <w:pPr>
              <w:pStyle w:val="98"/>
              <w:spacing w:line="360" w:lineRule="exact"/>
              <w:ind w:firstLine="0" w:firstLineChars="0"/>
              <w:jc w:val="left"/>
              <w:rPr>
                <w:rFonts w:ascii="宋体" w:hAnsi="宋体" w:cs="宋体"/>
                <w:kern w:val="0"/>
                <w:sz w:val="24"/>
                <w:szCs w:val="24"/>
              </w:rPr>
            </w:pPr>
            <w:r>
              <w:rPr>
                <w:rFonts w:hint="eastAsia" w:ascii="宋体" w:hAnsi="宋体" w:cs="宋体"/>
                <w:kern w:val="0"/>
                <w:sz w:val="24"/>
                <w:szCs w:val="24"/>
              </w:rPr>
              <w:t>报价人认为需要加以说明的其他内容</w:t>
            </w:r>
          </w:p>
        </w:tc>
        <w:tc>
          <w:tcPr>
            <w:tcW w:w="5095" w:type="dxa"/>
            <w:vAlign w:val="center"/>
          </w:tcPr>
          <w:p w14:paraId="32DAD7B0">
            <w:pPr>
              <w:pStyle w:val="2"/>
              <w:ind w:firstLine="0" w:firstLineChars="0"/>
            </w:pPr>
            <w:r>
              <w:rPr>
                <w:rFonts w:ascii="宋体" w:hAnsi="宋体" w:eastAsia="宋体" w:cs="Times New Roman"/>
                <w:sz w:val="24"/>
                <w:szCs w:val="24"/>
              </w:rPr>
              <w:t>如有</w:t>
            </w:r>
          </w:p>
        </w:tc>
      </w:tr>
    </w:tbl>
    <w:p w14:paraId="083F8C39">
      <w:pPr>
        <w:pStyle w:val="98"/>
        <w:tabs>
          <w:tab w:val="left" w:pos="426"/>
          <w:tab w:val="left" w:pos="567"/>
        </w:tabs>
        <w:spacing w:line="560" w:lineRule="exact"/>
        <w:ind w:left="622" w:firstLine="0" w:firstLineChars="0"/>
        <w:outlineLvl w:val="0"/>
        <w:rPr>
          <w:rFonts w:ascii="仿宋" w:hAnsi="仿宋" w:eastAsia="仿宋"/>
          <w:b/>
          <w:sz w:val="30"/>
          <w:szCs w:val="30"/>
        </w:rPr>
      </w:pPr>
    </w:p>
    <w:p w14:paraId="679C9AFB">
      <w:pPr>
        <w:widowControl/>
        <w:jc w:val="left"/>
        <w:rPr>
          <w:rFonts w:ascii="黑体" w:eastAsia="黑体"/>
          <w:snapToGrid w:val="0"/>
          <w:kern w:val="0"/>
          <w:sz w:val="32"/>
          <w:szCs w:val="32"/>
        </w:rPr>
      </w:pPr>
    </w:p>
    <w:p w14:paraId="0660FD03">
      <w:pPr>
        <w:pStyle w:val="100"/>
        <w:widowControl/>
        <w:spacing w:line="560" w:lineRule="exact"/>
        <w:rPr>
          <w:rFonts w:hint="default" w:ascii="仿宋" w:hAnsi="仿宋" w:eastAsia="仿宋"/>
          <w:b/>
          <w:sz w:val="30"/>
          <w:szCs w:val="30"/>
        </w:rPr>
      </w:pPr>
    </w:p>
    <w:p w14:paraId="12934739">
      <w:pPr>
        <w:rPr>
          <w:rFonts w:ascii="仿宋" w:hAnsi="仿宋" w:eastAsia="仿宋"/>
          <w:b/>
          <w:sz w:val="30"/>
          <w:szCs w:val="30"/>
        </w:rPr>
      </w:pPr>
      <w:r>
        <w:rPr>
          <w:rFonts w:ascii="仿宋" w:hAnsi="仿宋" w:eastAsia="仿宋"/>
          <w:b/>
          <w:sz w:val="30"/>
          <w:szCs w:val="30"/>
        </w:rPr>
        <w:br w:type="page"/>
      </w:r>
    </w:p>
    <w:p w14:paraId="4522ABE9">
      <w:pPr>
        <w:pStyle w:val="100"/>
        <w:widowControl/>
        <w:spacing w:line="560" w:lineRule="exact"/>
        <w:rPr>
          <w:rFonts w:hint="default" w:ascii="仿宋" w:hAnsi="仿宋" w:eastAsia="仿宋"/>
          <w:b/>
          <w:sz w:val="30"/>
          <w:szCs w:val="30"/>
        </w:rPr>
      </w:pPr>
      <w:r>
        <w:rPr>
          <w:rFonts w:ascii="仿宋" w:hAnsi="仿宋" w:eastAsia="仿宋"/>
          <w:b/>
          <w:sz w:val="30"/>
          <w:szCs w:val="30"/>
        </w:rPr>
        <w:t>资信与方案要求</w:t>
      </w:r>
      <w:bookmarkStart w:id="18" w:name="_Toc151020524"/>
      <w:bookmarkStart w:id="19" w:name="_Toc509669694"/>
      <w:bookmarkStart w:id="20" w:name="_Toc306716037"/>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46"/>
        <w:gridCol w:w="6012"/>
      </w:tblGrid>
      <w:tr w14:paraId="404B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1" w:type="dxa"/>
            <w:vAlign w:val="center"/>
          </w:tcPr>
          <w:p w14:paraId="1F7EB4E2">
            <w:pPr>
              <w:jc w:val="center"/>
              <w:rPr>
                <w:rFonts w:ascii="仿宋_GB2312" w:hAnsi="仿宋_GB2312" w:eastAsia="仿宋_GB2312" w:cs="仿宋_GB2312"/>
                <w:color w:val="auto"/>
                <w:kern w:val="0"/>
                <w:sz w:val="28"/>
                <w:szCs w:val="28"/>
                <w:highlight w:val="none"/>
              </w:rPr>
            </w:pPr>
            <w:r>
              <w:rPr>
                <w:rFonts w:hint="eastAsia" w:ascii="仿宋" w:hAnsi="仿宋" w:eastAsia="仿宋" w:cs="仿宋"/>
                <w:b/>
                <w:color w:val="auto"/>
                <w:sz w:val="28"/>
                <w:szCs w:val="28"/>
                <w:highlight w:val="none"/>
              </w:rPr>
              <w:t>序号</w:t>
            </w:r>
          </w:p>
        </w:tc>
        <w:tc>
          <w:tcPr>
            <w:tcW w:w="1746" w:type="dxa"/>
            <w:vAlign w:val="center"/>
          </w:tcPr>
          <w:p w14:paraId="42F9D895">
            <w:pPr>
              <w:jc w:val="center"/>
              <w:rPr>
                <w:rFonts w:ascii="仿宋_GB2312" w:hAnsi="仿宋_GB2312" w:eastAsia="仿宋_GB2312" w:cs="仿宋_GB2312"/>
                <w:color w:val="auto"/>
                <w:kern w:val="0"/>
                <w:sz w:val="28"/>
                <w:szCs w:val="28"/>
                <w:highlight w:val="none"/>
              </w:rPr>
            </w:pPr>
            <w:r>
              <w:rPr>
                <w:rFonts w:hint="eastAsia" w:ascii="仿宋" w:hAnsi="仿宋" w:eastAsia="仿宋" w:cs="仿宋"/>
                <w:b/>
                <w:color w:val="auto"/>
                <w:sz w:val="28"/>
                <w:szCs w:val="28"/>
                <w:highlight w:val="none"/>
              </w:rPr>
              <w:t>要素名称</w:t>
            </w:r>
          </w:p>
        </w:tc>
        <w:tc>
          <w:tcPr>
            <w:tcW w:w="6012" w:type="dxa"/>
            <w:vAlign w:val="center"/>
          </w:tcPr>
          <w:p w14:paraId="1BDD9513">
            <w:pPr>
              <w:jc w:val="center"/>
              <w:rPr>
                <w:rFonts w:ascii="仿宋_GB2312" w:hAnsi="仿宋_GB2312" w:eastAsia="仿宋_GB2312" w:cs="仿宋_GB2312"/>
                <w:color w:val="auto"/>
                <w:kern w:val="0"/>
                <w:sz w:val="28"/>
                <w:szCs w:val="28"/>
                <w:highlight w:val="none"/>
              </w:rPr>
            </w:pPr>
            <w:r>
              <w:rPr>
                <w:rFonts w:hint="eastAsia" w:ascii="仿宋" w:hAnsi="仿宋" w:eastAsia="仿宋" w:cs="仿宋"/>
                <w:b/>
                <w:color w:val="auto"/>
                <w:sz w:val="28"/>
                <w:szCs w:val="28"/>
                <w:highlight w:val="none"/>
              </w:rPr>
              <w:t>有关要求或说明</w:t>
            </w:r>
          </w:p>
        </w:tc>
      </w:tr>
      <w:tr w14:paraId="5B5B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761" w:type="dxa"/>
            <w:vAlign w:val="center"/>
          </w:tcPr>
          <w:p w14:paraId="7E001E26">
            <w:pPr>
              <w:widowControl/>
              <w:adjustRightInd w:val="0"/>
              <w:snapToGrid w:val="0"/>
              <w:spacing w:before="80" w:after="8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c>
          <w:tcPr>
            <w:tcW w:w="1746" w:type="dxa"/>
            <w:vAlign w:val="center"/>
          </w:tcPr>
          <w:p w14:paraId="169DDA98">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投标人类似</w:t>
            </w:r>
            <w:r>
              <w:rPr>
                <w:rFonts w:ascii="仿宋_GB2312" w:hAnsi="仿宋_GB2312" w:eastAsia="仿宋_GB2312" w:cs="仿宋_GB2312"/>
                <w:color w:val="auto"/>
                <w:kern w:val="0"/>
                <w:sz w:val="28"/>
                <w:szCs w:val="28"/>
                <w:highlight w:val="none"/>
              </w:rPr>
              <w:t>工程业绩</w:t>
            </w:r>
          </w:p>
        </w:tc>
        <w:tc>
          <w:tcPr>
            <w:tcW w:w="6012" w:type="dxa"/>
            <w:vAlign w:val="center"/>
          </w:tcPr>
          <w:p w14:paraId="28F5F790">
            <w:pPr>
              <w:widowControl/>
              <w:spacing w:line="0" w:lineRule="atLeas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年1月1日至今，投标人类似工程业绩（不超过3项，若超过3项，招标人仅对前3项业绩进行复核及统计，以合同签订时间为准，合同未体现签订时间的，则不予统计此项业绩）</w:t>
            </w:r>
          </w:p>
          <w:p w14:paraId="21B1BC35">
            <w:pPr>
              <w:spacing w:line="0" w:lineRule="atLeast"/>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（证明资料为相关合同，应包含工程名称、委托单位名称、受托单位名称、合同金额等信息，可提供合同关键页扫描件，若未体现以上信息，可提供其他相关证明材料）</w:t>
            </w:r>
          </w:p>
        </w:tc>
      </w:tr>
      <w:tr w14:paraId="2952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405A91AB">
            <w:pPr>
              <w:widowControl/>
              <w:adjustRightInd w:val="0"/>
              <w:snapToGrid w:val="0"/>
              <w:spacing w:before="80" w:after="8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c>
          <w:tcPr>
            <w:tcW w:w="1746" w:type="dxa"/>
            <w:vAlign w:val="center"/>
          </w:tcPr>
          <w:p w14:paraId="09AF74AE">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项目负责人类似工程业绩</w:t>
            </w:r>
          </w:p>
        </w:tc>
        <w:tc>
          <w:tcPr>
            <w:tcW w:w="6012" w:type="dxa"/>
            <w:vAlign w:val="center"/>
          </w:tcPr>
          <w:p w14:paraId="26C86FEC">
            <w:pPr>
              <w:spacing w:line="0" w:lineRule="atLeas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年1月1日至今，项目负责人类似工程业绩（不超过3项，若超过3项，招标人仅对前3项业绩进行复核及统计，以合同签订时间为准，合同未体现签订时间的，则不予统计此项业绩）</w:t>
            </w:r>
          </w:p>
          <w:p w14:paraId="7645D2A1">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（证明资料为合同关键页等证明文件扫描件，须体现合同签订时间、合同签订金额和项目负责人任职信息等，如无法体现任职信息，需提供业主证明等证明材料）</w:t>
            </w:r>
          </w:p>
        </w:tc>
      </w:tr>
      <w:tr w14:paraId="5C90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761" w:type="dxa"/>
            <w:vAlign w:val="center"/>
          </w:tcPr>
          <w:p w14:paraId="1F6CC76B">
            <w:pPr>
              <w:widowControl/>
              <w:adjustRightInd w:val="0"/>
              <w:snapToGrid w:val="0"/>
              <w:spacing w:before="80" w:after="8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p>
        </w:tc>
        <w:tc>
          <w:tcPr>
            <w:tcW w:w="1746" w:type="dxa"/>
            <w:vAlign w:val="center"/>
          </w:tcPr>
          <w:p w14:paraId="4592FB60">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履约评价</w:t>
            </w:r>
          </w:p>
        </w:tc>
        <w:tc>
          <w:tcPr>
            <w:tcW w:w="6012" w:type="dxa"/>
            <w:vAlign w:val="center"/>
          </w:tcPr>
          <w:p w14:paraId="3302AC0F">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提供</w:t>
            </w: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年1月1日至今</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同类</w:t>
            </w:r>
            <w:r>
              <w:rPr>
                <w:rFonts w:ascii="仿宋_GB2312" w:hAnsi="仿宋_GB2312" w:eastAsia="仿宋_GB2312" w:cs="仿宋_GB2312"/>
                <w:color w:val="auto"/>
                <w:kern w:val="0"/>
                <w:sz w:val="28"/>
                <w:szCs w:val="28"/>
                <w:highlight w:val="none"/>
              </w:rPr>
              <w:t>工程合同履约情况；（不超过3项，若超过3项，招标人仅对前3项履约进行复核及统计）。</w:t>
            </w:r>
          </w:p>
          <w:p w14:paraId="39A8573E">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cr/>
            </w:r>
            <w:r>
              <w:rPr>
                <w:rFonts w:ascii="仿宋_GB2312" w:hAnsi="仿宋_GB2312" w:eastAsia="仿宋_GB2312" w:cs="仿宋_GB2312"/>
                <w:color w:val="auto"/>
                <w:kern w:val="0"/>
                <w:sz w:val="28"/>
                <w:szCs w:val="28"/>
                <w:highlight w:val="none"/>
              </w:rPr>
              <w:t>证明材料：履约证明等扫描件（应包含工程名称、评价单位名称、</w:t>
            </w:r>
            <w:r>
              <w:rPr>
                <w:rFonts w:hint="eastAsia" w:ascii="仿宋_GB2312" w:hAnsi="仿宋_GB2312" w:eastAsia="仿宋_GB2312" w:cs="仿宋_GB2312"/>
                <w:color w:val="auto"/>
                <w:kern w:val="0"/>
                <w:sz w:val="28"/>
                <w:szCs w:val="28"/>
                <w:highlight w:val="none"/>
                <w:lang w:val="en-US" w:eastAsia="zh-CN"/>
              </w:rPr>
              <w:t>评价单位盖章、</w:t>
            </w:r>
            <w:r>
              <w:rPr>
                <w:rFonts w:ascii="仿宋_GB2312" w:hAnsi="仿宋_GB2312" w:eastAsia="仿宋_GB2312" w:cs="仿宋_GB2312"/>
                <w:color w:val="auto"/>
                <w:kern w:val="0"/>
                <w:sz w:val="28"/>
                <w:szCs w:val="28"/>
                <w:highlight w:val="none"/>
              </w:rPr>
              <w:t>被评价单位名称、评价结论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3F14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61" w:type="dxa"/>
            <w:vAlign w:val="center"/>
          </w:tcPr>
          <w:p w14:paraId="79040CAF">
            <w:pPr>
              <w:widowControl/>
              <w:adjustRightInd w:val="0"/>
              <w:snapToGrid w:val="0"/>
              <w:spacing w:before="80" w:after="8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w:t>
            </w:r>
          </w:p>
        </w:tc>
        <w:tc>
          <w:tcPr>
            <w:tcW w:w="1746" w:type="dxa"/>
            <w:vAlign w:val="center"/>
          </w:tcPr>
          <w:p w14:paraId="20CAE221">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投标人诚信</w:t>
            </w:r>
          </w:p>
        </w:tc>
        <w:tc>
          <w:tcPr>
            <w:tcW w:w="6012" w:type="dxa"/>
            <w:vAlign w:val="center"/>
          </w:tcPr>
          <w:p w14:paraId="01D03CA1">
            <w:pPr>
              <w:widowControl/>
              <w:adjustRightInd w:val="0"/>
              <w:snapToGrid w:val="0"/>
              <w:spacing w:before="80" w:after="8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提供通</w:t>
            </w:r>
            <w:r>
              <w:rPr>
                <w:rFonts w:hint="eastAsia" w:ascii="仿宋_GB2312" w:hAnsi="仿宋_GB2312" w:eastAsia="仿宋_GB2312" w:cs="仿宋_GB2312"/>
                <w:color w:val="auto"/>
                <w:kern w:val="0"/>
                <w:sz w:val="28"/>
                <w:szCs w:val="28"/>
                <w:highlight w:val="none"/>
              </w:rPr>
              <w:t>过“国家企业信用信息公示系统”、“</w:t>
            </w:r>
            <w:r>
              <w:rPr>
                <w:rFonts w:hint="eastAsia" w:ascii="仿宋_GB2312" w:hAnsi="仿宋_GB2312" w:eastAsia="仿宋_GB2312" w:cs="仿宋_GB2312"/>
                <w:color w:val="auto"/>
                <w:sz w:val="28"/>
                <w:szCs w:val="28"/>
                <w:highlight w:val="none"/>
              </w:rPr>
              <w:t>信用中国”、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中国政府采购网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严重违法失信行为查询截图。</w:t>
            </w:r>
          </w:p>
          <w:p w14:paraId="262CBAA0">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kern w:val="0"/>
                <w:sz w:val="28"/>
                <w:szCs w:val="28"/>
                <w:highlight w:val="none"/>
              </w:rPr>
              <w:t>证明资料为相关查询结果截图</w:t>
            </w:r>
            <w:r>
              <w:rPr>
                <w:rFonts w:hint="eastAsia" w:ascii="仿宋_GB2312" w:hAnsi="仿宋_GB2312" w:eastAsia="仿宋_GB2312" w:cs="仿宋_GB2312"/>
                <w:color w:val="auto"/>
                <w:sz w:val="28"/>
                <w:szCs w:val="28"/>
                <w:highlight w:val="none"/>
              </w:rPr>
              <w:t>）</w:t>
            </w:r>
          </w:p>
        </w:tc>
      </w:tr>
      <w:tr w14:paraId="28C4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761" w:type="dxa"/>
            <w:vAlign w:val="center"/>
          </w:tcPr>
          <w:p w14:paraId="29558EA8">
            <w:pPr>
              <w:widowControl/>
              <w:adjustRightInd w:val="0"/>
              <w:snapToGrid w:val="0"/>
              <w:spacing w:before="80" w:after="8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w:t>
            </w:r>
          </w:p>
        </w:tc>
        <w:tc>
          <w:tcPr>
            <w:tcW w:w="1746" w:type="dxa"/>
            <w:vAlign w:val="center"/>
          </w:tcPr>
          <w:p w14:paraId="5EA6B7DC">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0D4C290E">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rPr>
            </w:pPr>
            <w:r>
              <w:rPr>
                <w:rFonts w:ascii="仿宋_GB2312" w:hAnsi="仿宋_GB2312" w:eastAsia="仿宋_GB2312" w:cs="仿宋_GB2312"/>
                <w:color w:val="auto"/>
                <w:kern w:val="0"/>
                <w:sz w:val="28"/>
                <w:szCs w:val="28"/>
                <w:highlight w:val="none"/>
              </w:rPr>
              <w:t>投标人</w:t>
            </w:r>
            <w:r>
              <w:rPr>
                <w:rFonts w:hint="eastAsia" w:ascii="仿宋_GB2312" w:hAnsi="仿宋_GB2312" w:eastAsia="仿宋_GB2312" w:cs="仿宋_GB2312"/>
                <w:color w:val="auto"/>
                <w:kern w:val="0"/>
                <w:sz w:val="28"/>
                <w:szCs w:val="28"/>
                <w:highlight w:val="none"/>
              </w:rPr>
              <w:t>结合自身情况，依据本招标文件要求，编写本项目</w:t>
            </w:r>
            <w:r>
              <w:rPr>
                <w:rFonts w:hint="eastAsia" w:ascii="仿宋_GB2312" w:hAnsi="仿宋_GB2312" w:eastAsia="仿宋_GB2312" w:cs="仿宋_GB2312"/>
                <w:color w:val="auto"/>
                <w:kern w:val="0"/>
                <w:sz w:val="28"/>
                <w:szCs w:val="28"/>
                <w:highlight w:val="none"/>
                <w:lang w:val="en-US" w:eastAsia="zh-CN"/>
              </w:rPr>
              <w:t>施工</w:t>
            </w:r>
            <w:r>
              <w:rPr>
                <w:rFonts w:hint="eastAsia" w:ascii="仿宋_GB2312" w:hAnsi="仿宋_GB2312" w:eastAsia="仿宋_GB2312" w:cs="仿宋_GB2312"/>
                <w:color w:val="auto"/>
                <w:kern w:val="0"/>
                <w:sz w:val="28"/>
                <w:szCs w:val="28"/>
                <w:highlight w:val="none"/>
              </w:rPr>
              <w:t>实施方案。</w:t>
            </w:r>
            <w:r>
              <w:rPr>
                <w:rFonts w:hint="eastAsia" w:ascii="仿宋_GB2312" w:hAnsi="仿宋_GB2312" w:eastAsia="仿宋_GB2312" w:cs="仿宋_GB2312"/>
                <w:color w:val="auto"/>
                <w:kern w:val="0"/>
                <w:sz w:val="28"/>
                <w:szCs w:val="28"/>
                <w:highlight w:val="none"/>
                <w:lang w:val="en-US" w:eastAsia="zh-CN"/>
              </w:rPr>
              <w:t>包括项目概况、管理架构、施工方法、施工组织、工期、资源配置、安全质量保证体系等方面。</w:t>
            </w:r>
          </w:p>
        </w:tc>
      </w:tr>
    </w:tbl>
    <w:p w14:paraId="013B20F9">
      <w:pPr>
        <w:pStyle w:val="26"/>
        <w:jc w:val="center"/>
        <w:rPr>
          <w:b/>
          <w:sz w:val="36"/>
          <w:szCs w:val="36"/>
        </w:rPr>
      </w:pPr>
    </w:p>
    <w:p w14:paraId="63F440BF">
      <w:pPr>
        <w:rPr>
          <w:b/>
          <w:sz w:val="36"/>
          <w:szCs w:val="36"/>
        </w:rPr>
      </w:pPr>
      <w:r>
        <w:rPr>
          <w:rFonts w:hint="eastAsia"/>
          <w:b/>
          <w:sz w:val="36"/>
          <w:szCs w:val="36"/>
        </w:rPr>
        <w:br w:type="page"/>
      </w:r>
    </w:p>
    <w:p w14:paraId="647D6D01">
      <w:pPr>
        <w:spacing w:after="120"/>
        <w:ind w:left="420" w:leftChars="200"/>
        <w:jc w:val="center"/>
        <w:rPr>
          <w:rFonts w:hint="eastAsia"/>
          <w:b/>
          <w:sz w:val="36"/>
          <w:szCs w:val="36"/>
        </w:rPr>
      </w:pPr>
    </w:p>
    <w:p w14:paraId="47114ABF">
      <w:pPr>
        <w:spacing w:after="120"/>
        <w:ind w:left="420" w:leftChars="200"/>
        <w:jc w:val="center"/>
        <w:rPr>
          <w:rFonts w:ascii="宋体" w:hAnsi="宋体" w:cs="宋体"/>
          <w:sz w:val="24"/>
          <w:szCs w:val="24"/>
        </w:rPr>
      </w:pPr>
      <w:r>
        <w:rPr>
          <w:rFonts w:hint="eastAsia"/>
          <w:b/>
          <w:sz w:val="36"/>
          <w:szCs w:val="36"/>
        </w:rPr>
        <w:t>第三章  合同文件</w:t>
      </w:r>
    </w:p>
    <w:bookmarkEnd w:id="18"/>
    <w:bookmarkEnd w:id="19"/>
    <w:bookmarkEnd w:id="20"/>
    <w:p w14:paraId="547CBD5F">
      <w:pPr>
        <w:spacing w:line="400" w:lineRule="exact"/>
        <w:jc w:val="right"/>
        <w:rPr>
          <w:rFonts w:hint="eastAsia" w:ascii="宋体" w:hAnsi="宋体"/>
          <w:b/>
          <w:bCs/>
        </w:rPr>
      </w:pPr>
      <w:bookmarkStart w:id="21" w:name="_Toc214203831"/>
      <w:bookmarkEnd w:id="21"/>
      <w:bookmarkStart w:id="22" w:name="_Toc509669699"/>
    </w:p>
    <w:p w14:paraId="7FB1FB6B">
      <w:pPr>
        <w:pStyle w:val="16"/>
        <w:spacing w:before="156"/>
        <w:rPr>
          <w:rFonts w:hint="eastAsia"/>
        </w:rPr>
      </w:pPr>
    </w:p>
    <w:p w14:paraId="6FA9A31E">
      <w:pPr>
        <w:spacing w:line="400" w:lineRule="exact"/>
        <w:rPr>
          <w:rFonts w:hint="eastAsia" w:ascii="宋体" w:hAnsi="宋体"/>
          <w:sz w:val="24"/>
          <w:szCs w:val="24"/>
        </w:rPr>
      </w:pPr>
      <w:r>
        <w:rPr>
          <w:rFonts w:hint="eastAsia" w:ascii="宋体" w:hAnsi="宋体"/>
          <w:b/>
          <w:bCs/>
        </w:rPr>
        <w:t xml:space="preserve">                                                        </w:t>
      </w:r>
      <w:r>
        <w:rPr>
          <w:rFonts w:hint="eastAsia" w:ascii="宋体" w:hAnsi="宋体"/>
          <w:sz w:val="24"/>
          <w:szCs w:val="24"/>
        </w:rPr>
        <w:t xml:space="preserve">  </w:t>
      </w:r>
      <w:r>
        <w:rPr>
          <w:rFonts w:hint="eastAsia" w:ascii="宋体" w:hAnsi="宋体"/>
          <w:sz w:val="28"/>
          <w:szCs w:val="28"/>
        </w:rPr>
        <w:t xml:space="preserve"> 合同编号：</w:t>
      </w:r>
      <w:r>
        <w:rPr>
          <w:rFonts w:hint="eastAsia" w:ascii="宋体" w:hAnsi="宋体"/>
          <w:sz w:val="24"/>
          <w:szCs w:val="24"/>
        </w:rPr>
        <w:t xml:space="preserve"> </w:t>
      </w:r>
    </w:p>
    <w:p w14:paraId="2527F4D2">
      <w:pPr>
        <w:spacing w:line="400" w:lineRule="exact"/>
        <w:rPr>
          <w:rFonts w:hint="eastAsia" w:ascii="宋体" w:hAnsi="宋体"/>
          <w:b/>
          <w:bCs/>
        </w:rPr>
      </w:pPr>
    </w:p>
    <w:p w14:paraId="0859F43B">
      <w:pPr>
        <w:spacing w:line="400" w:lineRule="exact"/>
        <w:rPr>
          <w:rFonts w:hint="eastAsia" w:ascii="宋体" w:hAnsi="宋体"/>
          <w:b/>
          <w:bCs/>
        </w:rPr>
      </w:pPr>
    </w:p>
    <w:p w14:paraId="1FC099A6">
      <w:pPr>
        <w:spacing w:line="400" w:lineRule="exact"/>
        <w:rPr>
          <w:rFonts w:hint="eastAsia" w:ascii="宋体" w:hAnsi="宋体"/>
          <w:b/>
          <w:bCs/>
        </w:rPr>
      </w:pPr>
    </w:p>
    <w:p w14:paraId="3E3B1140">
      <w:pPr>
        <w:spacing w:line="400" w:lineRule="exact"/>
        <w:rPr>
          <w:rFonts w:hint="eastAsia" w:ascii="宋体" w:hAnsi="宋体"/>
          <w:b/>
          <w:bCs/>
        </w:rPr>
      </w:pPr>
    </w:p>
    <w:p w14:paraId="7CE7D596">
      <w:pPr>
        <w:spacing w:line="400" w:lineRule="exact"/>
        <w:rPr>
          <w:rFonts w:hint="eastAsia" w:ascii="宋体" w:hAnsi="宋体"/>
        </w:rPr>
      </w:pPr>
    </w:p>
    <w:p w14:paraId="0245ED89">
      <w:pPr>
        <w:widowControl/>
        <w:snapToGrid w:val="0"/>
        <w:spacing w:line="360" w:lineRule="auto"/>
        <w:jc w:val="center"/>
        <w:outlineLvl w:val="0"/>
        <w:rPr>
          <w:rFonts w:hint="eastAsia" w:ascii="宋体" w:hAnsi="宋体" w:cs="宋体"/>
          <w:b/>
          <w:sz w:val="44"/>
          <w:szCs w:val="44"/>
        </w:rPr>
      </w:pPr>
      <w:bookmarkStart w:id="23" w:name="Sixfuhexing9"/>
      <w:bookmarkEnd w:id="23"/>
    </w:p>
    <w:p w14:paraId="28C9645A">
      <w:pPr>
        <w:widowControl/>
        <w:snapToGrid w:val="0"/>
        <w:spacing w:line="360" w:lineRule="auto"/>
        <w:jc w:val="center"/>
        <w:outlineLvl w:val="0"/>
        <w:rPr>
          <w:rFonts w:hint="eastAsia" w:ascii="宋体" w:hAnsi="宋体" w:cs="宋体"/>
          <w:b/>
          <w:sz w:val="44"/>
          <w:szCs w:val="44"/>
        </w:rPr>
      </w:pPr>
    </w:p>
    <w:p w14:paraId="2CE57DD8">
      <w:pPr>
        <w:widowControl/>
        <w:snapToGrid w:val="0"/>
        <w:spacing w:line="360" w:lineRule="auto"/>
        <w:ind w:firstLine="3092" w:firstLineChars="700"/>
        <w:outlineLvl w:val="0"/>
        <w:rPr>
          <w:rFonts w:hint="eastAsia" w:ascii="宋体" w:hAnsi="宋体" w:cs="宋体"/>
          <w:b/>
          <w:sz w:val="44"/>
          <w:szCs w:val="44"/>
        </w:rPr>
      </w:pPr>
      <w:r>
        <w:rPr>
          <w:rFonts w:hint="eastAsia" w:ascii="宋体" w:hAnsi="宋体" w:cs="宋体"/>
          <w:b/>
          <w:sz w:val="44"/>
          <w:szCs w:val="44"/>
        </w:rPr>
        <w:t>深圳市(装修)建设</w:t>
      </w:r>
    </w:p>
    <w:p w14:paraId="1FBBF039">
      <w:pPr>
        <w:widowControl/>
        <w:snapToGrid w:val="0"/>
        <w:spacing w:line="360" w:lineRule="auto"/>
        <w:jc w:val="center"/>
        <w:outlineLvl w:val="0"/>
        <w:rPr>
          <w:rFonts w:hint="eastAsia" w:ascii="宋体" w:hAnsi="宋体" w:cs="宋体"/>
          <w:b/>
          <w:kern w:val="36"/>
          <w:sz w:val="44"/>
          <w:szCs w:val="44"/>
        </w:rPr>
      </w:pPr>
      <w:r>
        <w:rPr>
          <w:rFonts w:hint="eastAsia" w:ascii="宋体" w:hAnsi="宋体" w:cs="宋体"/>
          <w:b/>
          <w:sz w:val="44"/>
          <w:szCs w:val="44"/>
        </w:rPr>
        <w:t>工程</w:t>
      </w:r>
      <w:r>
        <w:rPr>
          <w:rFonts w:hint="eastAsia" w:ascii="宋体" w:hAnsi="宋体" w:cs="宋体"/>
          <w:b/>
          <w:kern w:val="36"/>
          <w:sz w:val="44"/>
          <w:szCs w:val="44"/>
        </w:rPr>
        <w:t>施工合同</w:t>
      </w:r>
    </w:p>
    <w:p w14:paraId="42829007">
      <w:pPr>
        <w:widowControl/>
        <w:spacing w:line="720" w:lineRule="auto"/>
        <w:ind w:firstLine="420"/>
        <w:jc w:val="center"/>
        <w:rPr>
          <w:rFonts w:ascii="宋体" w:hAnsi="宋体"/>
          <w:b/>
          <w:sz w:val="44"/>
          <w:szCs w:val="44"/>
        </w:rPr>
      </w:pPr>
    </w:p>
    <w:p w14:paraId="4E215775">
      <w:pPr>
        <w:widowControl/>
        <w:spacing w:line="720" w:lineRule="auto"/>
        <w:ind w:firstLine="420"/>
        <w:jc w:val="center"/>
        <w:rPr>
          <w:rFonts w:ascii="宋体" w:hAnsi="宋体"/>
          <w:b/>
          <w:bCs/>
          <w:kern w:val="0"/>
          <w:sz w:val="28"/>
          <w:szCs w:val="28"/>
        </w:rPr>
      </w:pPr>
      <w:bookmarkStart w:id="24" w:name="_Toc260327127"/>
      <w:bookmarkEnd w:id="24"/>
      <w:bookmarkStart w:id="25" w:name="_Toc319652752"/>
      <w:bookmarkEnd w:id="25"/>
    </w:p>
    <w:p w14:paraId="5A731A51">
      <w:pPr>
        <w:widowControl/>
        <w:spacing w:line="720" w:lineRule="auto"/>
        <w:ind w:firstLine="420"/>
        <w:jc w:val="center"/>
        <w:rPr>
          <w:rFonts w:ascii="宋体" w:hAnsi="宋体"/>
          <w:b/>
          <w:bCs/>
          <w:kern w:val="0"/>
          <w:sz w:val="28"/>
          <w:szCs w:val="28"/>
        </w:rPr>
      </w:pPr>
    </w:p>
    <w:p w14:paraId="6378C413">
      <w:pPr>
        <w:adjustRightInd w:val="0"/>
        <w:snapToGrid w:val="0"/>
        <w:spacing w:line="600" w:lineRule="exact"/>
        <w:ind w:left="2065" w:leftChars="266" w:hanging="1506" w:hangingChars="500"/>
        <w:jc w:val="left"/>
        <w:rPr>
          <w:rFonts w:hint="eastAsia" w:ascii="宋体" w:hAnsi="宋体" w:cs="宋体"/>
          <w:b/>
          <w:bCs/>
          <w:sz w:val="30"/>
          <w:szCs w:val="30"/>
        </w:rPr>
      </w:pPr>
    </w:p>
    <w:p w14:paraId="4AF7C559">
      <w:pPr>
        <w:adjustRightInd w:val="0"/>
        <w:snapToGrid w:val="0"/>
        <w:spacing w:line="600" w:lineRule="exact"/>
        <w:ind w:left="2165" w:leftChars="266" w:hanging="1606" w:hangingChars="500"/>
        <w:jc w:val="left"/>
        <w:rPr>
          <w:rFonts w:hint="eastAsia" w:ascii="宋体" w:hAnsi="宋体" w:cs="宋体"/>
          <w:bCs/>
          <w:sz w:val="30"/>
          <w:szCs w:val="30"/>
          <w:u w:val="single"/>
        </w:rPr>
      </w:pPr>
      <w:r>
        <w:rPr>
          <w:rFonts w:hint="eastAsia" w:ascii="宋体" w:hAnsi="宋体" w:cs="宋体"/>
          <w:b/>
          <w:bCs/>
          <w:sz w:val="32"/>
          <w:szCs w:val="32"/>
        </w:rPr>
        <w:t>工程名称：</w:t>
      </w:r>
      <w:r>
        <w:rPr>
          <w:rFonts w:hint="eastAsia" w:ascii="宋体" w:hAnsi="宋体" w:cs="宋体"/>
          <w:bCs/>
          <w:sz w:val="30"/>
          <w:szCs w:val="30"/>
          <w:u w:val="single"/>
        </w:rPr>
        <w:t xml:space="preserve">智慧家园物业管理用房装修工程        </w:t>
      </w:r>
    </w:p>
    <w:p w14:paraId="30A9CD08">
      <w:pPr>
        <w:adjustRightInd w:val="0"/>
        <w:snapToGrid w:val="0"/>
        <w:spacing w:line="600" w:lineRule="exact"/>
        <w:ind w:left="2165" w:leftChars="266" w:hanging="1606" w:hangingChars="500"/>
        <w:jc w:val="left"/>
        <w:rPr>
          <w:rFonts w:hint="eastAsia" w:ascii="宋体" w:hAnsi="宋体" w:cs="宋体"/>
          <w:b/>
          <w:bCs/>
          <w:sz w:val="32"/>
          <w:szCs w:val="32"/>
        </w:rPr>
      </w:pPr>
      <w:r>
        <w:rPr>
          <w:rFonts w:hint="eastAsia" w:ascii="宋体" w:hAnsi="宋体" w:cs="宋体"/>
          <w:b/>
          <w:bCs/>
          <w:sz w:val="32"/>
          <w:szCs w:val="32"/>
        </w:rPr>
        <w:t xml:space="preserve">工程地点: </w:t>
      </w:r>
      <w:r>
        <w:rPr>
          <w:rFonts w:hint="eastAsia" w:ascii="宋体" w:hAnsi="宋体" w:cs="宋体"/>
          <w:bCs/>
          <w:sz w:val="30"/>
          <w:szCs w:val="30"/>
          <w:u w:val="single"/>
        </w:rPr>
        <w:t xml:space="preserve">深圳市龙岗区智慧家园          </w:t>
      </w:r>
      <w:r>
        <w:rPr>
          <w:rFonts w:hint="eastAsia" w:ascii="宋体" w:hAnsi="宋体" w:cs="宋体"/>
          <w:b/>
          <w:bCs/>
          <w:sz w:val="32"/>
          <w:szCs w:val="32"/>
        </w:rPr>
        <w:t xml:space="preserve"> </w:t>
      </w:r>
    </w:p>
    <w:p w14:paraId="2675418E">
      <w:pPr>
        <w:adjustRightInd w:val="0"/>
        <w:snapToGrid w:val="0"/>
        <w:spacing w:line="600" w:lineRule="exact"/>
        <w:ind w:left="2487" w:leftChars="266" w:hanging="1928" w:hangingChars="600"/>
        <w:jc w:val="left"/>
        <w:rPr>
          <w:rFonts w:ascii="宋体" w:hAnsi="宋体" w:cs="宋体"/>
          <w:b/>
          <w:bCs/>
          <w:sz w:val="32"/>
          <w:szCs w:val="32"/>
        </w:rPr>
      </w:pPr>
      <w:r>
        <w:rPr>
          <w:rFonts w:hint="eastAsia" w:ascii="宋体" w:hAnsi="宋体" w:cs="宋体"/>
          <w:b/>
          <w:bCs/>
          <w:sz w:val="32"/>
          <w:szCs w:val="32"/>
        </w:rPr>
        <w:t>发包人：</w:t>
      </w:r>
      <w:r>
        <w:rPr>
          <w:rFonts w:hint="eastAsia" w:ascii="宋体" w:hAnsi="宋体" w:cs="宋体"/>
          <w:bCs/>
          <w:sz w:val="30"/>
          <w:szCs w:val="30"/>
          <w:u w:val="single"/>
        </w:rPr>
        <w:t>深圳市龙岗区城市建</w:t>
      </w:r>
      <w:r>
        <w:rPr>
          <w:rFonts w:hint="eastAsia" w:ascii="宋体" w:hAnsi="宋体" w:cs="宋体"/>
          <w:bCs/>
          <w:sz w:val="30"/>
          <w:szCs w:val="30"/>
          <w:u w:val="single"/>
          <w:lang w:val="en-US" w:eastAsia="zh-CN"/>
        </w:rPr>
        <w:t>设</w:t>
      </w:r>
      <w:r>
        <w:rPr>
          <w:rFonts w:hint="eastAsia" w:ascii="宋体" w:hAnsi="宋体" w:cs="宋体"/>
          <w:bCs/>
          <w:sz w:val="30"/>
          <w:szCs w:val="30"/>
          <w:u w:val="single"/>
        </w:rPr>
        <w:t xml:space="preserve">投资集团有限公司    </w:t>
      </w:r>
    </w:p>
    <w:p w14:paraId="2E218FC7">
      <w:pPr>
        <w:adjustRightInd w:val="0"/>
        <w:snapToGrid w:val="0"/>
        <w:spacing w:line="600" w:lineRule="exact"/>
        <w:ind w:left="2165" w:leftChars="266" w:hanging="1606" w:hangingChars="500"/>
        <w:jc w:val="left"/>
        <w:rPr>
          <w:rFonts w:hint="eastAsia" w:ascii="宋体" w:hAnsi="宋体" w:cs="宋体"/>
          <w:b/>
          <w:bCs/>
          <w:sz w:val="32"/>
          <w:szCs w:val="32"/>
        </w:rPr>
      </w:pPr>
      <w:r>
        <w:rPr>
          <w:rFonts w:hint="eastAsia" w:ascii="宋体" w:hAnsi="宋体" w:cs="宋体"/>
          <w:b/>
          <w:bCs/>
          <w:sz w:val="32"/>
          <w:szCs w:val="32"/>
        </w:rPr>
        <w:t>承包人：________________________________________</w:t>
      </w:r>
    </w:p>
    <w:p w14:paraId="6938E9C9">
      <w:pPr>
        <w:rPr>
          <w:rFonts w:hint="eastAsia"/>
          <w:sz w:val="36"/>
          <w:szCs w:val="36"/>
        </w:rPr>
        <w:sectPr>
          <w:headerReference r:id="rId4" w:type="default"/>
          <w:footerReference r:id="rId5" w:type="default"/>
          <w:pgSz w:w="11906" w:h="16838"/>
          <w:pgMar w:top="1276" w:right="1351" w:bottom="1135" w:left="1414" w:header="851" w:footer="992" w:gutter="0"/>
          <w:cols w:space="720" w:num="1"/>
          <w:docGrid w:type="lines" w:linePitch="312" w:charSpace="0"/>
        </w:sectPr>
      </w:pPr>
      <w:bookmarkStart w:id="26" w:name="_Toc365391959"/>
    </w:p>
    <w:p w14:paraId="5F470325">
      <w:pPr>
        <w:pStyle w:val="44"/>
        <w:rPr>
          <w:rFonts w:hint="eastAsia"/>
        </w:rPr>
      </w:pPr>
    </w:p>
    <w:p w14:paraId="2EEAA387">
      <w:pPr>
        <w:pStyle w:val="5"/>
        <w:numPr>
          <w:ilvl w:val="1"/>
          <w:numId w:val="0"/>
        </w:numPr>
        <w:tabs>
          <w:tab w:val="left" w:pos="576"/>
          <w:tab w:val="clear" w:pos="720"/>
        </w:tabs>
        <w:adjustRightInd w:val="0"/>
        <w:snapToGrid w:val="0"/>
        <w:spacing w:before="120" w:line="700" w:lineRule="exact"/>
        <w:ind w:left="791" w:hanging="791" w:hangingChars="179"/>
        <w:rPr>
          <w:rFonts w:hint="eastAsia" w:ascii="宋体" w:hAnsi="宋体" w:cs="宋体"/>
          <w:sz w:val="44"/>
          <w:szCs w:val="44"/>
        </w:rPr>
      </w:pPr>
      <w:r>
        <w:rPr>
          <w:rFonts w:hint="eastAsia" w:ascii="宋体" w:hAnsi="宋体" w:cs="宋体"/>
          <w:sz w:val="44"/>
          <w:szCs w:val="44"/>
        </w:rPr>
        <w:t xml:space="preserve">                  目   录</w:t>
      </w:r>
    </w:p>
    <w:p w14:paraId="233B2FF5">
      <w:pPr>
        <w:pStyle w:val="5"/>
        <w:numPr>
          <w:ilvl w:val="0"/>
          <w:numId w:val="0"/>
        </w:numPr>
        <w:tabs>
          <w:tab w:val="left" w:pos="576"/>
          <w:tab w:val="left" w:pos="1680"/>
          <w:tab w:val="clear" w:pos="720"/>
        </w:tabs>
        <w:adjustRightInd w:val="0"/>
        <w:snapToGrid w:val="0"/>
        <w:spacing w:before="120" w:line="700" w:lineRule="exact"/>
        <w:ind w:firstLine="643" w:firstLineChars="200"/>
        <w:rPr>
          <w:rFonts w:hint="eastAsia" w:ascii="宋体" w:hAnsi="宋体" w:cs="宋体"/>
        </w:rPr>
      </w:pPr>
      <w:r>
        <w:rPr>
          <w:rFonts w:hint="eastAsia" w:ascii="宋体" w:hAnsi="宋体" w:cs="宋体"/>
        </w:rPr>
        <w:t>第一部分 合同条款………………………………………</w:t>
      </w:r>
    </w:p>
    <w:p w14:paraId="23995B58">
      <w:pPr>
        <w:pStyle w:val="5"/>
        <w:numPr>
          <w:ilvl w:val="0"/>
          <w:numId w:val="0"/>
        </w:numPr>
        <w:tabs>
          <w:tab w:val="left" w:pos="576"/>
          <w:tab w:val="left" w:pos="1680"/>
          <w:tab w:val="clear" w:pos="720"/>
        </w:tabs>
        <w:adjustRightInd w:val="0"/>
        <w:snapToGrid w:val="0"/>
        <w:spacing w:before="120" w:line="700" w:lineRule="exact"/>
        <w:ind w:firstLine="643" w:firstLineChars="200"/>
        <w:rPr>
          <w:rFonts w:hint="eastAsia" w:ascii="宋体" w:hAnsi="宋体" w:cs="宋体"/>
        </w:rPr>
      </w:pPr>
      <w:r>
        <w:rPr>
          <w:rFonts w:hint="eastAsia" w:ascii="宋体" w:hAnsi="宋体" w:cs="宋体"/>
        </w:rPr>
        <w:t>第二部分 澄清文件………………………………………</w:t>
      </w:r>
    </w:p>
    <w:p w14:paraId="7065B2D6">
      <w:pPr>
        <w:pStyle w:val="5"/>
        <w:numPr>
          <w:ilvl w:val="0"/>
          <w:numId w:val="0"/>
        </w:numPr>
        <w:tabs>
          <w:tab w:val="left" w:pos="576"/>
          <w:tab w:val="left" w:pos="1680"/>
          <w:tab w:val="clear" w:pos="720"/>
        </w:tabs>
        <w:adjustRightInd w:val="0"/>
        <w:snapToGrid w:val="0"/>
        <w:spacing w:before="120" w:line="700" w:lineRule="exact"/>
        <w:ind w:firstLine="643" w:firstLineChars="200"/>
        <w:rPr>
          <w:rFonts w:hint="eastAsia" w:ascii="宋体" w:hAnsi="宋体" w:cs="宋体"/>
        </w:rPr>
      </w:pPr>
      <w:r>
        <w:rPr>
          <w:rFonts w:hint="eastAsia" w:ascii="宋体" w:hAnsi="宋体" w:cs="宋体"/>
        </w:rPr>
        <w:t>第三部分 委托文件………………………………………</w:t>
      </w:r>
    </w:p>
    <w:p w14:paraId="72CB1044">
      <w:pPr>
        <w:pStyle w:val="5"/>
        <w:numPr>
          <w:ilvl w:val="0"/>
          <w:numId w:val="0"/>
        </w:numPr>
        <w:tabs>
          <w:tab w:val="left" w:pos="576"/>
          <w:tab w:val="left" w:pos="1680"/>
          <w:tab w:val="clear" w:pos="720"/>
        </w:tabs>
        <w:adjustRightInd w:val="0"/>
        <w:snapToGrid w:val="0"/>
        <w:spacing w:before="120" w:line="700" w:lineRule="exact"/>
        <w:ind w:firstLine="643" w:firstLineChars="200"/>
        <w:rPr>
          <w:rFonts w:hint="eastAsia" w:ascii="宋体" w:hAnsi="宋体" w:cs="宋体"/>
        </w:rPr>
      </w:pPr>
      <w:r>
        <w:rPr>
          <w:rFonts w:hint="eastAsia" w:ascii="宋体" w:hAnsi="宋体" w:cs="宋体"/>
        </w:rPr>
        <w:t>第四部分 合同附件………………………………………</w:t>
      </w:r>
    </w:p>
    <w:p w14:paraId="0056D3D6">
      <w:pPr>
        <w:pStyle w:val="44"/>
        <w:rPr>
          <w:rFonts w:hint="eastAsia"/>
        </w:rPr>
        <w:sectPr>
          <w:footerReference r:id="rId6" w:type="default"/>
          <w:pgSz w:w="11906" w:h="16838"/>
          <w:pgMar w:top="1276" w:right="1351" w:bottom="1135" w:left="1414" w:header="851" w:footer="992" w:gutter="0"/>
          <w:pgNumType w:start="1"/>
          <w:cols w:space="720" w:num="1"/>
          <w:docGrid w:type="lines" w:linePitch="312" w:charSpace="0"/>
        </w:sectPr>
      </w:pPr>
    </w:p>
    <w:p w14:paraId="7ED0D756">
      <w:pPr>
        <w:pStyle w:val="25"/>
        <w:rPr>
          <w:rFonts w:hint="eastAsia"/>
          <w:sz w:val="36"/>
          <w:szCs w:val="36"/>
        </w:rPr>
      </w:pPr>
      <w:r>
        <w:rPr>
          <w:rFonts w:hint="eastAsia"/>
          <w:sz w:val="36"/>
          <w:szCs w:val="36"/>
        </w:rPr>
        <w:t>第一部分 合同条款</w:t>
      </w:r>
    </w:p>
    <w:bookmarkEnd w:id="26"/>
    <w:p w14:paraId="3D71CC2D">
      <w:pPr>
        <w:adjustRightInd w:val="0"/>
        <w:snapToGrid w:val="0"/>
        <w:spacing w:line="540" w:lineRule="exact"/>
        <w:rPr>
          <w:rFonts w:hint="eastAsia" w:ascii="宋体" w:hAnsi="宋体"/>
          <w:sz w:val="24"/>
          <w:szCs w:val="24"/>
        </w:rPr>
      </w:pPr>
      <w:r>
        <w:rPr>
          <w:rFonts w:hint="eastAsia" w:ascii="宋体" w:hAnsi="宋体"/>
          <w:sz w:val="24"/>
          <w:szCs w:val="24"/>
        </w:rPr>
        <w:t xml:space="preserve">     </w:t>
      </w:r>
    </w:p>
    <w:p w14:paraId="66C0B780">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sz w:val="24"/>
          <w:szCs w:val="24"/>
        </w:rPr>
        <w:t xml:space="preserve">依据《中华人民共和国民法典》及其他有关法律、法规，遵循平等、自愿、公平和诚实信用的原则，发包人、承包人双方经友好协商，就 </w:t>
      </w:r>
      <w:r>
        <w:rPr>
          <w:rFonts w:hint="eastAsia" w:ascii="宋体" w:hAnsi="宋体"/>
          <w:sz w:val="24"/>
          <w:szCs w:val="24"/>
          <w:u w:val="single"/>
        </w:rPr>
        <w:t xml:space="preserve">智慧家园项目物业管理用房装修工程  </w:t>
      </w:r>
      <w:r>
        <w:rPr>
          <w:rFonts w:hint="eastAsia" w:ascii="宋体" w:hAnsi="宋体"/>
          <w:sz w:val="24"/>
          <w:szCs w:val="24"/>
        </w:rPr>
        <w:t>事宜达成一致，为确保工程质量、工期及质保工作，保证双方的权利和明确各自的责任和义务，</w:t>
      </w:r>
      <w:r>
        <w:rPr>
          <w:rFonts w:hint="eastAsia" w:ascii="宋体" w:hAnsi="宋体" w:cs="宋体"/>
          <w:kern w:val="0"/>
          <w:sz w:val="24"/>
          <w:szCs w:val="24"/>
        </w:rPr>
        <w:t>达成以下协议，具体条款如下：</w:t>
      </w:r>
    </w:p>
    <w:p w14:paraId="4696344A">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一、工程内容</w:t>
      </w:r>
    </w:p>
    <w:p w14:paraId="397E4B76">
      <w:pPr>
        <w:pStyle w:val="163"/>
        <w:spacing w:line="360" w:lineRule="auto"/>
        <w:ind w:firstLine="480"/>
        <w:rPr>
          <w:rFonts w:ascii="宋体" w:hAnsi="宋体"/>
          <w:sz w:val="24"/>
        </w:rPr>
      </w:pPr>
      <w:r>
        <w:rPr>
          <w:rFonts w:hint="eastAsia" w:ascii="宋体" w:hAnsi="宋体"/>
          <w:sz w:val="24"/>
        </w:rPr>
        <w:t>工程名称：</w:t>
      </w:r>
      <w:r>
        <w:rPr>
          <w:rFonts w:hint="eastAsia" w:ascii="宋体" w:hAnsi="宋体"/>
          <w:sz w:val="24"/>
          <w:u w:val="single"/>
        </w:rPr>
        <w:t xml:space="preserve">智慧家园项目物业管理用房装修工程施工 </w:t>
      </w:r>
    </w:p>
    <w:p w14:paraId="2D0A7F8F">
      <w:pPr>
        <w:pStyle w:val="163"/>
        <w:spacing w:line="360" w:lineRule="auto"/>
        <w:ind w:firstLine="480"/>
        <w:rPr>
          <w:rFonts w:hint="eastAsia" w:ascii="宋体" w:hAnsi="宋体"/>
          <w:sz w:val="24"/>
          <w:u w:val="single"/>
        </w:rPr>
      </w:pPr>
      <w:r>
        <w:rPr>
          <w:rFonts w:hint="eastAsia" w:ascii="宋体" w:hAnsi="宋体"/>
          <w:sz w:val="24"/>
        </w:rPr>
        <w:t>工程地点：</w:t>
      </w:r>
      <w:r>
        <w:rPr>
          <w:rFonts w:hint="eastAsia" w:ascii="宋体" w:hAnsi="宋体"/>
          <w:sz w:val="24"/>
          <w:u w:val="single"/>
        </w:rPr>
        <w:t xml:space="preserve"> 位于龙岗区智慧家园</w:t>
      </w:r>
      <w:r>
        <w:rPr>
          <w:rFonts w:hint="eastAsia" w:ascii="宋体" w:hAnsi="宋体"/>
          <w:sz w:val="24"/>
        </w:rPr>
        <w:t xml:space="preserve"> </w:t>
      </w:r>
    </w:p>
    <w:p w14:paraId="3A49AE32">
      <w:pPr>
        <w:pStyle w:val="163"/>
        <w:spacing w:line="360" w:lineRule="auto"/>
        <w:ind w:firstLine="480"/>
        <w:rPr>
          <w:rFonts w:hint="eastAsia" w:ascii="宋体" w:hAnsi="宋体"/>
          <w:sz w:val="24"/>
          <w:u w:val="single"/>
        </w:rPr>
      </w:pPr>
      <w:r>
        <w:rPr>
          <w:rFonts w:hint="eastAsia" w:ascii="宋体" w:hAnsi="宋体"/>
          <w:sz w:val="24"/>
        </w:rPr>
        <w:t>工程规模及特征：</w:t>
      </w:r>
      <w:r>
        <w:rPr>
          <w:rFonts w:hint="eastAsia" w:ascii="宋体" w:hAnsi="宋体"/>
          <w:sz w:val="24"/>
          <w:u w:val="single"/>
        </w:rPr>
        <w:t xml:space="preserve">智慧家园1栋A座201单元进行装饰装修改造，建筑面积为859.99平方米（其中装修范围面积约505㎡）。    </w:t>
      </w:r>
    </w:p>
    <w:p w14:paraId="0398BFD2">
      <w:pPr>
        <w:pStyle w:val="163"/>
        <w:spacing w:line="540" w:lineRule="exact"/>
        <w:ind w:firstLine="480"/>
        <w:rPr>
          <w:rFonts w:hint="eastAsia" w:ascii="宋体" w:hAnsi="宋体"/>
          <w:sz w:val="24"/>
          <w:u w:val="single"/>
        </w:rPr>
      </w:pPr>
      <w:r>
        <w:rPr>
          <w:rFonts w:hint="eastAsia" w:ascii="宋体" w:hAnsi="宋体"/>
          <w:sz w:val="24"/>
        </w:rPr>
        <w:t>工作内容：</w:t>
      </w:r>
      <w:r>
        <w:rPr>
          <w:rFonts w:hint="eastAsia" w:ascii="宋体" w:hAnsi="宋体"/>
          <w:sz w:val="24"/>
          <w:u w:val="single"/>
        </w:rPr>
        <w:t xml:space="preserve"> 智慧家园1栋A座201单元装修施工，包括但不限于拆除及新建隔断墙、天地墙装饰、电气工程、暖通工程、消防工程、竣工调试、相关报批报建手续办理、竣工图编制等。</w:t>
      </w:r>
    </w:p>
    <w:p w14:paraId="0A6C33D6">
      <w:pPr>
        <w:adjustRightInd w:val="0"/>
        <w:snapToGrid w:val="0"/>
        <w:spacing w:line="540" w:lineRule="exact"/>
        <w:ind w:firstLine="482" w:firstLineChars="200"/>
        <w:rPr>
          <w:rFonts w:ascii="宋体" w:hAnsi="宋体"/>
          <w:sz w:val="24"/>
          <w:szCs w:val="24"/>
        </w:rPr>
      </w:pPr>
      <w:r>
        <w:rPr>
          <w:rFonts w:hint="eastAsia" w:ascii="宋体" w:hAnsi="宋体"/>
          <w:b/>
          <w:sz w:val="24"/>
          <w:szCs w:val="24"/>
        </w:rPr>
        <w:t>备注：具体工作内容依据施工设计图纸开展，最终以通过竣工验收为准</w:t>
      </w:r>
      <w:r>
        <w:rPr>
          <w:rFonts w:hint="eastAsia" w:ascii="宋体" w:hAnsi="宋体"/>
          <w:sz w:val="24"/>
          <w:szCs w:val="24"/>
        </w:rPr>
        <w:t>。</w:t>
      </w:r>
    </w:p>
    <w:p w14:paraId="533FFFE3">
      <w:pPr>
        <w:pStyle w:val="163"/>
        <w:spacing w:line="360" w:lineRule="auto"/>
        <w:ind w:firstLine="480"/>
        <w:rPr>
          <w:rFonts w:hint="eastAsia" w:ascii="宋体" w:hAnsi="宋体"/>
          <w:sz w:val="24"/>
        </w:rPr>
      </w:pPr>
      <w:r>
        <w:rPr>
          <w:rFonts w:hint="eastAsia" w:ascii="宋体" w:hAnsi="宋体"/>
          <w:sz w:val="24"/>
        </w:rPr>
        <w:t>资金来源：财政投入</w:t>
      </w:r>
      <w:r>
        <w:rPr>
          <w:rFonts w:hint="eastAsia" w:ascii="宋体" w:hAnsi="宋体"/>
          <w:sz w:val="24"/>
          <w:u w:val="single"/>
        </w:rPr>
        <w:t xml:space="preserve">    </w:t>
      </w:r>
      <w:r>
        <w:rPr>
          <w:rFonts w:hint="eastAsia" w:ascii="宋体" w:hAnsi="宋体"/>
          <w:sz w:val="24"/>
        </w:rPr>
        <w:t>%；国有资本</w:t>
      </w:r>
      <w:r>
        <w:rPr>
          <w:rFonts w:hint="eastAsia" w:ascii="宋体" w:hAnsi="宋体"/>
          <w:sz w:val="24"/>
          <w:u w:val="single"/>
        </w:rPr>
        <w:t xml:space="preserve"> 100 </w:t>
      </w:r>
      <w:r>
        <w:rPr>
          <w:rFonts w:hint="eastAsia" w:ascii="宋体" w:hAnsi="宋体"/>
          <w:sz w:val="24"/>
        </w:rPr>
        <w:t>%；集体资本</w:t>
      </w:r>
      <w:r>
        <w:rPr>
          <w:rFonts w:hint="eastAsia" w:ascii="宋体" w:hAnsi="宋体"/>
          <w:sz w:val="24"/>
          <w:u w:val="single"/>
        </w:rPr>
        <w:t xml:space="preserve">    </w:t>
      </w:r>
      <w:r>
        <w:rPr>
          <w:rFonts w:hint="eastAsia" w:ascii="宋体" w:hAnsi="宋体"/>
          <w:sz w:val="24"/>
        </w:rPr>
        <w:t>%；民营资本</w:t>
      </w:r>
      <w:r>
        <w:rPr>
          <w:rFonts w:hint="eastAsia" w:ascii="宋体" w:hAnsi="宋体"/>
          <w:sz w:val="24"/>
          <w:u w:val="single"/>
        </w:rPr>
        <w:t xml:space="preserve">    </w:t>
      </w:r>
      <w:r>
        <w:rPr>
          <w:rFonts w:hint="eastAsia" w:ascii="宋体" w:hAnsi="宋体"/>
          <w:sz w:val="24"/>
        </w:rPr>
        <w:t>%；外商投资</w:t>
      </w:r>
      <w:r>
        <w:rPr>
          <w:rFonts w:hint="eastAsia" w:ascii="宋体" w:hAnsi="宋体"/>
          <w:sz w:val="24"/>
          <w:u w:val="single"/>
        </w:rPr>
        <w:t xml:space="preserve">    </w:t>
      </w:r>
      <w:r>
        <w:rPr>
          <w:rFonts w:hint="eastAsia" w:ascii="宋体" w:hAnsi="宋体"/>
          <w:sz w:val="24"/>
        </w:rPr>
        <w:t>%；混合经济</w:t>
      </w:r>
      <w:r>
        <w:rPr>
          <w:rFonts w:hint="eastAsia" w:ascii="宋体" w:hAnsi="宋体"/>
          <w:sz w:val="24"/>
          <w:u w:val="single"/>
        </w:rPr>
        <w:t xml:space="preserve">     </w:t>
      </w:r>
      <w:r>
        <w:rPr>
          <w:rFonts w:hint="eastAsia" w:ascii="宋体" w:hAnsi="宋体"/>
          <w:sz w:val="24"/>
        </w:rPr>
        <w:t>%； 其他</w:t>
      </w:r>
      <w:r>
        <w:rPr>
          <w:rFonts w:hint="eastAsia" w:ascii="宋体" w:hAnsi="宋体"/>
          <w:sz w:val="24"/>
          <w:u w:val="single"/>
        </w:rPr>
        <w:t xml:space="preserve">     </w:t>
      </w:r>
      <w:r>
        <w:rPr>
          <w:rFonts w:hint="eastAsia" w:ascii="宋体" w:hAnsi="宋体"/>
          <w:sz w:val="24"/>
        </w:rPr>
        <w:t>%。</w:t>
      </w:r>
    </w:p>
    <w:p w14:paraId="2992B1CA">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二、合同工期</w:t>
      </w:r>
    </w:p>
    <w:p w14:paraId="47081834">
      <w:pPr>
        <w:adjustRightInd w:val="0"/>
        <w:snapToGrid w:val="0"/>
        <w:spacing w:line="540" w:lineRule="exact"/>
        <w:ind w:firstLine="480" w:firstLineChars="200"/>
        <w:rPr>
          <w:rFonts w:hint="eastAsia" w:ascii="宋体" w:hAnsi="宋体"/>
          <w:sz w:val="24"/>
          <w:szCs w:val="24"/>
        </w:rPr>
      </w:pPr>
      <w:r>
        <w:rPr>
          <w:rFonts w:hint="eastAsia" w:ascii="宋体" w:hAnsi="宋体"/>
          <w:sz w:val="24"/>
          <w:szCs w:val="24"/>
        </w:rPr>
        <w:t>工期_60_日历天，暂定</w:t>
      </w:r>
      <w:r>
        <w:rPr>
          <w:rFonts w:hint="eastAsia" w:ascii="宋体" w:hAnsi="宋体"/>
          <w:sz w:val="24"/>
          <w:szCs w:val="24"/>
          <w:u w:val="single"/>
        </w:rPr>
        <w:t>2025年5月15日</w:t>
      </w:r>
      <w:r>
        <w:rPr>
          <w:rFonts w:hint="eastAsia" w:ascii="宋体" w:hAnsi="宋体"/>
          <w:sz w:val="24"/>
          <w:szCs w:val="24"/>
        </w:rPr>
        <w:t>至</w:t>
      </w:r>
      <w:r>
        <w:rPr>
          <w:rFonts w:hint="eastAsia" w:ascii="宋体" w:hAnsi="宋体"/>
          <w:sz w:val="24"/>
          <w:szCs w:val="24"/>
          <w:u w:val="single"/>
        </w:rPr>
        <w:t>2025年7月13日</w:t>
      </w:r>
      <w:r>
        <w:rPr>
          <w:rFonts w:hint="eastAsia" w:ascii="宋体" w:hAnsi="宋体"/>
          <w:sz w:val="24"/>
          <w:szCs w:val="24"/>
        </w:rPr>
        <w:t>，具体以开工令或发包人的开工通知为准。</w:t>
      </w:r>
    </w:p>
    <w:p w14:paraId="18AAD123">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三、工程质量：</w:t>
      </w:r>
    </w:p>
    <w:p w14:paraId="1E234BF6">
      <w:pPr>
        <w:adjustRightInd w:val="0"/>
        <w:snapToGrid w:val="0"/>
        <w:spacing w:line="540" w:lineRule="exact"/>
        <w:ind w:firstLine="480" w:firstLineChars="200"/>
        <w:rPr>
          <w:rFonts w:hint="eastAsia" w:ascii="宋体" w:hAnsi="宋体"/>
          <w:sz w:val="24"/>
          <w:szCs w:val="24"/>
        </w:rPr>
      </w:pPr>
      <w:r>
        <w:rPr>
          <w:rFonts w:hint="eastAsia" w:ascii="宋体" w:hAnsi="宋体"/>
          <w:sz w:val="24"/>
          <w:szCs w:val="24"/>
        </w:rPr>
        <w:t>承包人须严格按照国家及地方相关规范标准、设计图纸、双方确认的施工方案的要求，达到合格标准。</w:t>
      </w:r>
    </w:p>
    <w:p w14:paraId="5F200EFA">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四、合同价款及结算原则：</w:t>
      </w:r>
    </w:p>
    <w:p w14:paraId="183D4BCF">
      <w:pPr>
        <w:adjustRightInd w:val="0"/>
        <w:snapToGrid w:val="0"/>
        <w:spacing w:line="540" w:lineRule="exact"/>
        <w:ind w:firstLine="480" w:firstLineChars="200"/>
        <w:rPr>
          <w:rFonts w:hint="eastAsia" w:ascii="宋体" w:hAnsi="宋体"/>
          <w:sz w:val="24"/>
          <w:szCs w:val="24"/>
        </w:rPr>
      </w:pPr>
      <w:r>
        <w:rPr>
          <w:rFonts w:hint="eastAsia" w:ascii="宋体" w:hAnsi="宋体" w:cs="宋体"/>
          <w:kern w:val="0"/>
          <w:sz w:val="24"/>
          <w:szCs w:val="24"/>
        </w:rPr>
        <w:t>1、</w:t>
      </w:r>
      <w:r>
        <w:rPr>
          <w:rFonts w:hint="eastAsia" w:ascii="宋体" w:hAnsi="宋体"/>
          <w:sz w:val="24"/>
          <w:szCs w:val="24"/>
        </w:rPr>
        <w:t>合同暂定价款为</w:t>
      </w:r>
      <w:r>
        <w:rPr>
          <w:rFonts w:hint="eastAsia" w:ascii="宋体" w:hAnsi="宋体"/>
          <w:sz w:val="24"/>
          <w:szCs w:val="24"/>
          <w:u w:val="single"/>
        </w:rPr>
        <w:t xml:space="preserve">¥          </w:t>
      </w:r>
      <w:r>
        <w:rPr>
          <w:rFonts w:hint="eastAsia" w:ascii="宋体" w:hAnsi="宋体"/>
          <w:sz w:val="24"/>
          <w:szCs w:val="24"/>
        </w:rPr>
        <w:t>万元（含税）（人民币：_________________），其中暂列金________________万元，安全文明施工措施费______________万元。</w:t>
      </w:r>
    </w:p>
    <w:p w14:paraId="13E06095">
      <w:pPr>
        <w:adjustRightInd w:val="0"/>
        <w:snapToGrid w:val="0"/>
        <w:spacing w:line="540" w:lineRule="exact"/>
        <w:ind w:firstLine="482" w:firstLineChars="200"/>
        <w:rPr>
          <w:rFonts w:ascii="宋体" w:hAnsi="宋体"/>
          <w:b/>
          <w:sz w:val="24"/>
          <w:szCs w:val="24"/>
          <w:highlight w:val="none"/>
        </w:rPr>
      </w:pPr>
      <w:r>
        <w:rPr>
          <w:rFonts w:hint="eastAsia" w:ascii="宋体" w:hAnsi="宋体"/>
          <w:b/>
          <w:bCs/>
          <w:sz w:val="24"/>
          <w:szCs w:val="24"/>
        </w:rPr>
        <w:t>2、本合同采用固定单价的合同形式，最终结算价款以相关结算审核部门审定的金额为准（如有）。</w:t>
      </w:r>
    </w:p>
    <w:p w14:paraId="0D4DFECC">
      <w:pPr>
        <w:adjustRightInd w:val="0"/>
        <w:snapToGrid w:val="0"/>
        <w:spacing w:line="540" w:lineRule="exact"/>
        <w:ind w:firstLine="480" w:firstLineChars="200"/>
        <w:rPr>
          <w:rFonts w:ascii="宋体" w:hAnsi="宋体" w:cs="宋体"/>
          <w:kern w:val="0"/>
          <w:sz w:val="24"/>
          <w:szCs w:val="24"/>
        </w:rPr>
      </w:pPr>
      <w:r>
        <w:rPr>
          <w:rFonts w:ascii="宋体" w:hAnsi="宋体" w:cs="宋体"/>
          <w:kern w:val="0"/>
          <w:sz w:val="24"/>
          <w:szCs w:val="24"/>
        </w:rPr>
        <w:t>3、本项目中标下浮率_____。</w:t>
      </w:r>
    </w:p>
    <w:p w14:paraId="56B95F5D">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4、变更工程价款的确定：</w:t>
      </w:r>
    </w:p>
    <w:p w14:paraId="531B17AD">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（1）合同中已有适用于变更工程的项目单价，按合同已有的项目单价确定变更价款；</w:t>
      </w:r>
    </w:p>
    <w:p w14:paraId="0540EF01">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（2）合同中只有类似于变更工程的项目单价，可以参照类似项目单价确定变更价款；</w:t>
      </w:r>
    </w:p>
    <w:p w14:paraId="65A4CE00">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3）合同中没有使用或类似于变更工程的项目单价，由发包人和承包人根据工程变更资料、工程造价管理部门发布的计价标准、价格信息及本工程净下浮率等资料，按施工期间深圳市建设工程造价管理站发布的《价格信息》中的平均价格计算。对于《价格信息》中没有的材料、设备，承包人应通过公开询价方式确定，结算时以</w:t>
      </w:r>
      <w:r>
        <w:rPr>
          <w:rFonts w:hint="eastAsia" w:ascii="宋体" w:hAnsi="宋体"/>
          <w:b/>
          <w:bCs/>
          <w:sz w:val="24"/>
          <w:szCs w:val="24"/>
        </w:rPr>
        <w:t>相关结算审核部门审定的金额为准（如有）</w:t>
      </w:r>
    </w:p>
    <w:p w14:paraId="03779488">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5、承包方式：本工程采用包工包料方式。</w:t>
      </w:r>
    </w:p>
    <w:p w14:paraId="353B66F5">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 xml:space="preserve">五、付款方式： </w:t>
      </w:r>
    </w:p>
    <w:p w14:paraId="4E014D31">
      <w:pPr>
        <w:pStyle w:val="115"/>
        <w:spacing w:before="0" w:line="560" w:lineRule="exact"/>
        <w:ind w:left="0" w:firstLine="480" w:firstLineChars="200"/>
        <w:rPr>
          <w:rFonts w:hint="eastAsia" w:ascii="宋体" w:hAnsi="宋体" w:eastAsia="宋体"/>
          <w:sz w:val="24"/>
          <w:szCs w:val="24"/>
          <w:u w:val="single"/>
        </w:rPr>
      </w:pPr>
      <w:r>
        <w:rPr>
          <w:rFonts w:hint="eastAsia" w:ascii="宋体" w:hAnsi="宋体" w:eastAsia="宋体" w:cs="Times New Roman"/>
          <w:sz w:val="24"/>
          <w:szCs w:val="24"/>
          <w:u w:val="single"/>
        </w:rPr>
        <w:t>本项目预付款为合同暂定价款（不含暂列金额）的10%，</w:t>
      </w:r>
      <w:r>
        <w:rPr>
          <w:rFonts w:hint="eastAsia" w:ascii="宋体" w:hAnsi="宋体" w:eastAsia="宋体"/>
          <w:sz w:val="24"/>
          <w:szCs w:val="24"/>
          <w:u w:val="single"/>
        </w:rPr>
        <w:t>项目全部完工后支付至合同暂定价款（不含暂列金额）的70%；竣工结算完成后支付至相关审核部门（如有）审定结算价款的97%；剩余3%为质量保证金，在工程缺陷责任期满（2年）后支付。</w:t>
      </w:r>
    </w:p>
    <w:p w14:paraId="2D404CB0">
      <w:pPr>
        <w:adjustRightInd w:val="0"/>
        <w:snapToGrid w:val="0"/>
        <w:spacing w:line="540" w:lineRule="exact"/>
        <w:ind w:firstLine="480" w:firstLineChars="200"/>
        <w:rPr>
          <w:rFonts w:hint="eastAsia" w:ascii="宋体" w:hAnsi="宋体"/>
          <w:sz w:val="24"/>
          <w:szCs w:val="24"/>
          <w:u w:val="single"/>
        </w:rPr>
      </w:pPr>
      <w:r>
        <w:rPr>
          <w:rFonts w:hint="eastAsia" w:ascii="宋体" w:hAnsi="宋体"/>
          <w:sz w:val="24"/>
          <w:szCs w:val="24"/>
          <w:u w:val="single"/>
        </w:rPr>
        <w:t>备注：不要求预付款保函和履约保函。</w:t>
      </w:r>
    </w:p>
    <w:p w14:paraId="66F24F2E">
      <w:pPr>
        <w:adjustRightInd w:val="0"/>
        <w:snapToGrid w:val="0"/>
        <w:spacing w:line="54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六、乙购设备（材料）管理要求</w:t>
      </w:r>
    </w:p>
    <w:p w14:paraId="262C2DCE">
      <w:pPr>
        <w:pStyle w:val="2"/>
        <w:rPr>
          <w:rFonts w:hint="eastAsia" w:hAnsi="宋体"/>
          <w:sz w:val="24"/>
          <w:szCs w:val="24"/>
          <w:highlight w:val="none"/>
          <w:u w:val="single"/>
        </w:rPr>
      </w:pPr>
      <w:r>
        <w:rPr>
          <w:rFonts w:hint="eastAsia" w:hAnsi="宋体"/>
          <w:sz w:val="24"/>
          <w:szCs w:val="24"/>
          <w:highlight w:val="none"/>
          <w:u w:val="single"/>
        </w:rPr>
        <w:t>乙购设备（材料）管理要求详附件。</w:t>
      </w:r>
    </w:p>
    <w:p w14:paraId="51F23FDB">
      <w:pPr>
        <w:adjustRightInd w:val="0"/>
        <w:snapToGrid w:val="0"/>
        <w:spacing w:line="54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七、工程保险</w:t>
      </w:r>
    </w:p>
    <w:p w14:paraId="30D69B29">
      <w:pPr>
        <w:adjustRightInd w:val="0"/>
        <w:snapToGrid w:val="0"/>
        <w:spacing w:line="5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发包人委托承包人购买建筑工程一切险、安装工程一切险和第三者责任险。</w:t>
      </w:r>
      <w:r>
        <w:rPr>
          <w:rFonts w:hint="eastAsia" w:ascii="宋体" w:hAnsi="宋体" w:cs="宋体"/>
          <w:kern w:val="0"/>
          <w:sz w:val="24"/>
          <w:szCs w:val="24"/>
        </w:rPr>
        <w:t>保险期间为自开工之日起至竣工验收合格止，</w:t>
      </w:r>
      <w:r>
        <w:rPr>
          <w:rFonts w:hint="eastAsia" w:ascii="宋体" w:hAnsi="宋体" w:cs="宋体"/>
          <w:kern w:val="0"/>
          <w:sz w:val="24"/>
          <w:szCs w:val="24"/>
          <w:highlight w:val="none"/>
        </w:rPr>
        <w:t>该部分费用实报实销，且不超过</w:t>
      </w:r>
      <w:r>
        <w:rPr>
          <w:rFonts w:ascii="宋体" w:hAnsi="宋体" w:cs="宋体"/>
          <w:kern w:val="0"/>
          <w:sz w:val="24"/>
          <w:szCs w:val="24"/>
          <w:highlight w:val="none"/>
        </w:rPr>
        <w:t>投标金额</w:t>
      </w:r>
      <w:r>
        <w:rPr>
          <w:rFonts w:hint="eastAsia" w:ascii="宋体" w:hAnsi="宋体" w:cs="宋体"/>
          <w:kern w:val="0"/>
          <w:sz w:val="24"/>
          <w:szCs w:val="24"/>
          <w:highlight w:val="none"/>
        </w:rPr>
        <w:t>。</w:t>
      </w:r>
    </w:p>
    <w:p w14:paraId="4E4AC1A1">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八、工程验收(含验收标准)</w:t>
      </w:r>
    </w:p>
    <w:p w14:paraId="46482036">
      <w:pPr>
        <w:adjustRightInd w:val="0"/>
        <w:snapToGrid w:val="0"/>
        <w:spacing w:line="540" w:lineRule="exact"/>
        <w:ind w:firstLine="480" w:firstLineChars="200"/>
        <w:rPr>
          <w:rFonts w:ascii="宋体" w:hAnsi="宋体" w:cs="宋体"/>
          <w:kern w:val="0"/>
          <w:sz w:val="24"/>
          <w:szCs w:val="24"/>
        </w:rPr>
      </w:pPr>
      <w:r>
        <w:rPr>
          <w:rFonts w:ascii="宋体" w:hAnsi="宋体" w:cs="宋体"/>
          <w:kern w:val="0"/>
          <w:sz w:val="24"/>
          <w:szCs w:val="24"/>
        </w:rPr>
        <w:t>1、当该工程完工后，由</w:t>
      </w:r>
      <w:r>
        <w:rPr>
          <w:rFonts w:hint="eastAsia" w:ascii="宋体" w:hAnsi="宋体" w:cs="宋体"/>
          <w:kern w:val="0"/>
          <w:sz w:val="24"/>
          <w:szCs w:val="24"/>
        </w:rPr>
        <w:t>承包人</w:t>
      </w:r>
      <w:r>
        <w:rPr>
          <w:rFonts w:ascii="宋体" w:hAnsi="宋体" w:cs="宋体"/>
          <w:kern w:val="0"/>
          <w:sz w:val="24"/>
          <w:szCs w:val="24"/>
        </w:rPr>
        <w:t>向</w:t>
      </w:r>
      <w:r>
        <w:rPr>
          <w:rFonts w:hint="eastAsia" w:ascii="宋体" w:hAnsi="宋体" w:cs="宋体"/>
          <w:kern w:val="0"/>
          <w:sz w:val="24"/>
          <w:szCs w:val="24"/>
        </w:rPr>
        <w:t>发包人</w:t>
      </w:r>
      <w:r>
        <w:rPr>
          <w:rFonts w:ascii="宋体" w:hAnsi="宋体" w:cs="宋体"/>
          <w:kern w:val="0"/>
          <w:sz w:val="24"/>
          <w:szCs w:val="24"/>
        </w:rPr>
        <w:t>提出书面竣工验收申请。</w:t>
      </w:r>
      <w:r>
        <w:rPr>
          <w:rFonts w:hint="eastAsia" w:ascii="宋体" w:hAnsi="宋体" w:cs="宋体"/>
          <w:kern w:val="0"/>
          <w:sz w:val="24"/>
          <w:szCs w:val="24"/>
        </w:rPr>
        <w:t>发包人</w:t>
      </w:r>
      <w:r>
        <w:rPr>
          <w:rFonts w:ascii="宋体" w:hAnsi="宋体" w:cs="宋体"/>
          <w:kern w:val="0"/>
          <w:sz w:val="24"/>
          <w:szCs w:val="24"/>
        </w:rPr>
        <w:t>应安排验收工作，并告知</w:t>
      </w:r>
      <w:r>
        <w:rPr>
          <w:rFonts w:hint="eastAsia" w:ascii="宋体" w:hAnsi="宋体" w:cs="宋体"/>
          <w:kern w:val="0"/>
          <w:sz w:val="24"/>
          <w:szCs w:val="24"/>
        </w:rPr>
        <w:t>承包人</w:t>
      </w:r>
      <w:r>
        <w:rPr>
          <w:rFonts w:ascii="宋体" w:hAnsi="宋体" w:cs="宋体"/>
          <w:kern w:val="0"/>
          <w:sz w:val="24"/>
          <w:szCs w:val="24"/>
        </w:rPr>
        <w:t>参加验收。</w:t>
      </w:r>
    </w:p>
    <w:p w14:paraId="4ED19272">
      <w:pPr>
        <w:adjustRightInd w:val="0"/>
        <w:snapToGrid w:val="0"/>
        <w:spacing w:line="540" w:lineRule="exact"/>
        <w:ind w:firstLine="480" w:firstLineChars="200"/>
        <w:rPr>
          <w:rFonts w:ascii="宋体" w:hAnsi="宋体" w:cs="宋体"/>
          <w:kern w:val="0"/>
          <w:sz w:val="24"/>
          <w:szCs w:val="24"/>
        </w:rPr>
      </w:pPr>
      <w:r>
        <w:rPr>
          <w:rFonts w:ascii="宋体" w:hAnsi="宋体" w:cs="宋体"/>
          <w:kern w:val="0"/>
          <w:sz w:val="24"/>
          <w:szCs w:val="24"/>
        </w:rPr>
        <w:t>2、工程未经验收，</w:t>
      </w:r>
      <w:r>
        <w:rPr>
          <w:rFonts w:hint="eastAsia" w:ascii="宋体" w:hAnsi="宋体" w:cs="宋体"/>
          <w:kern w:val="0"/>
          <w:sz w:val="24"/>
          <w:szCs w:val="24"/>
        </w:rPr>
        <w:t>发包人</w:t>
      </w:r>
      <w:r>
        <w:rPr>
          <w:rFonts w:ascii="宋体" w:hAnsi="宋体" w:cs="宋体"/>
          <w:kern w:val="0"/>
          <w:sz w:val="24"/>
          <w:szCs w:val="24"/>
        </w:rPr>
        <w:t>若需启用，须与</w:t>
      </w:r>
      <w:r>
        <w:rPr>
          <w:rFonts w:hint="eastAsia" w:ascii="宋体" w:hAnsi="宋体" w:cs="宋体"/>
          <w:kern w:val="0"/>
          <w:sz w:val="24"/>
          <w:szCs w:val="24"/>
        </w:rPr>
        <w:t>承包人</w:t>
      </w:r>
      <w:r>
        <w:rPr>
          <w:rFonts w:ascii="宋体" w:hAnsi="宋体" w:cs="宋体"/>
          <w:kern w:val="0"/>
          <w:sz w:val="24"/>
          <w:szCs w:val="24"/>
        </w:rPr>
        <w:t>协商，经同意方可使用。若未经</w:t>
      </w:r>
      <w:r>
        <w:rPr>
          <w:rFonts w:hint="eastAsia" w:ascii="宋体" w:hAnsi="宋体" w:cs="宋体"/>
          <w:kern w:val="0"/>
          <w:sz w:val="24"/>
          <w:szCs w:val="24"/>
        </w:rPr>
        <w:t>承包人</w:t>
      </w:r>
      <w:r>
        <w:rPr>
          <w:rFonts w:ascii="宋体" w:hAnsi="宋体" w:cs="宋体"/>
          <w:kern w:val="0"/>
          <w:sz w:val="24"/>
          <w:szCs w:val="24"/>
        </w:rPr>
        <w:t>同意启用，将视为通过验收。</w:t>
      </w:r>
    </w:p>
    <w:p w14:paraId="3E34D083">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3、因承包人提供的材料、设备质量不合格而影响工程质量，由此造成的全部直接和间接损失由承包人承担；因承包人施工质量问题造成材料、设备的损坏，其全部直接和间接损失由承包人承担。</w:t>
      </w:r>
    </w:p>
    <w:p w14:paraId="48FC0C6F">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4、工程质量验收不合格，经整改后，另行验收，整改费用由承包人承担。整改后仍不合格，发包人可要求承包人继续整改，整改费用由承包人承担，也可解除合同，承包人离场并向发包人赔偿不合格项目导致的直接和间接损失。</w:t>
      </w:r>
    </w:p>
    <w:p w14:paraId="1E5094D9">
      <w:pPr>
        <w:adjustRightInd w:val="0"/>
        <w:snapToGrid w:val="0"/>
        <w:spacing w:line="540" w:lineRule="exact"/>
        <w:ind w:firstLine="480" w:firstLineChars="200"/>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、整个工程</w:t>
      </w:r>
      <w:r>
        <w:rPr>
          <w:rFonts w:hint="eastAsia" w:ascii="宋体" w:hAnsi="宋体" w:cs="宋体"/>
          <w:kern w:val="0"/>
          <w:sz w:val="24"/>
          <w:szCs w:val="24"/>
        </w:rPr>
        <w:t>经发包人书面</w:t>
      </w:r>
      <w:r>
        <w:rPr>
          <w:rFonts w:ascii="宋体" w:hAnsi="宋体" w:cs="宋体"/>
          <w:kern w:val="0"/>
          <w:sz w:val="24"/>
          <w:szCs w:val="24"/>
        </w:rPr>
        <w:t>验收合格</w:t>
      </w:r>
      <w:r>
        <w:rPr>
          <w:rFonts w:hint="eastAsia" w:ascii="宋体" w:hAnsi="宋体" w:cs="宋体"/>
          <w:kern w:val="0"/>
          <w:sz w:val="24"/>
          <w:szCs w:val="24"/>
        </w:rPr>
        <w:t>后</w:t>
      </w:r>
      <w:r>
        <w:rPr>
          <w:rFonts w:ascii="宋体" w:hAnsi="宋体" w:cs="宋体"/>
          <w:kern w:val="0"/>
          <w:sz w:val="24"/>
          <w:szCs w:val="24"/>
        </w:rPr>
        <w:t>，则通过工程竣工验收的当天即为竣工日期。</w:t>
      </w:r>
    </w:p>
    <w:p w14:paraId="60833E72">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九、双方的权利义务：</w:t>
      </w:r>
    </w:p>
    <w:p w14:paraId="4598C86C">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（一）发包人权利、义务</w:t>
      </w:r>
    </w:p>
    <w:p w14:paraId="32FDE312">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发包人指派_______为发包人代表，负责协调解决承包人负责的各项事宜和合同履行。</w:t>
      </w:r>
    </w:p>
    <w:p w14:paraId="4A40393D">
      <w:pPr>
        <w:adjustRightInd w:val="0"/>
        <w:snapToGrid w:val="0"/>
        <w:spacing w:line="540" w:lineRule="exact"/>
        <w:ind w:firstLine="480" w:firstLineChars="200"/>
        <w:rPr>
          <w:rFonts w:ascii="宋体" w:hAnsi="宋体" w:cs="宋体"/>
          <w:kern w:val="0"/>
          <w:sz w:val="24"/>
          <w:szCs w:val="24"/>
        </w:rPr>
      </w:pPr>
      <w:r>
        <w:rPr>
          <w:rFonts w:hint="eastAsia" w:ascii="宋体" w:hAnsi="宋体" w:cs="宋体"/>
          <w:kern w:val="0"/>
          <w:sz w:val="24"/>
          <w:szCs w:val="24"/>
        </w:rPr>
        <w:t>（1）负责本工程的监督，积极协调施工配合关系。</w:t>
      </w:r>
    </w:p>
    <w:p w14:paraId="400ACE28">
      <w:pPr>
        <w:adjustRightInd w:val="0"/>
        <w:snapToGrid w:val="0"/>
        <w:spacing w:line="540" w:lineRule="exact"/>
        <w:ind w:firstLine="480" w:firstLineChars="200"/>
        <w:rPr>
          <w:rFonts w:ascii="宋体" w:hAnsi="宋体" w:cs="宋体"/>
          <w:kern w:val="0"/>
          <w:sz w:val="24"/>
          <w:szCs w:val="24"/>
        </w:rPr>
      </w:pPr>
      <w:r>
        <w:rPr>
          <w:rFonts w:hint="eastAsia" w:ascii="宋体" w:hAnsi="宋体" w:cs="宋体"/>
          <w:kern w:val="0"/>
          <w:sz w:val="24"/>
          <w:szCs w:val="24"/>
        </w:rPr>
        <w:t>（2）负责对承包人进度、安装质量、安全保护、综合管理的监督。</w:t>
      </w:r>
    </w:p>
    <w:p w14:paraId="73DF20D7">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（3）提供有利施工的现场条件。</w:t>
      </w:r>
    </w:p>
    <w:p w14:paraId="7DB2081D">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（4）审核工程计划进度表。</w:t>
      </w:r>
    </w:p>
    <w:p w14:paraId="6B33F055">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（5）负责对图纸、方案的审核、确认，负责对工程进度、工程质量、隐蔽工程、配套工程和合同执行情况进行监督检查及设计图纸变更签证，工程中间验收和其他必要的签证。</w:t>
      </w:r>
    </w:p>
    <w:p w14:paraId="1A82356F">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（6）负责组织竣工验收工作，在收到承包人提交所有竣工资料后15天内组织验收。</w:t>
      </w:r>
    </w:p>
    <w:p w14:paraId="122249E2">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（7）按合同向承包人支付本合同规定的价款。</w:t>
      </w:r>
    </w:p>
    <w:p w14:paraId="66E06A10">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（二）承包人权利、义务</w:t>
      </w:r>
    </w:p>
    <w:p w14:paraId="3A0EDF24">
      <w:pPr>
        <w:adjustRightInd w:val="0"/>
        <w:snapToGrid w:val="0"/>
        <w:spacing w:line="540" w:lineRule="exact"/>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1）由承包人在目前设计文件的基础上免费进行深化设计，缩短设计与施工环节中的衔接时间，且深化设计需取得发包人批准，如有必要承包人可组织专家论证对深化设计图纸进行论证，承包人深化设计成果存在缺陷导致工程质量问题的，承包人应无条件整改并赔偿发包人因此遭受的直接和间接损失。</w:t>
      </w:r>
    </w:p>
    <w:p w14:paraId="73AB91E5">
      <w:pPr>
        <w:adjustRightInd w:val="0"/>
        <w:snapToGrid w:val="0"/>
        <w:spacing w:line="540" w:lineRule="exact"/>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（2）严格按经发包人批准的设计图施工，质量技术指标符合工程的各类标准和规范的要求。</w:t>
      </w:r>
    </w:p>
    <w:p w14:paraId="7B0F0603">
      <w:pPr>
        <w:adjustRightInd w:val="0"/>
        <w:snapToGrid w:val="0"/>
        <w:spacing w:line="540" w:lineRule="exact"/>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（3）施工中发现问题及时向发包人报告并提出解决方案。</w:t>
      </w:r>
    </w:p>
    <w:p w14:paraId="0388995F">
      <w:pPr>
        <w:adjustRightInd w:val="0"/>
        <w:snapToGrid w:val="0"/>
        <w:spacing w:line="540" w:lineRule="exact"/>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（4）编制施工组织方案，施工总进度计划，材料进场计划，开竣工通知书等，及时送发包人。</w:t>
      </w:r>
    </w:p>
    <w:p w14:paraId="492B7B6B">
      <w:pPr>
        <w:adjustRightInd w:val="0"/>
        <w:snapToGrid w:val="0"/>
        <w:spacing w:line="540" w:lineRule="exact"/>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（5）提供竣工验收技术资料，并准备竣工技术图纸，办理工程竣工结算，参加竣工验收。竣工资料应满足发包人要求。</w:t>
      </w:r>
    </w:p>
    <w:p w14:paraId="7C09F60C">
      <w:pPr>
        <w:adjustRightInd w:val="0"/>
        <w:snapToGrid w:val="0"/>
        <w:spacing w:line="540" w:lineRule="exact"/>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（6）组织有技术水平的施工队伍，明确现场技术及施工负责人、主要管理人员，技术人员不得随意变动。</w:t>
      </w:r>
    </w:p>
    <w:p w14:paraId="67469827">
      <w:pPr>
        <w:adjustRightInd w:val="0"/>
        <w:snapToGrid w:val="0"/>
        <w:spacing w:line="540" w:lineRule="exact"/>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（7）</w:t>
      </w:r>
      <w:r>
        <w:rPr>
          <w:rFonts w:hint="eastAsia" w:ascii="宋体" w:hAnsi="宋体" w:cs="宋体"/>
          <w:kern w:val="0"/>
          <w:sz w:val="24"/>
          <w:szCs w:val="24"/>
          <w:lang w:bidi="ar"/>
        </w:rPr>
        <w:fldChar w:fldCharType="begin"/>
      </w:r>
      <w:r>
        <w:rPr>
          <w:rFonts w:hint="eastAsia" w:ascii="宋体" w:hAnsi="宋体" w:cs="宋体"/>
          <w:kern w:val="0"/>
          <w:sz w:val="24"/>
          <w:szCs w:val="24"/>
          <w:lang w:bidi="ar"/>
        </w:rPr>
        <w:instrText xml:space="preserve"> HYPERLINK "http://www.86exp.com/hetong/" </w:instrText>
      </w:r>
      <w:r>
        <w:rPr>
          <w:rFonts w:hint="eastAsia" w:ascii="宋体" w:hAnsi="宋体" w:cs="宋体"/>
          <w:kern w:val="0"/>
          <w:sz w:val="24"/>
          <w:szCs w:val="24"/>
          <w:lang w:bidi="ar"/>
        </w:rPr>
        <w:fldChar w:fldCharType="separate"/>
      </w:r>
      <w:r>
        <w:rPr>
          <w:rFonts w:hint="eastAsia" w:ascii="宋体" w:hAnsi="宋体" w:cs="宋体"/>
          <w:kern w:val="0"/>
          <w:sz w:val="24"/>
          <w:szCs w:val="24"/>
          <w:lang w:bidi="ar"/>
        </w:rPr>
        <w:t>承包人</w:t>
      </w:r>
      <w:r>
        <w:rPr>
          <w:rFonts w:hint="eastAsia" w:ascii="宋体" w:hAnsi="宋体" w:cs="宋体"/>
          <w:kern w:val="0"/>
          <w:sz w:val="24"/>
          <w:szCs w:val="24"/>
          <w:lang w:bidi="ar"/>
        </w:rPr>
        <w:fldChar w:fldCharType="end"/>
      </w:r>
      <w:r>
        <w:rPr>
          <w:rFonts w:hint="eastAsia" w:ascii="宋体" w:hAnsi="宋体" w:cs="宋体"/>
          <w:kern w:val="0"/>
          <w:sz w:val="24"/>
          <w:szCs w:val="24"/>
          <w:lang w:bidi="ar"/>
        </w:rPr>
        <w:t>有权要求</w:t>
      </w:r>
      <w:r>
        <w:rPr>
          <w:rFonts w:hint="eastAsia" w:ascii="宋体" w:hAnsi="宋体" w:cs="宋体"/>
          <w:kern w:val="0"/>
          <w:sz w:val="24"/>
          <w:szCs w:val="24"/>
          <w:lang w:bidi="ar"/>
        </w:rPr>
        <w:fldChar w:fldCharType="begin"/>
      </w:r>
      <w:r>
        <w:rPr>
          <w:rFonts w:hint="eastAsia" w:ascii="宋体" w:hAnsi="宋体" w:cs="宋体"/>
          <w:kern w:val="0"/>
          <w:sz w:val="24"/>
          <w:szCs w:val="24"/>
          <w:lang w:bidi="ar"/>
        </w:rPr>
        <w:instrText xml:space="preserve"> HYPERLINK "http://www.86exp.com/hetong/" </w:instrText>
      </w:r>
      <w:r>
        <w:rPr>
          <w:rFonts w:hint="eastAsia" w:ascii="宋体" w:hAnsi="宋体" w:cs="宋体"/>
          <w:kern w:val="0"/>
          <w:sz w:val="24"/>
          <w:szCs w:val="24"/>
          <w:lang w:bidi="ar"/>
        </w:rPr>
        <w:fldChar w:fldCharType="separate"/>
      </w:r>
      <w:r>
        <w:rPr>
          <w:rFonts w:hint="eastAsia" w:ascii="宋体" w:hAnsi="宋体" w:cs="宋体"/>
          <w:kern w:val="0"/>
          <w:sz w:val="24"/>
          <w:szCs w:val="24"/>
          <w:lang w:bidi="ar"/>
        </w:rPr>
        <w:t>发包人</w:t>
      </w:r>
      <w:r>
        <w:rPr>
          <w:rFonts w:hint="eastAsia" w:ascii="宋体" w:hAnsi="宋体" w:cs="宋体"/>
          <w:kern w:val="0"/>
          <w:sz w:val="24"/>
          <w:szCs w:val="24"/>
          <w:lang w:bidi="ar"/>
        </w:rPr>
        <w:fldChar w:fldCharType="end"/>
      </w:r>
      <w:r>
        <w:rPr>
          <w:rFonts w:hint="eastAsia" w:ascii="宋体" w:hAnsi="宋体" w:cs="宋体"/>
          <w:kern w:val="0"/>
          <w:sz w:val="24"/>
          <w:szCs w:val="24"/>
          <w:lang w:bidi="ar"/>
        </w:rPr>
        <w:t>提供有关资料供</w:t>
      </w:r>
      <w:r>
        <w:rPr>
          <w:rFonts w:hint="eastAsia" w:ascii="宋体" w:hAnsi="宋体" w:cs="宋体"/>
          <w:kern w:val="0"/>
          <w:sz w:val="24"/>
          <w:szCs w:val="24"/>
          <w:lang w:bidi="ar"/>
        </w:rPr>
        <w:fldChar w:fldCharType="begin"/>
      </w:r>
      <w:r>
        <w:rPr>
          <w:rFonts w:hint="eastAsia" w:ascii="宋体" w:hAnsi="宋体" w:cs="宋体"/>
          <w:kern w:val="0"/>
          <w:sz w:val="24"/>
          <w:szCs w:val="24"/>
          <w:lang w:bidi="ar"/>
        </w:rPr>
        <w:instrText xml:space="preserve"> HYPERLINK "http://www.86exp.com/hetong/" </w:instrText>
      </w:r>
      <w:r>
        <w:rPr>
          <w:rFonts w:hint="eastAsia" w:ascii="宋体" w:hAnsi="宋体" w:cs="宋体"/>
          <w:kern w:val="0"/>
          <w:sz w:val="24"/>
          <w:szCs w:val="24"/>
          <w:lang w:bidi="ar"/>
        </w:rPr>
        <w:fldChar w:fldCharType="separate"/>
      </w:r>
      <w:r>
        <w:rPr>
          <w:rFonts w:hint="eastAsia" w:ascii="宋体" w:hAnsi="宋体" w:cs="宋体"/>
          <w:kern w:val="0"/>
          <w:sz w:val="24"/>
          <w:szCs w:val="24"/>
          <w:lang w:bidi="ar"/>
        </w:rPr>
        <w:t>承包人</w:t>
      </w:r>
      <w:r>
        <w:rPr>
          <w:rFonts w:hint="eastAsia" w:ascii="宋体" w:hAnsi="宋体" w:cs="宋体"/>
          <w:kern w:val="0"/>
          <w:sz w:val="24"/>
          <w:szCs w:val="24"/>
          <w:lang w:bidi="ar"/>
        </w:rPr>
        <w:fldChar w:fldCharType="end"/>
      </w:r>
      <w:r>
        <w:rPr>
          <w:rFonts w:hint="eastAsia" w:ascii="宋体" w:hAnsi="宋体" w:cs="宋体"/>
          <w:kern w:val="0"/>
          <w:sz w:val="24"/>
          <w:szCs w:val="24"/>
          <w:lang w:bidi="ar"/>
        </w:rPr>
        <w:t>深化设计参考。</w:t>
      </w:r>
    </w:p>
    <w:p w14:paraId="0D965550">
      <w:pPr>
        <w:adjustRightInd w:val="0"/>
        <w:snapToGrid w:val="0"/>
        <w:spacing w:line="540" w:lineRule="exact"/>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（8）本项目为装修工程，施工过程中承包人应遵照发包人及物业的要求进行成品保护，保护费用含在综合单价中，请承包人合理考虑，发包人不再单列。</w:t>
      </w:r>
    </w:p>
    <w:p w14:paraId="5A9F0CD8">
      <w:pPr>
        <w:adjustRightInd w:val="0"/>
        <w:snapToGrid w:val="0"/>
        <w:spacing w:line="540" w:lineRule="exact"/>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（9）承包人需按设计或发包人提供的材料样板进行选材并经发包人确认封样后方可采购；承包人需按设计或发包人要求的范围进行样板段施工，发包人验收通过后以此为标准展开后续施工。</w:t>
      </w:r>
    </w:p>
    <w:p w14:paraId="2517B22A">
      <w:pPr>
        <w:adjustRightInd w:val="0"/>
        <w:snapToGrid w:val="0"/>
        <w:spacing w:line="540" w:lineRule="exact"/>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（10）承包人在施工过程中安全文明施工应满足现行法律法规要求，发生重大伤亡及其他安全事故，承包人应通知监理人并按相关规定立即上报政府有关部门，同时按政府有关部门要求处理。</w:t>
      </w:r>
    </w:p>
    <w:p w14:paraId="1160D347">
      <w:pPr>
        <w:pStyle w:val="16"/>
        <w:spacing w:before="156"/>
        <w:rPr>
          <w:rFonts w:hint="eastAsia" w:ascii="宋体" w:hAnsi="宋体" w:cs="宋体"/>
          <w:bCs w:val="0"/>
          <w:kern w:val="0"/>
          <w:sz w:val="24"/>
          <w:szCs w:val="24"/>
          <w:lang w:bidi="ar"/>
        </w:rPr>
      </w:pPr>
      <w:r>
        <w:rPr>
          <w:rFonts w:hint="eastAsia" w:ascii="宋体" w:hAnsi="宋体" w:cs="宋体"/>
          <w:kern w:val="0"/>
          <w:sz w:val="24"/>
          <w:szCs w:val="24"/>
          <w:lang w:bidi="ar"/>
        </w:rPr>
        <w:t>（</w:t>
      </w:r>
      <w:r>
        <w:rPr>
          <w:rFonts w:hint="eastAsia" w:ascii="宋体" w:hAnsi="宋体" w:cs="宋体"/>
          <w:bCs w:val="0"/>
          <w:kern w:val="0"/>
          <w:sz w:val="24"/>
          <w:szCs w:val="24"/>
          <w:lang w:bidi="ar"/>
        </w:rPr>
        <w:t>11）本工程所有水电接驳等工作由承包人负责，费用已含报价中，承包人统一收取水电费用并及时支付给相应供水供电部门，否则因水电费用逾期支付造成的停水停电等一切损失由承包人负责。承包人在工程移交前必须向相关部门结清工程所发生的所有用水、用电、通讯等费用。</w:t>
      </w:r>
    </w:p>
    <w:p w14:paraId="23824F41">
      <w:pPr>
        <w:pStyle w:val="16"/>
        <w:spacing w:before="156"/>
        <w:rPr>
          <w:rFonts w:hint="eastAsia" w:ascii="宋体" w:hAnsi="宋体" w:cs="宋体"/>
          <w:kern w:val="0"/>
          <w:sz w:val="24"/>
          <w:szCs w:val="24"/>
          <w:lang w:bidi="ar"/>
        </w:rPr>
      </w:pPr>
      <w:r>
        <w:rPr>
          <w:rFonts w:hint="eastAsia" w:ascii="宋体" w:hAnsi="宋体" w:cs="宋体"/>
          <w:kern w:val="0"/>
          <w:sz w:val="24"/>
          <w:szCs w:val="24"/>
          <w:lang w:bidi="ar"/>
        </w:rPr>
        <w:t>（12）承包人进场施工前，应会同监理对原主体内容进行仔细复核，发现问题及时告知发包人及监理，若未及时复核，后期不得提出因原主体施工质量引起的精装修质量问题。</w:t>
      </w:r>
    </w:p>
    <w:p w14:paraId="195CF804">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十、服务条款:</w:t>
      </w:r>
    </w:p>
    <w:p w14:paraId="3C9C92E4">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1、质量缺陷保修期从工程竣工报告签署之日起算，双方约定本工程质量缺陷保修期为2年</w:t>
      </w:r>
      <w:r>
        <w:rPr>
          <w:rFonts w:ascii="宋体" w:hAnsi="宋体" w:cs="宋体"/>
          <w:kern w:val="0"/>
          <w:sz w:val="24"/>
          <w:szCs w:val="24"/>
        </w:rPr>
        <w:t>（</w:t>
      </w:r>
      <w:r>
        <w:rPr>
          <w:rFonts w:hint="eastAsia" w:ascii="宋体" w:hAnsi="宋体" w:cs="宋体"/>
          <w:kern w:val="0"/>
          <w:sz w:val="24"/>
          <w:szCs w:val="24"/>
          <w:shd w:val="clear" w:color="auto" w:fill="FFFFFF"/>
          <w:lang w:bidi="ar"/>
        </w:rPr>
        <w:t>屋面防水工程、有防水要求的卫生间、房间和外墙面的防渗漏</w:t>
      </w:r>
      <w:r>
        <w:rPr>
          <w:rFonts w:ascii="宋体" w:hAnsi="宋体" w:cs="宋体"/>
          <w:kern w:val="0"/>
          <w:sz w:val="24"/>
          <w:szCs w:val="24"/>
          <w:lang w:bidi="ar"/>
        </w:rPr>
        <w:t>的</w:t>
      </w:r>
      <w:r>
        <w:rPr>
          <w:rFonts w:hint="eastAsia" w:ascii="宋体" w:hAnsi="宋体" w:cs="宋体"/>
          <w:kern w:val="0"/>
          <w:sz w:val="24"/>
          <w:szCs w:val="24"/>
        </w:rPr>
        <w:t>工程质量缺陷保修期</w:t>
      </w:r>
      <w:r>
        <w:rPr>
          <w:rFonts w:hint="eastAsia" w:ascii="宋体" w:hAnsi="宋体" w:cs="宋体"/>
          <w:kern w:val="0"/>
          <w:sz w:val="24"/>
          <w:szCs w:val="24"/>
          <w:shd w:val="clear" w:color="auto" w:fill="FFFFFF"/>
          <w:lang w:bidi="ar"/>
        </w:rPr>
        <w:t>为5年</w:t>
      </w:r>
      <w:r>
        <w:rPr>
          <w:rFonts w:ascii="宋体" w:hAnsi="宋体" w:cs="宋体"/>
          <w:kern w:val="0"/>
          <w:sz w:val="24"/>
          <w:szCs w:val="24"/>
        </w:rPr>
        <w:t>）</w:t>
      </w:r>
      <w:r>
        <w:rPr>
          <w:rFonts w:hint="eastAsia" w:ascii="宋体" w:hAnsi="宋体" w:cs="宋体"/>
          <w:kern w:val="0"/>
          <w:sz w:val="24"/>
          <w:szCs w:val="24"/>
        </w:rPr>
        <w:t>。</w:t>
      </w:r>
    </w:p>
    <w:p w14:paraId="194064A8">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2、承包人应办理本项目的保险事项，包括建筑工程一切险及安装工程一切险；第三者责任险。</w:t>
      </w:r>
    </w:p>
    <w:p w14:paraId="41DAC132">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3、承包人必须为从事危险作业的职工办理意外伤害保险，并为施工场地内的自有人员生命财产及施工机械设备办理保险，支付保险费用。</w:t>
      </w:r>
    </w:p>
    <w:p w14:paraId="024B8839">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4、凡属承包人提供的产品本身或施工质量等原因造成工程范围部件损坏、失效，均属承包人保修责任范围。</w:t>
      </w:r>
    </w:p>
    <w:p w14:paraId="592814A3">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5、保修期间，若发生需要维修的情况，承包人应在接到发包人通知后24小时内派人处理，所产生的费用均由承包人承担；未按时派人上门修理，发包人可委托第三方单位或人员修理，其费用由承包人支付。</w:t>
      </w:r>
    </w:p>
    <w:p w14:paraId="2BD47D0F">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十一、违约责任：</w:t>
      </w:r>
    </w:p>
    <w:p w14:paraId="3787105C">
      <w:pPr>
        <w:adjustRightInd w:val="0"/>
        <w:snapToGrid w:val="0"/>
        <w:spacing w:line="540" w:lineRule="exact"/>
        <w:ind w:firstLine="480" w:firstLineChars="200"/>
        <w:rPr>
          <w:rFonts w:ascii="宋体" w:hAnsi="宋体" w:cs="宋体"/>
          <w:kern w:val="0"/>
          <w:sz w:val="24"/>
          <w:szCs w:val="24"/>
        </w:rPr>
      </w:pPr>
      <w:r>
        <w:rPr>
          <w:rFonts w:ascii="宋体" w:hAnsi="宋体" w:cs="宋体"/>
          <w:kern w:val="0"/>
          <w:sz w:val="24"/>
          <w:szCs w:val="24"/>
        </w:rPr>
        <w:t>1、由于</w:t>
      </w:r>
      <w:r>
        <w:rPr>
          <w:rFonts w:hint="eastAsia" w:ascii="宋体" w:hAnsi="宋体" w:cs="宋体"/>
          <w:kern w:val="0"/>
          <w:sz w:val="24"/>
          <w:szCs w:val="24"/>
        </w:rPr>
        <w:t>发包人</w:t>
      </w:r>
      <w:r>
        <w:rPr>
          <w:rFonts w:ascii="宋体" w:hAnsi="宋体" w:cs="宋体"/>
          <w:kern w:val="0"/>
          <w:sz w:val="24"/>
          <w:szCs w:val="24"/>
        </w:rPr>
        <w:t>原因，使工程延期完成，则视</w:t>
      </w:r>
      <w:r>
        <w:rPr>
          <w:rFonts w:hint="eastAsia" w:ascii="宋体" w:hAnsi="宋体" w:cs="宋体"/>
          <w:kern w:val="0"/>
          <w:sz w:val="24"/>
          <w:szCs w:val="24"/>
        </w:rPr>
        <w:t>发包人</w:t>
      </w:r>
      <w:r>
        <w:rPr>
          <w:rFonts w:ascii="宋体" w:hAnsi="宋体" w:cs="宋体"/>
          <w:kern w:val="0"/>
          <w:sz w:val="24"/>
          <w:szCs w:val="24"/>
        </w:rPr>
        <w:t>违约，</w:t>
      </w:r>
      <w:r>
        <w:rPr>
          <w:rFonts w:hint="eastAsia" w:ascii="宋体" w:hAnsi="宋体" w:cs="宋体"/>
          <w:kern w:val="0"/>
          <w:sz w:val="24"/>
          <w:szCs w:val="24"/>
        </w:rPr>
        <w:t>工期予以顺延</w:t>
      </w:r>
      <w:r>
        <w:rPr>
          <w:rFonts w:ascii="宋体" w:hAnsi="宋体" w:cs="宋体"/>
          <w:kern w:val="0"/>
          <w:sz w:val="24"/>
          <w:szCs w:val="24"/>
        </w:rPr>
        <w:t>。</w:t>
      </w:r>
    </w:p>
    <w:p w14:paraId="5ED90C59">
      <w:pPr>
        <w:adjustRightInd w:val="0"/>
        <w:snapToGrid w:val="0"/>
        <w:spacing w:line="540" w:lineRule="exact"/>
        <w:ind w:firstLine="480" w:firstLineChars="200"/>
        <w:rPr>
          <w:rFonts w:hint="eastAsia" w:ascii="宋体" w:hAnsi="宋体" w:cs="宋体"/>
          <w:b/>
          <w:bCs/>
          <w:kern w:val="0"/>
          <w:sz w:val="24"/>
          <w:szCs w:val="24"/>
        </w:rPr>
      </w:pPr>
      <w:r>
        <w:rPr>
          <w:rFonts w:ascii="宋体" w:hAnsi="宋体" w:cs="宋体"/>
          <w:kern w:val="0"/>
          <w:sz w:val="24"/>
          <w:szCs w:val="24"/>
        </w:rPr>
        <w:t>2、</w:t>
      </w:r>
      <w:r>
        <w:rPr>
          <w:rFonts w:hint="eastAsia" w:ascii="宋体" w:hAnsi="宋体"/>
          <w:b/>
          <w:bCs/>
          <w:sz w:val="24"/>
          <w:szCs w:val="24"/>
          <w:u w:val="single"/>
        </w:rPr>
        <w:t>工期违约金：承包人未按工期完工时，发包人将在支付工程款时直接扣除工期违约金</w:t>
      </w:r>
      <w:r>
        <w:rPr>
          <w:rFonts w:hint="eastAsia" w:ascii="宋体" w:hAnsi="宋体" w:cs="宋体"/>
          <w:kern w:val="0"/>
          <w:sz w:val="24"/>
          <w:szCs w:val="24"/>
          <w:u w:val="single"/>
        </w:rPr>
        <w:t>，</w:t>
      </w:r>
      <w:r>
        <w:rPr>
          <w:rFonts w:hint="eastAsia" w:ascii="宋体" w:hAnsi="宋体" w:cs="宋体"/>
          <w:b/>
          <w:bCs/>
          <w:kern w:val="0"/>
          <w:sz w:val="24"/>
          <w:szCs w:val="24"/>
          <w:u w:val="single"/>
        </w:rPr>
        <w:t>每逾期一天按合同暂定价的0.1%计付违约金扣除 500 元，工期违约金累计最高不超过结算价的5%</w:t>
      </w:r>
      <w:r>
        <w:rPr>
          <w:rFonts w:hint="eastAsia" w:ascii="宋体" w:hAnsi="宋体" w:cs="宋体"/>
          <w:b/>
          <w:bCs/>
          <w:kern w:val="0"/>
          <w:sz w:val="24"/>
          <w:szCs w:val="24"/>
        </w:rPr>
        <w:t>。</w:t>
      </w:r>
    </w:p>
    <w:p w14:paraId="3AC3D5F6">
      <w:pPr>
        <w:adjustRightInd w:val="0"/>
        <w:snapToGrid w:val="0"/>
        <w:spacing w:line="540" w:lineRule="exact"/>
        <w:ind w:firstLine="482" w:firstLineChars="200"/>
        <w:rPr>
          <w:rFonts w:hint="eastAsia" w:ascii="宋体" w:hAnsi="宋体" w:cs="宋体"/>
          <w:b/>
          <w:bCs/>
          <w:kern w:val="0"/>
          <w:sz w:val="24"/>
          <w:szCs w:val="24"/>
          <w:u w:val="single"/>
        </w:rPr>
      </w:pPr>
      <w:r>
        <w:rPr>
          <w:rFonts w:hint="eastAsia" w:ascii="宋体" w:hAnsi="宋体" w:cs="宋体"/>
          <w:b/>
          <w:bCs/>
          <w:kern w:val="0"/>
          <w:sz w:val="24"/>
          <w:szCs w:val="24"/>
        </w:rPr>
        <w:t>3、</w:t>
      </w:r>
      <w:r>
        <w:rPr>
          <w:rFonts w:hint="eastAsia" w:ascii="宋体" w:hAnsi="宋体" w:cs="宋体"/>
          <w:b/>
          <w:bCs/>
          <w:kern w:val="0"/>
          <w:sz w:val="24"/>
          <w:szCs w:val="24"/>
          <w:u w:val="single"/>
        </w:rPr>
        <w:t>若项目经理或兼任其它工程项目的项目经理导致发包人不能及时办理施工许可的或项目经理未及时到位，视为承包人违约，承包人应按下列标准支付违约金：每人每次按合同暂定价的1%支付违约金。</w:t>
      </w:r>
    </w:p>
    <w:p w14:paraId="1E631F9E">
      <w:pPr>
        <w:adjustRightInd w:val="0"/>
        <w:snapToGrid w:val="0"/>
        <w:spacing w:line="540" w:lineRule="exact"/>
        <w:ind w:firstLine="480" w:firstLineChars="200"/>
        <w:rPr>
          <w:rFonts w:hint="eastAsia" w:ascii="宋体" w:hAnsi="宋体" w:cs="宋体"/>
          <w:kern w:val="0"/>
          <w:sz w:val="24"/>
          <w:szCs w:val="24"/>
          <w:u w:val="single"/>
        </w:rPr>
      </w:pPr>
      <w:r>
        <w:rPr>
          <w:rFonts w:hint="eastAsia" w:ascii="宋体" w:hAnsi="宋体" w:cs="宋体"/>
          <w:kern w:val="0"/>
          <w:sz w:val="24"/>
          <w:szCs w:val="24"/>
        </w:rPr>
        <w:t>4、</w:t>
      </w:r>
      <w:r>
        <w:rPr>
          <w:rFonts w:hint="eastAsia" w:ascii="宋体" w:hAnsi="宋体" w:cs="宋体"/>
          <w:kern w:val="0"/>
          <w:sz w:val="24"/>
          <w:szCs w:val="24"/>
          <w:u w:val="single"/>
        </w:rPr>
        <w:t>承包人提前解除合同应当向</w:t>
      </w:r>
      <w:r>
        <w:rPr>
          <w:rFonts w:hint="eastAsia" w:ascii="宋体" w:hAnsi="宋体"/>
          <w:sz w:val="24"/>
          <w:szCs w:val="24"/>
          <w:u w:val="single"/>
        </w:rPr>
        <w:t>发</w:t>
      </w:r>
      <w:r>
        <w:rPr>
          <w:rFonts w:hint="eastAsia" w:ascii="宋体" w:hAnsi="宋体" w:cs="宋体"/>
          <w:kern w:val="0"/>
          <w:sz w:val="24"/>
          <w:szCs w:val="24"/>
          <w:u w:val="single"/>
        </w:rPr>
        <w:t>包人支付合同暂定金额20%作为违约金，对于未完工的部分工程，发包人可委托第三方施工，所需费用由承包人承担。造成发包人损失的，承包人应当</w:t>
      </w:r>
      <w:r>
        <w:rPr>
          <w:rFonts w:hint="eastAsia" w:ascii="宋体" w:hAnsi="宋体" w:cs="宋体"/>
          <w:kern w:val="0"/>
          <w:sz w:val="24"/>
          <w:szCs w:val="24"/>
          <w:u w:val="single"/>
          <w:lang w:eastAsia="zh-CN"/>
        </w:rPr>
        <w:t>赔偿</w:t>
      </w:r>
      <w:r>
        <w:rPr>
          <w:rFonts w:hint="eastAsia" w:ascii="宋体" w:hAnsi="宋体" w:cs="宋体"/>
          <w:kern w:val="0"/>
          <w:sz w:val="24"/>
          <w:szCs w:val="24"/>
          <w:u w:val="single"/>
        </w:rPr>
        <w:t>损失。</w:t>
      </w:r>
    </w:p>
    <w:p w14:paraId="3667DC7E">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十二、合同的变更及解除</w:t>
      </w:r>
    </w:p>
    <w:p w14:paraId="50561895">
      <w:pPr>
        <w:adjustRightInd w:val="0"/>
        <w:snapToGrid w:val="0"/>
        <w:spacing w:line="540" w:lineRule="exact"/>
        <w:ind w:firstLine="480" w:firstLineChars="200"/>
        <w:rPr>
          <w:rFonts w:ascii="宋体" w:hAnsi="宋体" w:cs="宋体"/>
          <w:kern w:val="0"/>
          <w:sz w:val="24"/>
          <w:szCs w:val="24"/>
        </w:rPr>
      </w:pPr>
      <w:r>
        <w:rPr>
          <w:rFonts w:ascii="宋体" w:hAnsi="宋体" w:cs="宋体"/>
          <w:kern w:val="0"/>
          <w:sz w:val="24"/>
          <w:szCs w:val="24"/>
        </w:rPr>
        <w:t>1、合同签订生效后，除不可抗力外（指战争、严重水灾、火灾、台风和地震以及经双方同意属不可抗力的事故），甲乙双方不得无故变更或解除。</w:t>
      </w:r>
    </w:p>
    <w:p w14:paraId="4EB5B6CD">
      <w:pPr>
        <w:adjustRightInd w:val="0"/>
        <w:snapToGrid w:val="0"/>
        <w:spacing w:line="540" w:lineRule="exact"/>
        <w:ind w:firstLine="480" w:firstLineChars="200"/>
        <w:rPr>
          <w:rFonts w:ascii="宋体" w:hAnsi="宋体" w:cs="宋体"/>
          <w:kern w:val="0"/>
          <w:sz w:val="24"/>
          <w:szCs w:val="24"/>
        </w:rPr>
      </w:pPr>
      <w:r>
        <w:rPr>
          <w:rFonts w:ascii="宋体" w:hAnsi="宋体" w:cs="宋体"/>
          <w:kern w:val="0"/>
          <w:sz w:val="24"/>
          <w:szCs w:val="24"/>
        </w:rPr>
        <w:t>2、在履行合同过程中，因遇不可抗力事故，甲乙双方均应采取有效措施尽力减少损失并阻止损失的扩大。若确需变更或解除合同时，要求变更一方应及时通知对方，对方在接到通知</w:t>
      </w:r>
      <w:r>
        <w:rPr>
          <w:rFonts w:hint="eastAsia" w:ascii="宋体" w:hAnsi="宋体" w:cs="宋体"/>
          <w:kern w:val="0"/>
          <w:sz w:val="24"/>
          <w:szCs w:val="24"/>
        </w:rPr>
        <w:t>5日</w:t>
      </w:r>
      <w:r>
        <w:rPr>
          <w:rFonts w:ascii="宋体" w:hAnsi="宋体" w:cs="宋体"/>
          <w:kern w:val="0"/>
          <w:sz w:val="24"/>
          <w:szCs w:val="24"/>
        </w:rPr>
        <w:t>内给予答复，逾期未答复视为同意。</w:t>
      </w:r>
    </w:p>
    <w:p w14:paraId="1F64866E">
      <w:pPr>
        <w:widowControl/>
        <w:snapToGrid w:val="0"/>
        <w:spacing w:line="560" w:lineRule="exact"/>
        <w:ind w:firstLine="420" w:firstLineChars="175"/>
        <w:rPr>
          <w:rFonts w:hint="eastAsia" w:ascii="宋体" w:hAnsi="宋体" w:cs="宋体"/>
          <w:kern w:val="0"/>
          <w:sz w:val="24"/>
          <w:szCs w:val="24"/>
        </w:rPr>
      </w:pPr>
      <w:r>
        <w:rPr>
          <w:rFonts w:hint="eastAsia" w:ascii="宋体" w:hAnsi="宋体" w:cs="宋体"/>
          <w:kern w:val="0"/>
          <w:sz w:val="24"/>
          <w:szCs w:val="24"/>
        </w:rPr>
        <w:t>3、合同生效后，因承包人严重违约包括但不限于工期逾期超过30日、经质量整改后仍不合格等，发</w:t>
      </w:r>
      <w:r>
        <w:rPr>
          <w:rFonts w:hint="eastAsia" w:ascii="宋体" w:hAnsi="宋体"/>
          <w:sz w:val="24"/>
        </w:rPr>
        <w:t>包人有权单方提前终止或解除合同。因发包人原因导致本合同提前终止或解除，如承包人尚未开始施工的，发包人不予支付任何费用，已支付的，承包人应当在发包人书面终止合同通知到达后五日内返还给发包人。承包人已开始施工的，发包人按照承包人已完成且经发包人确认的工作量结算合同费用，除此之外，发包人不再承担支付任何违约金、补偿金或赔偿金等经济责任。</w:t>
      </w:r>
    </w:p>
    <w:p w14:paraId="728DC15F">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十三、不可抗力因素：</w:t>
      </w:r>
    </w:p>
    <w:p w14:paraId="651F3763">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发包人、承包人任何一方由于不可抗力，不能按约履行</w:t>
      </w:r>
      <w:r>
        <w:rPr>
          <w:rFonts w:hint="eastAsia" w:ascii="宋体" w:hAnsi="宋体" w:cs="宋体"/>
          <w:kern w:val="0"/>
          <w:sz w:val="24"/>
          <w:szCs w:val="24"/>
        </w:rPr>
        <w:fldChar w:fldCharType="begin"/>
      </w:r>
      <w:r>
        <w:rPr>
          <w:rFonts w:hint="eastAsia" w:ascii="宋体" w:hAnsi="宋体" w:cs="宋体"/>
          <w:kern w:val="0"/>
          <w:sz w:val="24"/>
          <w:szCs w:val="24"/>
        </w:rPr>
        <w:instrText xml:space="preserve"> HYPERLINK "http://www.86exp.com/hetong/" </w:instrText>
      </w:r>
      <w:r>
        <w:rPr>
          <w:rFonts w:hint="eastAsia" w:ascii="宋体" w:hAnsi="宋体" w:cs="宋体"/>
          <w:kern w:val="0"/>
          <w:sz w:val="24"/>
          <w:szCs w:val="24"/>
        </w:rPr>
        <w:fldChar w:fldCharType="separate"/>
      </w:r>
      <w:r>
        <w:rPr>
          <w:rFonts w:hint="eastAsia" w:ascii="宋体" w:hAnsi="宋体" w:cs="宋体"/>
          <w:kern w:val="0"/>
          <w:sz w:val="24"/>
          <w:szCs w:val="24"/>
        </w:rPr>
        <w:t>合同</w:t>
      </w:r>
      <w:r>
        <w:rPr>
          <w:rFonts w:hint="eastAsia" w:ascii="宋体" w:hAnsi="宋体" w:cs="宋体"/>
          <w:kern w:val="0"/>
          <w:sz w:val="24"/>
          <w:szCs w:val="24"/>
        </w:rPr>
        <w:fldChar w:fldCharType="end"/>
      </w:r>
      <w:r>
        <w:rPr>
          <w:rFonts w:hint="eastAsia" w:ascii="宋体" w:hAnsi="宋体" w:cs="宋体"/>
          <w:kern w:val="0"/>
          <w:sz w:val="24"/>
          <w:szCs w:val="24"/>
        </w:rPr>
        <w:t>时，双方可协商另行确定履行时间，各不承担违约责任；若合同已无需继续履行则双方无条件解除合同，各方损失自行承担。</w:t>
      </w:r>
    </w:p>
    <w:p w14:paraId="34C06D89">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十四、争议解决方式：</w:t>
      </w:r>
    </w:p>
    <w:p w14:paraId="7733D7A5">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本合同未尽事宜或执行本合同所引起的争议，双方应友好协商解决，协商不成时双方同意向</w:t>
      </w:r>
      <w:r>
        <w:rPr>
          <w:rFonts w:hint="eastAsia" w:ascii="宋体" w:hAnsi="宋体"/>
          <w:kern w:val="0"/>
          <w:sz w:val="24"/>
        </w:rPr>
        <w:t>发包人住所地有管辖权的人民法院提起诉讼</w:t>
      </w:r>
      <w:r>
        <w:rPr>
          <w:rFonts w:hint="eastAsia" w:ascii="宋体" w:hAnsi="宋体" w:cs="宋体"/>
          <w:kern w:val="0"/>
          <w:sz w:val="24"/>
          <w:szCs w:val="24"/>
        </w:rPr>
        <w:t>。因此产生的诉讼费、律师费、差旅费等由败诉方承担。</w:t>
      </w:r>
    </w:p>
    <w:p w14:paraId="4EC53B23">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十五、其他条款：</w:t>
      </w:r>
    </w:p>
    <w:p w14:paraId="336F04FA">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1、未尽事宜，双方可另行签订补充协议，与本协议具有同等法律效力。</w:t>
      </w:r>
    </w:p>
    <w:p w14:paraId="10BEE974">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2、本合同由第一部分合同条款、第二部分澄清文件（如有）、第三部分委托文件、第四部分承诺函（如有）组成及第五部分合同附件如前后内容不一致，以顺序在前的为准。</w:t>
      </w:r>
    </w:p>
    <w:p w14:paraId="6A4F37E1">
      <w:pPr>
        <w:adjustRightInd w:val="0"/>
        <w:snapToGrid w:val="0"/>
        <w:spacing w:line="540" w:lineRule="exact"/>
        <w:ind w:firstLine="482" w:firstLineChars="200"/>
        <w:rPr>
          <w:rFonts w:hint="eastAsia" w:ascii="宋体" w:hAnsi="宋体" w:cs="宋体"/>
          <w:b/>
          <w:kern w:val="0"/>
          <w:sz w:val="24"/>
          <w:szCs w:val="24"/>
        </w:rPr>
      </w:pPr>
      <w:r>
        <w:rPr>
          <w:rFonts w:hint="eastAsia" w:ascii="宋体" w:hAnsi="宋体" w:cs="宋体"/>
          <w:b/>
          <w:kern w:val="0"/>
          <w:sz w:val="24"/>
          <w:szCs w:val="24"/>
        </w:rPr>
        <w:t>十六、合同文本及效力:</w:t>
      </w:r>
    </w:p>
    <w:p w14:paraId="179547A6">
      <w:pPr>
        <w:adjustRightInd w:val="0"/>
        <w:snapToGrid w:val="0"/>
        <w:spacing w:line="540" w:lineRule="exact"/>
        <w:ind w:firstLine="480" w:firstLineChars="200"/>
        <w:rPr>
          <w:rFonts w:hint="eastAsia" w:ascii="宋体" w:hAnsi="宋体" w:cs="宋体"/>
          <w:kern w:val="0"/>
          <w:sz w:val="24"/>
          <w:szCs w:val="24"/>
        </w:rPr>
      </w:pPr>
      <w:r>
        <w:rPr>
          <w:rFonts w:hint="eastAsia" w:ascii="宋体" w:hAnsi="宋体" w:cs="宋体"/>
          <w:kern w:val="0"/>
          <w:sz w:val="24"/>
          <w:szCs w:val="24"/>
        </w:rPr>
        <w:t>本</w:t>
      </w:r>
      <w:r>
        <w:rPr>
          <w:rFonts w:hint="eastAsia" w:ascii="宋体" w:hAnsi="宋体" w:cs="宋体"/>
          <w:kern w:val="0"/>
          <w:sz w:val="24"/>
          <w:szCs w:val="24"/>
        </w:rPr>
        <w:fldChar w:fldCharType="begin"/>
      </w:r>
      <w:r>
        <w:rPr>
          <w:rFonts w:hint="eastAsia" w:ascii="宋体" w:hAnsi="宋体" w:cs="宋体"/>
          <w:kern w:val="0"/>
          <w:sz w:val="24"/>
          <w:szCs w:val="24"/>
        </w:rPr>
        <w:instrText xml:space="preserve"> HYPERLINK "http://www.86exp.com/hetong/" </w:instrText>
      </w:r>
      <w:r>
        <w:rPr>
          <w:rFonts w:hint="eastAsia" w:ascii="宋体" w:hAnsi="宋体" w:cs="宋体"/>
          <w:kern w:val="0"/>
          <w:sz w:val="24"/>
          <w:szCs w:val="24"/>
        </w:rPr>
        <w:fldChar w:fldCharType="separate"/>
      </w:r>
      <w:r>
        <w:rPr>
          <w:rFonts w:hint="eastAsia" w:ascii="宋体" w:hAnsi="宋体" w:cs="宋体"/>
          <w:kern w:val="0"/>
          <w:sz w:val="24"/>
          <w:szCs w:val="24"/>
        </w:rPr>
        <w:t>合同</w:t>
      </w:r>
      <w:r>
        <w:rPr>
          <w:rFonts w:hint="eastAsia" w:ascii="宋体" w:hAnsi="宋体" w:cs="宋体"/>
          <w:kern w:val="0"/>
          <w:sz w:val="24"/>
          <w:szCs w:val="24"/>
        </w:rPr>
        <w:fldChar w:fldCharType="end"/>
      </w:r>
      <w:r>
        <w:rPr>
          <w:rFonts w:hint="eastAsia" w:ascii="宋体" w:hAnsi="宋体" w:cs="宋体"/>
          <w:kern w:val="0"/>
          <w:sz w:val="24"/>
          <w:szCs w:val="24"/>
        </w:rPr>
        <w:t>壹式</w:t>
      </w:r>
      <w:r>
        <w:rPr>
          <w:rFonts w:hint="eastAsia" w:ascii="宋体" w:hAnsi="宋体" w:cs="宋体"/>
          <w:kern w:val="0"/>
          <w:sz w:val="24"/>
          <w:szCs w:val="24"/>
          <w:u w:val="single"/>
        </w:rPr>
        <w:t>拾贰</w:t>
      </w:r>
      <w:r>
        <w:rPr>
          <w:rFonts w:hint="eastAsia" w:ascii="宋体" w:hAnsi="宋体" w:cs="宋体"/>
          <w:kern w:val="0"/>
          <w:sz w:val="24"/>
          <w:szCs w:val="24"/>
        </w:rPr>
        <w:t>份，发包人执</w:t>
      </w:r>
      <w:r>
        <w:rPr>
          <w:rFonts w:hint="eastAsia" w:ascii="宋体" w:hAnsi="宋体" w:cs="宋体"/>
          <w:kern w:val="0"/>
          <w:sz w:val="24"/>
          <w:szCs w:val="24"/>
          <w:u w:val="single"/>
        </w:rPr>
        <w:t>捌</w:t>
      </w:r>
      <w:r>
        <w:rPr>
          <w:rFonts w:hint="eastAsia" w:ascii="宋体" w:hAnsi="宋体" w:cs="宋体"/>
          <w:kern w:val="0"/>
          <w:sz w:val="24"/>
          <w:szCs w:val="24"/>
        </w:rPr>
        <w:t>份，承包人执</w:t>
      </w:r>
      <w:r>
        <w:rPr>
          <w:rFonts w:hint="eastAsia" w:ascii="宋体" w:hAnsi="宋体" w:cs="宋体"/>
          <w:kern w:val="0"/>
          <w:sz w:val="24"/>
          <w:szCs w:val="24"/>
          <w:u w:val="single"/>
        </w:rPr>
        <w:t>肆</w:t>
      </w:r>
      <w:r>
        <w:rPr>
          <w:rFonts w:hint="eastAsia" w:ascii="宋体" w:hAnsi="宋体" w:cs="宋体"/>
          <w:kern w:val="0"/>
          <w:sz w:val="24"/>
          <w:szCs w:val="24"/>
        </w:rPr>
        <w:t>份，均具有同等法律效力。</w:t>
      </w:r>
    </w:p>
    <w:p w14:paraId="5C2B5524">
      <w:pPr>
        <w:adjustRightInd w:val="0"/>
        <w:snapToGrid w:val="0"/>
        <w:spacing w:line="540" w:lineRule="exact"/>
        <w:ind w:firstLine="480" w:firstLineChars="200"/>
        <w:rPr>
          <w:rFonts w:hint="eastAsia" w:ascii="宋体" w:hAnsi="宋体" w:cs="宋体"/>
          <w:kern w:val="0"/>
          <w:sz w:val="24"/>
          <w:szCs w:val="24"/>
        </w:rPr>
      </w:pPr>
    </w:p>
    <w:p w14:paraId="53D84E13">
      <w:pPr>
        <w:pStyle w:val="44"/>
        <w:rPr>
          <w:rFonts w:hint="eastAsia" w:ascii="宋体" w:hAnsi="宋体" w:cs="宋体"/>
          <w:kern w:val="0"/>
          <w:sz w:val="24"/>
          <w:szCs w:val="24"/>
        </w:rPr>
      </w:pPr>
    </w:p>
    <w:p w14:paraId="1B676C73">
      <w:pPr>
        <w:rPr>
          <w:rFonts w:hint="eastAsia" w:ascii="宋体" w:hAnsi="宋体" w:cs="宋体"/>
          <w:kern w:val="0"/>
          <w:sz w:val="24"/>
          <w:szCs w:val="24"/>
        </w:rPr>
      </w:pPr>
    </w:p>
    <w:p w14:paraId="252F50C2">
      <w:pPr>
        <w:pStyle w:val="44"/>
        <w:rPr>
          <w:rFonts w:hint="eastAsia" w:ascii="宋体" w:hAnsi="宋体" w:cs="宋体"/>
          <w:kern w:val="0"/>
          <w:sz w:val="24"/>
          <w:szCs w:val="24"/>
        </w:rPr>
      </w:pPr>
    </w:p>
    <w:p w14:paraId="0FA5C78E">
      <w:pPr>
        <w:rPr>
          <w:rFonts w:hint="eastAsia" w:ascii="宋体" w:hAnsi="宋体" w:cs="宋体"/>
          <w:kern w:val="0"/>
          <w:sz w:val="24"/>
          <w:szCs w:val="24"/>
        </w:rPr>
      </w:pPr>
    </w:p>
    <w:p w14:paraId="7EA9ED4C">
      <w:pPr>
        <w:pStyle w:val="104"/>
        <w:rPr>
          <w:rFonts w:hint="eastAsia"/>
          <w:color w:val="auto"/>
        </w:rPr>
      </w:pPr>
    </w:p>
    <w:tbl>
      <w:tblPr>
        <w:tblStyle w:val="53"/>
        <w:tblW w:w="9289" w:type="dxa"/>
        <w:jc w:val="center"/>
        <w:tblLayout w:type="fixed"/>
        <w:tblCellMar>
          <w:top w:w="0" w:type="dxa"/>
          <w:left w:w="108" w:type="dxa"/>
          <w:bottom w:w="0" w:type="dxa"/>
          <w:right w:w="108" w:type="dxa"/>
        </w:tblCellMar>
      </w:tblPr>
      <w:tblGrid>
        <w:gridCol w:w="4644"/>
        <w:gridCol w:w="4645"/>
      </w:tblGrid>
      <w:tr w14:paraId="6445244D">
        <w:tblPrEx>
          <w:tblCellMar>
            <w:top w:w="0" w:type="dxa"/>
            <w:left w:w="108" w:type="dxa"/>
            <w:bottom w:w="0" w:type="dxa"/>
            <w:right w:w="108" w:type="dxa"/>
          </w:tblCellMar>
        </w:tblPrEx>
        <w:trPr>
          <w:trHeight w:val="1272" w:hRule="atLeast"/>
          <w:jc w:val="center"/>
        </w:trPr>
        <w:tc>
          <w:tcPr>
            <w:tcW w:w="4644" w:type="dxa"/>
            <w:noWrap w:val="0"/>
            <w:vAlign w:val="center"/>
          </w:tcPr>
          <w:p w14:paraId="617DE476">
            <w:pPr>
              <w:tabs>
                <w:tab w:val="left" w:pos="408"/>
              </w:tabs>
              <w:spacing w:line="360" w:lineRule="auto"/>
              <w:ind w:left="2309" w:leftChars="1" w:hanging="2307" w:hangingChars="1099"/>
              <w:jc w:val="left"/>
              <w:rPr>
                <w:rFonts w:ascii="宋体" w:hAnsi="宋体" w:cs="Courier New"/>
                <w:bCs/>
              </w:rPr>
            </w:pPr>
            <w:r>
              <w:rPr>
                <w:rFonts w:hint="eastAsia" w:ascii="宋体" w:hAnsi="宋体" w:cs="Courier New"/>
                <w:bCs/>
              </w:rPr>
              <w:t>发包人名称：</w:t>
            </w:r>
            <w:r>
              <w:rPr>
                <w:rFonts w:ascii="宋体" w:hAnsi="宋体" w:cs="Courier New"/>
                <w:bCs/>
              </w:rPr>
              <w:t>(</w:t>
            </w:r>
            <w:r>
              <w:rPr>
                <w:rFonts w:hint="eastAsia" w:ascii="宋体" w:hAnsi="宋体" w:cs="Courier New"/>
                <w:bCs/>
              </w:rPr>
              <w:t>盖</w:t>
            </w:r>
            <w:r>
              <w:rPr>
                <w:rFonts w:ascii="宋体" w:hAnsi="宋体" w:cs="Courier New"/>
                <w:bCs/>
              </w:rPr>
              <w:t>章)</w:t>
            </w:r>
            <w:r>
              <w:rPr>
                <w:rFonts w:hint="eastAsia" w:ascii="宋体" w:hAnsi="宋体" w:cs="Courier New"/>
                <w:bCs/>
              </w:rPr>
              <w:t xml:space="preserve"> _______________________</w:t>
            </w:r>
          </w:p>
        </w:tc>
        <w:tc>
          <w:tcPr>
            <w:tcW w:w="4645" w:type="dxa"/>
            <w:noWrap w:val="0"/>
            <w:vAlign w:val="center"/>
          </w:tcPr>
          <w:p w14:paraId="2A03A3EF">
            <w:pPr>
              <w:spacing w:line="360" w:lineRule="auto"/>
              <w:jc w:val="left"/>
              <w:rPr>
                <w:rFonts w:ascii="宋体" w:hAnsi="宋体" w:cs="Courier New"/>
                <w:bCs/>
              </w:rPr>
            </w:pPr>
            <w:r>
              <w:rPr>
                <w:rFonts w:hint="eastAsia" w:ascii="宋体" w:hAnsi="宋体" w:cs="Courier New"/>
                <w:bCs/>
              </w:rPr>
              <w:t>承包人名称：</w:t>
            </w:r>
            <w:r>
              <w:rPr>
                <w:rFonts w:ascii="宋体" w:hAnsi="宋体" w:cs="Courier New"/>
                <w:bCs/>
              </w:rPr>
              <w:t>(</w:t>
            </w:r>
            <w:r>
              <w:rPr>
                <w:rFonts w:hint="eastAsia" w:ascii="宋体" w:hAnsi="宋体" w:cs="Courier New"/>
                <w:bCs/>
              </w:rPr>
              <w:t>盖</w:t>
            </w:r>
            <w:r>
              <w:rPr>
                <w:rFonts w:ascii="宋体" w:hAnsi="宋体" w:cs="Courier New"/>
                <w:bCs/>
              </w:rPr>
              <w:t>章)</w:t>
            </w:r>
            <w:r>
              <w:rPr>
                <w:rFonts w:hint="eastAsia" w:ascii="宋体" w:hAnsi="宋体" w:cs="Courier New"/>
                <w:bCs/>
              </w:rPr>
              <w:t>_______________________</w:t>
            </w:r>
          </w:p>
        </w:tc>
      </w:tr>
      <w:tr w14:paraId="63A46770">
        <w:tblPrEx>
          <w:tblCellMar>
            <w:top w:w="0" w:type="dxa"/>
            <w:left w:w="108" w:type="dxa"/>
            <w:bottom w:w="0" w:type="dxa"/>
            <w:right w:w="108" w:type="dxa"/>
          </w:tblCellMar>
        </w:tblPrEx>
        <w:trPr>
          <w:trHeight w:val="1128" w:hRule="atLeast"/>
          <w:jc w:val="center"/>
        </w:trPr>
        <w:tc>
          <w:tcPr>
            <w:tcW w:w="4644" w:type="dxa"/>
            <w:noWrap w:val="0"/>
            <w:vAlign w:val="center"/>
          </w:tcPr>
          <w:p w14:paraId="0A35D34E">
            <w:pPr>
              <w:tabs>
                <w:tab w:val="left" w:pos="408"/>
              </w:tabs>
              <w:spacing w:line="360" w:lineRule="auto"/>
              <w:ind w:left="2309" w:leftChars="1" w:hanging="2307" w:hangingChars="1099"/>
              <w:jc w:val="left"/>
              <w:rPr>
                <w:rFonts w:ascii="宋体" w:hAnsi="宋体" w:cs="Courier New"/>
                <w:bCs/>
              </w:rPr>
            </w:pPr>
            <w:r>
              <w:rPr>
                <w:rFonts w:hint="eastAsia" w:ascii="宋体" w:hAnsi="宋体" w:cs="Courier New"/>
                <w:bCs/>
              </w:rPr>
              <w:t>法定代表人或其委托代理人：</w:t>
            </w:r>
          </w:p>
          <w:p w14:paraId="6F4DE92D">
            <w:pPr>
              <w:tabs>
                <w:tab w:val="left" w:pos="408"/>
              </w:tabs>
              <w:spacing w:line="360" w:lineRule="auto"/>
              <w:ind w:left="2309" w:leftChars="1" w:hanging="2307" w:hangingChars="1099"/>
              <w:jc w:val="left"/>
              <w:rPr>
                <w:rFonts w:ascii="宋体" w:hAnsi="宋体"/>
                <w:bCs/>
                <w:szCs w:val="21"/>
              </w:rPr>
            </w:pPr>
            <w:r>
              <w:rPr>
                <w:rFonts w:hint="eastAsia" w:ascii="宋体" w:hAnsi="宋体" w:cs="Courier New"/>
                <w:bCs/>
              </w:rPr>
              <w:t>（签字）</w:t>
            </w:r>
          </w:p>
        </w:tc>
        <w:tc>
          <w:tcPr>
            <w:tcW w:w="4645" w:type="dxa"/>
            <w:noWrap w:val="0"/>
            <w:vAlign w:val="center"/>
          </w:tcPr>
          <w:p w14:paraId="69EF28E6">
            <w:pPr>
              <w:spacing w:line="360" w:lineRule="auto"/>
              <w:jc w:val="left"/>
              <w:rPr>
                <w:rFonts w:ascii="宋体" w:hAnsi="宋体"/>
                <w:szCs w:val="21"/>
              </w:rPr>
            </w:pPr>
            <w:r>
              <w:rPr>
                <w:rFonts w:hint="eastAsia" w:ascii="宋体" w:hAnsi="宋体"/>
                <w:szCs w:val="21"/>
              </w:rPr>
              <w:t>法定代表人或其委托代理人：</w:t>
            </w:r>
          </w:p>
          <w:p w14:paraId="17908266">
            <w:pPr>
              <w:spacing w:line="360" w:lineRule="auto"/>
              <w:jc w:val="left"/>
              <w:rPr>
                <w:rFonts w:ascii="宋体" w:hAnsi="宋体"/>
                <w:bCs/>
                <w:szCs w:val="21"/>
              </w:rPr>
            </w:pPr>
            <w:r>
              <w:rPr>
                <w:rFonts w:hint="eastAsia" w:ascii="宋体" w:hAnsi="宋体"/>
                <w:szCs w:val="21"/>
              </w:rPr>
              <w:t>（签字）</w:t>
            </w:r>
          </w:p>
        </w:tc>
      </w:tr>
      <w:tr w14:paraId="64F222B0">
        <w:tblPrEx>
          <w:tblCellMar>
            <w:top w:w="0" w:type="dxa"/>
            <w:left w:w="108" w:type="dxa"/>
            <w:bottom w:w="0" w:type="dxa"/>
            <w:right w:w="108" w:type="dxa"/>
          </w:tblCellMar>
        </w:tblPrEx>
        <w:trPr>
          <w:trHeight w:val="761" w:hRule="atLeast"/>
          <w:jc w:val="center"/>
        </w:trPr>
        <w:tc>
          <w:tcPr>
            <w:tcW w:w="4644" w:type="dxa"/>
            <w:noWrap w:val="0"/>
            <w:vAlign w:val="center"/>
          </w:tcPr>
          <w:p w14:paraId="4E503E3E">
            <w:pPr>
              <w:spacing w:line="360" w:lineRule="auto"/>
              <w:jc w:val="left"/>
              <w:rPr>
                <w:rFonts w:ascii="宋体" w:hAnsi="宋体" w:cs="Courier New"/>
                <w:bCs/>
              </w:rPr>
            </w:pPr>
            <w:r>
              <w:rPr>
                <w:rFonts w:ascii="宋体" w:hAnsi="宋体"/>
                <w:szCs w:val="21"/>
              </w:rPr>
              <w:t>地址：</w:t>
            </w:r>
            <w:r>
              <w:rPr>
                <w:rFonts w:hint="eastAsia" w:ascii="宋体" w:hAnsi="宋体" w:cs="Courier New"/>
                <w:bCs/>
              </w:rPr>
              <w:t>深圳市龙岗区腾飞路创投大厦22、23楼</w:t>
            </w:r>
          </w:p>
          <w:p w14:paraId="378201CA">
            <w:pPr>
              <w:spacing w:line="360" w:lineRule="auto"/>
              <w:jc w:val="left"/>
              <w:rPr>
                <w:rFonts w:ascii="宋体" w:hAnsi="宋体"/>
                <w:bCs/>
                <w:szCs w:val="21"/>
              </w:rPr>
            </w:pPr>
          </w:p>
        </w:tc>
        <w:tc>
          <w:tcPr>
            <w:tcW w:w="4645" w:type="dxa"/>
            <w:noWrap w:val="0"/>
            <w:vAlign w:val="center"/>
          </w:tcPr>
          <w:p w14:paraId="53AD06D2">
            <w:pPr>
              <w:spacing w:line="360" w:lineRule="auto"/>
              <w:jc w:val="left"/>
              <w:rPr>
                <w:rFonts w:ascii="宋体" w:hAnsi="宋体"/>
                <w:szCs w:val="21"/>
              </w:rPr>
            </w:pPr>
            <w:r>
              <w:rPr>
                <w:rFonts w:ascii="宋体" w:hAnsi="宋体"/>
                <w:szCs w:val="21"/>
              </w:rPr>
              <w:t>地址：</w:t>
            </w:r>
          </w:p>
          <w:p w14:paraId="08C9AEDE">
            <w:pPr>
              <w:spacing w:line="360" w:lineRule="auto"/>
              <w:ind w:left="1050" w:leftChars="200" w:hanging="630" w:hangingChars="300"/>
              <w:jc w:val="left"/>
              <w:rPr>
                <w:rFonts w:ascii="宋体" w:hAnsi="宋体"/>
                <w:bCs/>
                <w:szCs w:val="21"/>
              </w:rPr>
            </w:pPr>
          </w:p>
        </w:tc>
      </w:tr>
      <w:tr w14:paraId="29EEA76B">
        <w:tblPrEx>
          <w:tblCellMar>
            <w:top w:w="0" w:type="dxa"/>
            <w:left w:w="108" w:type="dxa"/>
            <w:bottom w:w="0" w:type="dxa"/>
            <w:right w:w="108" w:type="dxa"/>
          </w:tblCellMar>
        </w:tblPrEx>
        <w:trPr>
          <w:trHeight w:val="707" w:hRule="atLeast"/>
          <w:jc w:val="center"/>
        </w:trPr>
        <w:tc>
          <w:tcPr>
            <w:tcW w:w="4644" w:type="dxa"/>
            <w:noWrap w:val="0"/>
            <w:vAlign w:val="center"/>
          </w:tcPr>
          <w:p w14:paraId="66CBC97D">
            <w:pPr>
              <w:tabs>
                <w:tab w:val="left" w:pos="408"/>
              </w:tabs>
              <w:spacing w:line="360" w:lineRule="auto"/>
              <w:ind w:left="2309" w:leftChars="1" w:hanging="2307" w:hangingChars="1099"/>
              <w:jc w:val="left"/>
              <w:rPr>
                <w:rFonts w:ascii="宋体" w:hAnsi="宋体"/>
                <w:bCs/>
                <w:szCs w:val="21"/>
              </w:rPr>
            </w:pPr>
            <w:r>
              <w:rPr>
                <w:rFonts w:ascii="宋体" w:hAnsi="宋体" w:cs="Courier New"/>
                <w:bCs/>
              </w:rPr>
              <w:t>邮政编码：</w:t>
            </w:r>
            <w:r>
              <w:rPr>
                <w:rFonts w:hint="eastAsia" w:ascii="宋体" w:hAnsi="宋体" w:cs="Courier New"/>
                <w:bCs/>
              </w:rPr>
              <w:t>518172</w:t>
            </w:r>
          </w:p>
        </w:tc>
        <w:tc>
          <w:tcPr>
            <w:tcW w:w="4645" w:type="dxa"/>
            <w:noWrap w:val="0"/>
            <w:vAlign w:val="center"/>
          </w:tcPr>
          <w:p w14:paraId="5932B4CB">
            <w:pPr>
              <w:spacing w:line="360" w:lineRule="auto"/>
              <w:jc w:val="left"/>
              <w:rPr>
                <w:rFonts w:ascii="宋体" w:hAnsi="宋体"/>
                <w:bCs/>
                <w:szCs w:val="21"/>
              </w:rPr>
            </w:pPr>
            <w:r>
              <w:rPr>
                <w:rFonts w:ascii="宋体" w:hAnsi="宋体"/>
                <w:szCs w:val="21"/>
              </w:rPr>
              <w:t>邮政编码：</w:t>
            </w:r>
          </w:p>
        </w:tc>
      </w:tr>
      <w:tr w14:paraId="0B2C508B">
        <w:tblPrEx>
          <w:tblCellMar>
            <w:top w:w="0" w:type="dxa"/>
            <w:left w:w="108" w:type="dxa"/>
            <w:bottom w:w="0" w:type="dxa"/>
            <w:right w:w="108" w:type="dxa"/>
          </w:tblCellMar>
        </w:tblPrEx>
        <w:trPr>
          <w:trHeight w:val="596" w:hRule="atLeast"/>
          <w:jc w:val="center"/>
        </w:trPr>
        <w:tc>
          <w:tcPr>
            <w:tcW w:w="4644" w:type="dxa"/>
            <w:noWrap w:val="0"/>
            <w:vAlign w:val="center"/>
          </w:tcPr>
          <w:p w14:paraId="0E320E89">
            <w:pPr>
              <w:tabs>
                <w:tab w:val="left" w:pos="408"/>
              </w:tabs>
              <w:spacing w:line="360" w:lineRule="auto"/>
              <w:ind w:left="2309" w:leftChars="1" w:hanging="2307" w:hangingChars="1099"/>
              <w:jc w:val="left"/>
              <w:rPr>
                <w:rFonts w:ascii="宋体" w:hAnsi="宋体" w:cs="Courier New"/>
                <w:bCs/>
              </w:rPr>
            </w:pPr>
            <w:r>
              <w:rPr>
                <w:rFonts w:ascii="宋体" w:hAnsi="宋体" w:cs="Courier New"/>
                <w:bCs/>
              </w:rPr>
              <w:t>电话：</w:t>
            </w:r>
            <w:r>
              <w:rPr>
                <w:rFonts w:hint="eastAsia" w:ascii="宋体" w:hAnsi="宋体" w:cs="Courier New"/>
                <w:bCs/>
              </w:rPr>
              <w:t>0755-</w:t>
            </w:r>
            <w:r>
              <w:rPr>
                <w:rFonts w:ascii="宋体" w:hAnsi="宋体" w:cs="Courier New"/>
                <w:bCs/>
              </w:rPr>
              <w:t>2899</w:t>
            </w:r>
            <w:r>
              <w:rPr>
                <w:rFonts w:hint="eastAsia" w:ascii="宋体" w:hAnsi="宋体" w:cs="Courier New"/>
                <w:bCs/>
              </w:rPr>
              <w:t>8608</w:t>
            </w:r>
          </w:p>
        </w:tc>
        <w:tc>
          <w:tcPr>
            <w:tcW w:w="4645" w:type="dxa"/>
            <w:noWrap w:val="0"/>
            <w:vAlign w:val="center"/>
          </w:tcPr>
          <w:p w14:paraId="7404DC95">
            <w:pPr>
              <w:spacing w:line="360" w:lineRule="auto"/>
              <w:jc w:val="left"/>
              <w:rPr>
                <w:rFonts w:ascii="宋体" w:hAnsi="宋体"/>
                <w:bCs/>
                <w:szCs w:val="21"/>
              </w:rPr>
            </w:pPr>
            <w:r>
              <w:rPr>
                <w:rFonts w:ascii="宋体" w:hAnsi="宋体"/>
                <w:szCs w:val="21"/>
              </w:rPr>
              <w:t>电话：</w:t>
            </w:r>
          </w:p>
        </w:tc>
      </w:tr>
      <w:tr w14:paraId="3597E52C">
        <w:tblPrEx>
          <w:tblCellMar>
            <w:top w:w="0" w:type="dxa"/>
            <w:left w:w="108" w:type="dxa"/>
            <w:bottom w:w="0" w:type="dxa"/>
            <w:right w:w="108" w:type="dxa"/>
          </w:tblCellMar>
        </w:tblPrEx>
        <w:trPr>
          <w:trHeight w:val="557" w:hRule="atLeast"/>
          <w:jc w:val="center"/>
        </w:trPr>
        <w:tc>
          <w:tcPr>
            <w:tcW w:w="4644" w:type="dxa"/>
            <w:noWrap w:val="0"/>
            <w:vAlign w:val="center"/>
          </w:tcPr>
          <w:p w14:paraId="37605E4F">
            <w:pPr>
              <w:tabs>
                <w:tab w:val="left" w:pos="408"/>
              </w:tabs>
              <w:spacing w:line="360" w:lineRule="auto"/>
              <w:ind w:left="2309" w:leftChars="1" w:hanging="2307" w:hangingChars="1099"/>
              <w:jc w:val="left"/>
              <w:rPr>
                <w:rFonts w:ascii="宋体" w:hAnsi="宋体" w:cs="Courier New"/>
                <w:bCs/>
              </w:rPr>
            </w:pPr>
            <w:r>
              <w:rPr>
                <w:rFonts w:ascii="宋体" w:hAnsi="宋体" w:cs="Courier New"/>
                <w:bCs/>
              </w:rPr>
              <w:t>传真：</w:t>
            </w:r>
            <w:r>
              <w:rPr>
                <w:rFonts w:hint="eastAsia" w:ascii="宋体" w:hAnsi="宋体" w:cs="Courier New"/>
                <w:bCs/>
              </w:rPr>
              <w:t>0755-</w:t>
            </w:r>
            <w:r>
              <w:rPr>
                <w:rFonts w:ascii="宋体" w:hAnsi="宋体" w:cs="Courier New"/>
                <w:bCs/>
              </w:rPr>
              <w:t>28998308</w:t>
            </w:r>
          </w:p>
        </w:tc>
        <w:tc>
          <w:tcPr>
            <w:tcW w:w="4645" w:type="dxa"/>
            <w:noWrap w:val="0"/>
            <w:vAlign w:val="center"/>
          </w:tcPr>
          <w:p w14:paraId="3B68CF5B">
            <w:pPr>
              <w:spacing w:line="360" w:lineRule="auto"/>
              <w:jc w:val="left"/>
              <w:rPr>
                <w:rFonts w:ascii="宋体" w:hAnsi="宋体"/>
                <w:bCs/>
                <w:szCs w:val="21"/>
              </w:rPr>
            </w:pPr>
            <w:r>
              <w:rPr>
                <w:rFonts w:ascii="宋体" w:hAnsi="宋体"/>
                <w:szCs w:val="21"/>
              </w:rPr>
              <w:t>传真：</w:t>
            </w:r>
          </w:p>
        </w:tc>
      </w:tr>
      <w:tr w14:paraId="6A90AA48">
        <w:tblPrEx>
          <w:tblCellMar>
            <w:top w:w="0" w:type="dxa"/>
            <w:left w:w="108" w:type="dxa"/>
            <w:bottom w:w="0" w:type="dxa"/>
            <w:right w:w="108" w:type="dxa"/>
          </w:tblCellMar>
        </w:tblPrEx>
        <w:trPr>
          <w:trHeight w:val="551" w:hRule="atLeast"/>
          <w:jc w:val="center"/>
        </w:trPr>
        <w:tc>
          <w:tcPr>
            <w:tcW w:w="4644" w:type="dxa"/>
            <w:noWrap w:val="0"/>
            <w:vAlign w:val="center"/>
          </w:tcPr>
          <w:p w14:paraId="1362E4FF">
            <w:pPr>
              <w:tabs>
                <w:tab w:val="left" w:pos="408"/>
              </w:tabs>
              <w:spacing w:line="360" w:lineRule="auto"/>
              <w:ind w:left="2309" w:leftChars="1" w:hanging="2307" w:hangingChars="1099"/>
              <w:jc w:val="left"/>
              <w:rPr>
                <w:rFonts w:ascii="宋体" w:hAnsi="宋体" w:cs="Courier New"/>
                <w:bCs/>
              </w:rPr>
            </w:pPr>
            <w:r>
              <w:rPr>
                <w:rFonts w:ascii="宋体" w:hAnsi="宋体" w:cs="Courier New"/>
                <w:bCs/>
              </w:rPr>
              <w:t>开户银行：</w:t>
            </w:r>
          </w:p>
        </w:tc>
        <w:tc>
          <w:tcPr>
            <w:tcW w:w="4645" w:type="dxa"/>
            <w:noWrap w:val="0"/>
            <w:vAlign w:val="center"/>
          </w:tcPr>
          <w:p w14:paraId="2AE5025B">
            <w:pPr>
              <w:spacing w:line="360" w:lineRule="auto"/>
              <w:jc w:val="left"/>
              <w:rPr>
                <w:rFonts w:ascii="宋体" w:hAnsi="宋体"/>
                <w:bCs/>
                <w:szCs w:val="21"/>
              </w:rPr>
            </w:pPr>
            <w:r>
              <w:rPr>
                <w:rFonts w:ascii="宋体" w:hAnsi="宋体"/>
                <w:szCs w:val="21"/>
              </w:rPr>
              <w:t>开户银行：</w:t>
            </w:r>
            <w:r>
              <w:rPr>
                <w:rFonts w:ascii="宋体" w:hAnsi="宋体"/>
                <w:bCs/>
                <w:szCs w:val="21"/>
              </w:rPr>
              <w:t xml:space="preserve"> </w:t>
            </w:r>
          </w:p>
        </w:tc>
      </w:tr>
      <w:tr w14:paraId="0EEE5405">
        <w:tblPrEx>
          <w:tblCellMar>
            <w:top w:w="0" w:type="dxa"/>
            <w:left w:w="108" w:type="dxa"/>
            <w:bottom w:w="0" w:type="dxa"/>
            <w:right w:w="108" w:type="dxa"/>
          </w:tblCellMar>
        </w:tblPrEx>
        <w:trPr>
          <w:trHeight w:val="580" w:hRule="atLeast"/>
          <w:jc w:val="center"/>
        </w:trPr>
        <w:tc>
          <w:tcPr>
            <w:tcW w:w="4644" w:type="dxa"/>
            <w:noWrap w:val="0"/>
            <w:vAlign w:val="center"/>
          </w:tcPr>
          <w:p w14:paraId="087DCA61">
            <w:pPr>
              <w:tabs>
                <w:tab w:val="left" w:pos="408"/>
              </w:tabs>
              <w:spacing w:line="360" w:lineRule="auto"/>
              <w:ind w:left="2309" w:leftChars="1" w:hanging="2307" w:hangingChars="1099"/>
              <w:jc w:val="left"/>
              <w:rPr>
                <w:rFonts w:ascii="宋体" w:hAnsi="宋体"/>
                <w:bCs/>
                <w:szCs w:val="21"/>
              </w:rPr>
            </w:pPr>
            <w:r>
              <w:rPr>
                <w:rFonts w:ascii="宋体" w:hAnsi="宋体" w:cs="Courier New"/>
                <w:bCs/>
              </w:rPr>
              <w:t>账号：</w:t>
            </w:r>
          </w:p>
        </w:tc>
        <w:tc>
          <w:tcPr>
            <w:tcW w:w="4645" w:type="dxa"/>
            <w:noWrap w:val="0"/>
            <w:vAlign w:val="center"/>
          </w:tcPr>
          <w:p w14:paraId="46769F5A">
            <w:pPr>
              <w:spacing w:line="360" w:lineRule="auto"/>
              <w:jc w:val="left"/>
              <w:rPr>
                <w:rFonts w:ascii="宋体" w:hAnsi="宋体"/>
                <w:bCs/>
                <w:szCs w:val="21"/>
              </w:rPr>
            </w:pPr>
            <w:r>
              <w:rPr>
                <w:rFonts w:ascii="宋体" w:hAnsi="宋体"/>
                <w:szCs w:val="21"/>
              </w:rPr>
              <w:t>账号：</w:t>
            </w:r>
          </w:p>
        </w:tc>
      </w:tr>
    </w:tbl>
    <w:p w14:paraId="79CBE55C">
      <w:pPr>
        <w:widowControl/>
        <w:spacing w:line="360" w:lineRule="auto"/>
        <w:ind w:firstLine="210" w:firstLineChars="100"/>
        <w:jc w:val="left"/>
        <w:rPr>
          <w:rFonts w:hint="eastAsia" w:ascii="宋体" w:hAnsi="宋体"/>
          <w:szCs w:val="21"/>
        </w:rPr>
      </w:pPr>
    </w:p>
    <w:p w14:paraId="0A7BD841">
      <w:pPr>
        <w:widowControl/>
        <w:spacing w:line="360" w:lineRule="auto"/>
        <w:ind w:firstLine="210" w:firstLineChars="100"/>
        <w:jc w:val="left"/>
        <w:rPr>
          <w:rFonts w:ascii="宋体" w:hAnsi="宋体"/>
          <w:szCs w:val="21"/>
          <w:u w:val="single"/>
        </w:rPr>
      </w:pPr>
      <w:r>
        <w:rPr>
          <w:rFonts w:hint="eastAsia" w:ascii="宋体" w:hAnsi="宋体"/>
          <w:szCs w:val="21"/>
        </w:rPr>
        <w:t>合同签订时间：</w:t>
      </w:r>
      <w:r>
        <w:rPr>
          <w:rFonts w:hint="eastAsia" w:ascii="宋体" w:hAnsi="宋体"/>
          <w:szCs w:val="21"/>
          <w:u w:val="single"/>
        </w:rPr>
        <w:t xml:space="preserve">      年      月      日  </w:t>
      </w:r>
    </w:p>
    <w:p w14:paraId="28E072F6">
      <w:pPr>
        <w:adjustRightInd w:val="0"/>
        <w:snapToGrid w:val="0"/>
        <w:spacing w:line="540" w:lineRule="exact"/>
        <w:ind w:firstLine="210" w:firstLineChars="100"/>
        <w:rPr>
          <w:rFonts w:hint="eastAsia" w:ascii="宋体" w:hAnsi="宋体" w:cs="宋体"/>
          <w:kern w:val="0"/>
          <w:sz w:val="24"/>
          <w:szCs w:val="24"/>
        </w:rPr>
      </w:pPr>
      <w:r>
        <w:rPr>
          <w:rFonts w:hint="eastAsia" w:ascii="宋体" w:hAnsi="宋体"/>
          <w:szCs w:val="21"/>
        </w:rPr>
        <w:t>合同签订地点：</w:t>
      </w:r>
      <w:r>
        <w:rPr>
          <w:rFonts w:hint="eastAsia" w:ascii="宋体" w:hAnsi="宋体"/>
          <w:szCs w:val="21"/>
          <w:u w:val="single"/>
        </w:rPr>
        <w:t xml:space="preserve">  深圳市    </w:t>
      </w:r>
    </w:p>
    <w:p w14:paraId="5E63B02A">
      <w:pPr>
        <w:jc w:val="center"/>
        <w:rPr>
          <w:rFonts w:hint="eastAsia"/>
          <w:sz w:val="36"/>
          <w:szCs w:val="36"/>
        </w:rPr>
      </w:pPr>
    </w:p>
    <w:p w14:paraId="60DA79EC">
      <w:pPr>
        <w:jc w:val="center"/>
        <w:rPr>
          <w:rFonts w:hint="eastAsia"/>
          <w:sz w:val="36"/>
          <w:szCs w:val="36"/>
        </w:rPr>
      </w:pPr>
    </w:p>
    <w:p w14:paraId="27B25F19">
      <w:pPr>
        <w:jc w:val="center"/>
        <w:rPr>
          <w:rFonts w:hint="eastAsia"/>
          <w:sz w:val="36"/>
          <w:szCs w:val="36"/>
        </w:rPr>
      </w:pPr>
    </w:p>
    <w:p w14:paraId="4893E947">
      <w:pPr>
        <w:jc w:val="center"/>
        <w:rPr>
          <w:rFonts w:hint="eastAsia"/>
          <w:sz w:val="36"/>
          <w:szCs w:val="36"/>
        </w:rPr>
      </w:pPr>
    </w:p>
    <w:p w14:paraId="235FA768">
      <w:pPr>
        <w:jc w:val="center"/>
        <w:rPr>
          <w:rFonts w:hint="eastAsia"/>
          <w:sz w:val="36"/>
          <w:szCs w:val="36"/>
        </w:rPr>
      </w:pPr>
    </w:p>
    <w:p w14:paraId="0F8F4DE8">
      <w:pPr>
        <w:jc w:val="center"/>
        <w:rPr>
          <w:rFonts w:hint="eastAsia"/>
          <w:sz w:val="36"/>
          <w:szCs w:val="36"/>
        </w:rPr>
      </w:pPr>
    </w:p>
    <w:p w14:paraId="3C8308C6">
      <w:pPr>
        <w:jc w:val="center"/>
        <w:rPr>
          <w:rFonts w:hint="eastAsia"/>
          <w:sz w:val="36"/>
          <w:szCs w:val="36"/>
        </w:rPr>
      </w:pPr>
    </w:p>
    <w:p w14:paraId="21A5BC00">
      <w:pPr>
        <w:rPr>
          <w:rFonts w:hint="eastAsia"/>
          <w:sz w:val="36"/>
          <w:szCs w:val="36"/>
        </w:rPr>
      </w:pPr>
    </w:p>
    <w:p w14:paraId="47B7B29C">
      <w:pPr>
        <w:pStyle w:val="104"/>
        <w:rPr>
          <w:rFonts w:hint="eastAsia"/>
          <w:color w:val="auto"/>
          <w:sz w:val="36"/>
          <w:szCs w:val="36"/>
        </w:rPr>
      </w:pPr>
    </w:p>
    <w:p w14:paraId="498B90CD">
      <w:pPr>
        <w:rPr>
          <w:rFonts w:hint="eastAsia"/>
          <w:sz w:val="36"/>
          <w:szCs w:val="36"/>
        </w:rPr>
      </w:pPr>
    </w:p>
    <w:p w14:paraId="13AC140C">
      <w:pPr>
        <w:rPr>
          <w:rFonts w:hint="eastAsia"/>
          <w:sz w:val="36"/>
          <w:szCs w:val="36"/>
        </w:rPr>
      </w:pPr>
    </w:p>
    <w:p w14:paraId="466B5366">
      <w:pPr>
        <w:jc w:val="center"/>
        <w:rPr>
          <w:rFonts w:hint="eastAsia" w:ascii="黑体"/>
          <w:b/>
          <w:bCs/>
          <w:sz w:val="36"/>
          <w:szCs w:val="36"/>
        </w:rPr>
      </w:pPr>
      <w:r>
        <w:rPr>
          <w:rFonts w:hint="eastAsia"/>
          <w:b/>
          <w:bCs/>
          <w:sz w:val="36"/>
          <w:szCs w:val="36"/>
        </w:rPr>
        <w:t>第二部分 澄清文件</w:t>
      </w:r>
    </w:p>
    <w:p w14:paraId="1821BCD2"/>
    <w:p w14:paraId="611A5F40"/>
    <w:p w14:paraId="6FE28DD9"/>
    <w:p w14:paraId="68C4A4FE"/>
    <w:p w14:paraId="6DBB9FD2"/>
    <w:p w14:paraId="048CEC50"/>
    <w:p w14:paraId="27C0CD90"/>
    <w:p w14:paraId="62822EDA"/>
    <w:p w14:paraId="1532CDA7"/>
    <w:p w14:paraId="4D2B0881"/>
    <w:p w14:paraId="5C4A1CD6"/>
    <w:p w14:paraId="7A4F4752"/>
    <w:p w14:paraId="6DE254F9"/>
    <w:p w14:paraId="23132DB6"/>
    <w:p w14:paraId="5531D1D8"/>
    <w:p w14:paraId="3AC112C8"/>
    <w:p w14:paraId="3F38F26B"/>
    <w:p w14:paraId="13F555D4"/>
    <w:p w14:paraId="2B10C8CB"/>
    <w:p w14:paraId="32DD078E"/>
    <w:p w14:paraId="48F20B2F"/>
    <w:p w14:paraId="5B5C46BE"/>
    <w:p w14:paraId="6A8DCC92"/>
    <w:p w14:paraId="2D2D7B2E"/>
    <w:p w14:paraId="22E23C1D"/>
    <w:p w14:paraId="08D037BF"/>
    <w:p w14:paraId="2D686E09"/>
    <w:p w14:paraId="304ABAEC"/>
    <w:p w14:paraId="0E6595EE"/>
    <w:p w14:paraId="1C1E9ECA">
      <w:pPr>
        <w:rPr>
          <w:rFonts w:hint="eastAsia"/>
        </w:rPr>
      </w:pPr>
    </w:p>
    <w:p w14:paraId="69F4510D">
      <w:pPr>
        <w:pStyle w:val="44"/>
        <w:rPr>
          <w:rFonts w:hint="eastAsia"/>
        </w:rPr>
      </w:pPr>
    </w:p>
    <w:p w14:paraId="49DC19F7">
      <w:pPr>
        <w:rPr>
          <w:rFonts w:hint="eastAsia"/>
        </w:rPr>
      </w:pPr>
    </w:p>
    <w:p w14:paraId="0DC2CE77">
      <w:pPr>
        <w:pStyle w:val="44"/>
        <w:rPr>
          <w:rFonts w:hint="eastAsia"/>
        </w:rPr>
      </w:pPr>
    </w:p>
    <w:p w14:paraId="172C91B7">
      <w:pPr>
        <w:rPr>
          <w:rFonts w:hint="eastAsia"/>
        </w:rPr>
      </w:pPr>
    </w:p>
    <w:p w14:paraId="58A87E9F">
      <w:pPr>
        <w:pStyle w:val="44"/>
        <w:rPr>
          <w:rFonts w:hint="eastAsia"/>
        </w:rPr>
      </w:pPr>
    </w:p>
    <w:p w14:paraId="12326D3B">
      <w:pPr>
        <w:rPr>
          <w:rFonts w:hint="eastAsia"/>
        </w:rPr>
      </w:pPr>
    </w:p>
    <w:p w14:paraId="33AF376C">
      <w:pPr>
        <w:pStyle w:val="44"/>
        <w:rPr>
          <w:rFonts w:hint="eastAsia"/>
        </w:rPr>
      </w:pPr>
    </w:p>
    <w:p w14:paraId="5A371232">
      <w:pPr>
        <w:rPr>
          <w:rFonts w:hint="eastAsia"/>
        </w:rPr>
      </w:pPr>
    </w:p>
    <w:p w14:paraId="25C08DDF">
      <w:pPr>
        <w:pStyle w:val="44"/>
        <w:rPr>
          <w:rFonts w:hint="eastAsia"/>
        </w:rPr>
      </w:pPr>
    </w:p>
    <w:p w14:paraId="440307BA">
      <w:pPr>
        <w:rPr>
          <w:rFonts w:hint="eastAsia"/>
        </w:rPr>
      </w:pPr>
    </w:p>
    <w:p w14:paraId="650CE392">
      <w:pPr>
        <w:pStyle w:val="44"/>
        <w:rPr>
          <w:rFonts w:hint="eastAsia"/>
        </w:rPr>
      </w:pPr>
    </w:p>
    <w:p w14:paraId="5CD95EAF">
      <w:pPr>
        <w:pStyle w:val="25"/>
        <w:rPr>
          <w:rFonts w:hint="eastAsia"/>
          <w:sz w:val="36"/>
          <w:szCs w:val="36"/>
        </w:rPr>
      </w:pPr>
      <w:r>
        <w:rPr>
          <w:rFonts w:hint="eastAsia"/>
          <w:sz w:val="36"/>
          <w:szCs w:val="36"/>
        </w:rPr>
        <w:t>第三部分 委托文件</w:t>
      </w:r>
    </w:p>
    <w:p w14:paraId="421BCEC8">
      <w:pPr>
        <w:adjustRightInd w:val="0"/>
        <w:snapToGrid w:val="0"/>
        <w:spacing w:before="312" w:beforeLines="100"/>
        <w:jc w:val="center"/>
        <w:rPr>
          <w:rFonts w:hint="eastAsia" w:ascii="宋体" w:hAnsi="宋体"/>
          <w:b/>
          <w:bCs/>
          <w:sz w:val="32"/>
          <w:szCs w:val="32"/>
        </w:rPr>
      </w:pPr>
      <w:r>
        <w:rPr>
          <w:rFonts w:hint="eastAsia" w:ascii="宋体" w:hAnsi="宋体"/>
          <w:b/>
          <w:bCs/>
          <w:sz w:val="32"/>
          <w:szCs w:val="32"/>
        </w:rPr>
        <w:t>关于____________________________________委托函</w:t>
      </w:r>
    </w:p>
    <w:p w14:paraId="2AEFBA31">
      <w:pPr>
        <w:spacing w:line="520" w:lineRule="exact"/>
        <w:jc w:val="left"/>
        <w:rPr>
          <w:rFonts w:hint="eastAsia" w:ascii="仿宋_GB2312" w:hAnsi="仿宋_GB2312" w:eastAsia="仿宋_GB2312" w:cs="仿宋_GB2312"/>
          <w:sz w:val="32"/>
          <w:szCs w:val="32"/>
        </w:rPr>
      </w:pPr>
    </w:p>
    <w:p w14:paraId="0F5FC405">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__________________:</w:t>
      </w:r>
      <w:r>
        <w:rPr>
          <w:rFonts w:hint="eastAsia" w:ascii="仿宋_GB2312" w:hAnsi="仿宋_GB2312" w:eastAsia="仿宋_GB2312" w:cs="仿宋_GB2312"/>
          <w:sz w:val="32"/>
          <w:szCs w:val="32"/>
        </w:rPr>
        <w:tab/>
      </w:r>
    </w:p>
    <w:p w14:paraId="28E34D7C">
      <w:pPr>
        <w:spacing w:line="520" w:lineRule="exact"/>
        <w:ind w:firstLine="640"/>
        <w:jc w:val="left"/>
        <w:rPr>
          <w:rFonts w:hint="eastAsia" w:ascii="仿宋" w:hAnsi="仿宋" w:eastAsia="仿宋"/>
          <w:sz w:val="28"/>
          <w:szCs w:val="28"/>
        </w:rPr>
      </w:pPr>
      <w:r>
        <w:rPr>
          <w:rFonts w:hint="eastAsia" w:ascii="仿宋" w:hAnsi="仿宋" w:eastAsia="仿宋"/>
          <w:sz w:val="28"/>
          <w:szCs w:val="28"/>
        </w:rPr>
        <w:t>我司拟委托贵司承担_________________________________________，合同金额暂定为人民币____________万元(含税）。其中暂列金额人民币_________万元，安全文明施工措施费人民币__________万元，净下浮率__%。</w:t>
      </w:r>
    </w:p>
    <w:p w14:paraId="49AC431F">
      <w:pPr>
        <w:spacing w:line="520" w:lineRule="exact"/>
        <w:ind w:firstLine="640"/>
        <w:jc w:val="left"/>
        <w:rPr>
          <w:rFonts w:hint="eastAsia" w:ascii="仿宋" w:hAnsi="仿宋" w:eastAsia="仿宋"/>
          <w:sz w:val="28"/>
          <w:szCs w:val="28"/>
        </w:rPr>
      </w:pPr>
      <w:r>
        <w:rPr>
          <w:rFonts w:hint="eastAsia" w:ascii="仿宋" w:hAnsi="仿宋" w:eastAsia="仿宋"/>
          <w:sz w:val="28"/>
          <w:szCs w:val="28"/>
        </w:rPr>
        <w:t>请贵司收到此函后组织人员尽快开展工作,并与我集团联系协商签订合同事宜。</w:t>
      </w:r>
    </w:p>
    <w:p w14:paraId="5DD8F880">
      <w:pPr>
        <w:spacing w:line="520" w:lineRule="exact"/>
        <w:ind w:firstLine="640"/>
        <w:jc w:val="left"/>
        <w:rPr>
          <w:rFonts w:hint="eastAsia" w:ascii="仿宋" w:hAnsi="仿宋" w:eastAsia="仿宋"/>
          <w:sz w:val="28"/>
          <w:szCs w:val="28"/>
        </w:rPr>
      </w:pPr>
      <w:r>
        <w:rPr>
          <w:rFonts w:hint="eastAsia" w:ascii="仿宋" w:hAnsi="仿宋" w:eastAsia="仿宋"/>
          <w:sz w:val="28"/>
          <w:szCs w:val="28"/>
        </w:rPr>
        <w:t>此函。</w:t>
      </w:r>
    </w:p>
    <w:p w14:paraId="48A7D079">
      <w:pPr>
        <w:spacing w:line="520" w:lineRule="exact"/>
        <w:ind w:firstLine="640"/>
        <w:jc w:val="left"/>
        <w:rPr>
          <w:rFonts w:hint="eastAsia" w:ascii="仿宋_GB2312" w:hAnsi="仿宋_GB2312" w:eastAsia="仿宋_GB2312" w:cs="仿宋_GB2312"/>
          <w:sz w:val="32"/>
          <w:szCs w:val="32"/>
        </w:rPr>
      </w:pPr>
    </w:p>
    <w:p w14:paraId="0A31E35F">
      <w:pPr>
        <w:spacing w:line="520" w:lineRule="exact"/>
        <w:ind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___________________________________</w:t>
      </w:r>
    </w:p>
    <w:p w14:paraId="7C0CED91">
      <w:pPr>
        <w:spacing w:line="520" w:lineRule="exact"/>
        <w:ind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07C8DB90">
      <w:pPr>
        <w:pStyle w:val="25"/>
        <w:rPr>
          <w:rFonts w:hint="eastAsia"/>
          <w:sz w:val="36"/>
          <w:szCs w:val="36"/>
        </w:rPr>
      </w:pPr>
    </w:p>
    <w:p w14:paraId="25629147">
      <w:pPr>
        <w:pStyle w:val="25"/>
        <w:rPr>
          <w:rFonts w:hint="eastAsia"/>
          <w:sz w:val="36"/>
          <w:szCs w:val="36"/>
        </w:rPr>
      </w:pPr>
    </w:p>
    <w:p w14:paraId="13D31F42">
      <w:pPr>
        <w:pStyle w:val="25"/>
        <w:rPr>
          <w:rFonts w:hint="eastAsia"/>
          <w:sz w:val="36"/>
          <w:szCs w:val="36"/>
        </w:rPr>
      </w:pPr>
    </w:p>
    <w:p w14:paraId="587FFE6C">
      <w:pPr>
        <w:rPr>
          <w:rFonts w:hint="eastAsia"/>
          <w:sz w:val="36"/>
          <w:szCs w:val="36"/>
        </w:rPr>
      </w:pPr>
    </w:p>
    <w:p w14:paraId="6A07D34B">
      <w:pPr>
        <w:pStyle w:val="25"/>
        <w:rPr>
          <w:rFonts w:hint="eastAsia"/>
          <w:sz w:val="36"/>
          <w:szCs w:val="36"/>
        </w:rPr>
      </w:pPr>
    </w:p>
    <w:p w14:paraId="42662A07">
      <w:pPr>
        <w:rPr>
          <w:rFonts w:hint="eastAsia"/>
          <w:sz w:val="36"/>
          <w:szCs w:val="36"/>
        </w:rPr>
      </w:pPr>
    </w:p>
    <w:p w14:paraId="6F7EA9D2">
      <w:pPr>
        <w:pStyle w:val="16"/>
        <w:spacing w:before="156"/>
        <w:rPr>
          <w:rFonts w:hint="eastAsia"/>
          <w:sz w:val="36"/>
          <w:szCs w:val="36"/>
        </w:rPr>
      </w:pPr>
    </w:p>
    <w:p w14:paraId="3A91E6C9">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sectPr>
          <w:footerReference r:id="rId7" w:type="default"/>
          <w:pgSz w:w="11906" w:h="16838"/>
          <w:pgMar w:top="1276" w:right="1351" w:bottom="1135" w:left="1414" w:header="851" w:footer="992" w:gutter="0"/>
          <w:cols w:space="720" w:num="1"/>
          <w:docGrid w:type="lines" w:linePitch="312" w:charSpace="0"/>
        </w:sectPr>
      </w:pPr>
    </w:p>
    <w:p w14:paraId="3EFAA37F">
      <w:pPr>
        <w:pStyle w:val="4"/>
        <w:keepNext w:val="0"/>
        <w:keepLines w:val="0"/>
        <w:numPr>
          <w:ilvl w:val="0"/>
          <w:numId w:val="0"/>
        </w:numPr>
        <w:tabs>
          <w:tab w:val="clear" w:pos="1080"/>
        </w:tabs>
        <w:spacing w:line="360" w:lineRule="auto"/>
        <w:ind w:left="2100" w:leftChars="1000" w:firstLine="723" w:firstLineChars="200"/>
        <w:rPr>
          <w:rFonts w:ascii="宋体" w:hAnsi="宋体" w:cs="宋体"/>
          <w:bCs w:val="0"/>
          <w:sz w:val="36"/>
          <w:szCs w:val="36"/>
        </w:rPr>
      </w:pPr>
      <w:r>
        <w:rPr>
          <w:rFonts w:hint="eastAsia" w:ascii="宋体" w:hAnsi="宋体" w:cs="宋体"/>
          <w:bCs w:val="0"/>
          <w:sz w:val="36"/>
          <w:szCs w:val="36"/>
        </w:rPr>
        <w:t>第四部分  承诺函（如有）</w:t>
      </w:r>
    </w:p>
    <w:p w14:paraId="7009D92F">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p>
    <w:p w14:paraId="19416449">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p>
    <w:p w14:paraId="00755734">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p>
    <w:p w14:paraId="3DD1C4EA">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p>
    <w:p w14:paraId="71C2528D">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p>
    <w:p w14:paraId="080DC3E5">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p>
    <w:p w14:paraId="7979FC2B">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p>
    <w:p w14:paraId="07F8E3AD">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p>
    <w:p w14:paraId="667E03A4">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p>
    <w:p w14:paraId="2DC25816">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p>
    <w:p w14:paraId="1E3FBB45">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p>
    <w:p w14:paraId="047DC667">
      <w:pPr>
        <w:pStyle w:val="4"/>
        <w:keepNext w:val="0"/>
        <w:keepLines w:val="0"/>
        <w:numPr>
          <w:ilvl w:val="0"/>
          <w:numId w:val="0"/>
        </w:numPr>
        <w:tabs>
          <w:tab w:val="clear" w:pos="1080"/>
        </w:tabs>
        <w:spacing w:line="360" w:lineRule="auto"/>
        <w:rPr>
          <w:rFonts w:hint="eastAsia" w:ascii="宋体" w:hAnsi="宋体" w:cs="宋体"/>
          <w:bCs w:val="0"/>
          <w:sz w:val="36"/>
          <w:szCs w:val="36"/>
        </w:rPr>
      </w:pPr>
    </w:p>
    <w:p w14:paraId="1F30E0D4">
      <w:pPr>
        <w:rPr>
          <w:rFonts w:hint="eastAsia" w:ascii="宋体" w:hAnsi="宋体" w:cs="宋体"/>
          <w:b/>
          <w:sz w:val="36"/>
          <w:szCs w:val="36"/>
        </w:rPr>
      </w:pPr>
    </w:p>
    <w:p w14:paraId="2C5B3B07">
      <w:pPr>
        <w:pStyle w:val="104"/>
        <w:rPr>
          <w:rFonts w:hint="eastAsia"/>
        </w:rPr>
      </w:pPr>
    </w:p>
    <w:p w14:paraId="0CAF8557">
      <w:pPr>
        <w:rPr>
          <w:rFonts w:hint="eastAsia"/>
        </w:rPr>
      </w:pPr>
    </w:p>
    <w:p w14:paraId="6FE0E7AB">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sectPr>
          <w:pgSz w:w="11906" w:h="16838"/>
          <w:pgMar w:top="1276" w:right="1351" w:bottom="1135" w:left="1414" w:header="851" w:footer="992" w:gutter="0"/>
          <w:cols w:space="720" w:num="1"/>
          <w:docGrid w:type="lines" w:linePitch="312" w:charSpace="0"/>
        </w:sectPr>
      </w:pPr>
    </w:p>
    <w:p w14:paraId="1ABBD9B8">
      <w:pPr>
        <w:pStyle w:val="4"/>
        <w:keepNext w:val="0"/>
        <w:keepLines w:val="0"/>
        <w:numPr>
          <w:ilvl w:val="0"/>
          <w:numId w:val="0"/>
        </w:numPr>
        <w:tabs>
          <w:tab w:val="clear" w:pos="1080"/>
        </w:tabs>
        <w:spacing w:line="360" w:lineRule="auto"/>
        <w:ind w:left="2100" w:leftChars="1000" w:firstLine="723" w:firstLineChars="200"/>
        <w:rPr>
          <w:rFonts w:hint="eastAsia" w:ascii="宋体" w:hAnsi="宋体" w:cs="宋体"/>
          <w:bCs w:val="0"/>
          <w:sz w:val="36"/>
          <w:szCs w:val="36"/>
        </w:rPr>
      </w:pPr>
      <w:r>
        <w:rPr>
          <w:rFonts w:hint="eastAsia" w:ascii="宋体" w:hAnsi="宋体" w:cs="宋体"/>
          <w:bCs w:val="0"/>
          <w:sz w:val="36"/>
          <w:szCs w:val="36"/>
        </w:rPr>
        <w:t>第五部分 合同附件</w:t>
      </w:r>
    </w:p>
    <w:p w14:paraId="06BCE186">
      <w:pPr>
        <w:pStyle w:val="147"/>
        <w:spacing w:line="360" w:lineRule="auto"/>
        <w:rPr>
          <w:rFonts w:hint="eastAsia" w:ascii="宋体" w:hAnsi="宋体"/>
          <w:b/>
          <w:bCs/>
          <w:kern w:val="44"/>
          <w:szCs w:val="21"/>
        </w:rPr>
      </w:pPr>
      <w:r>
        <w:rPr>
          <w:rFonts w:hint="eastAsia" w:ascii="宋体" w:hAnsi="宋体"/>
          <w:b/>
          <w:bCs/>
          <w:kern w:val="44"/>
          <w:szCs w:val="21"/>
        </w:rPr>
        <w:t xml:space="preserve">附件1                          </w:t>
      </w:r>
    </w:p>
    <w:p w14:paraId="631521F7">
      <w:pPr>
        <w:pStyle w:val="147"/>
        <w:spacing w:line="360" w:lineRule="auto"/>
        <w:ind w:firstLine="3915" w:firstLineChars="1300"/>
        <w:rPr>
          <w:rFonts w:ascii="宋体" w:hAnsi="宋体" w:cs="宋体"/>
          <w:b/>
          <w:spacing w:val="4"/>
          <w:sz w:val="32"/>
          <w:szCs w:val="32"/>
        </w:rPr>
      </w:pPr>
      <w:r>
        <w:rPr>
          <w:rFonts w:hint="eastAsia" w:ascii="宋体" w:hAnsi="宋体"/>
          <w:b/>
          <w:kern w:val="0"/>
          <w:sz w:val="30"/>
          <w:szCs w:val="22"/>
        </w:rPr>
        <w:t xml:space="preserve">履约评价   </w:t>
      </w:r>
      <w:r>
        <w:rPr>
          <w:rFonts w:hint="eastAsia" w:ascii="宋体" w:hAnsi="宋体" w:cs="宋体"/>
          <w:b/>
          <w:spacing w:val="4"/>
          <w:sz w:val="32"/>
          <w:szCs w:val="32"/>
        </w:rPr>
        <w:t xml:space="preserve">             </w:t>
      </w:r>
    </w:p>
    <w:p w14:paraId="7C5FBBA8">
      <w:pPr>
        <w:pStyle w:val="147"/>
        <w:spacing w:line="360" w:lineRule="auto"/>
        <w:ind w:firstLine="465"/>
        <w:rPr>
          <w:rFonts w:hint="eastAsia" w:ascii="宋体"/>
          <w:bCs/>
          <w:sz w:val="24"/>
          <w:u w:val="single"/>
        </w:rPr>
      </w:pPr>
      <w:r>
        <w:rPr>
          <w:rFonts w:hint="eastAsia" w:ascii="宋体"/>
          <w:bCs/>
          <w:sz w:val="24"/>
          <w:u w:val="single"/>
        </w:rPr>
        <w:t>1、本办法以承包人的实际工作为根据，通过量化的方式对其工作进行全面评价，并奖优罚劣，以提高承包人合同履约工作整体质量。</w:t>
      </w:r>
    </w:p>
    <w:p w14:paraId="3FF34A89">
      <w:pPr>
        <w:pStyle w:val="147"/>
        <w:spacing w:line="360" w:lineRule="auto"/>
        <w:ind w:firstLine="465"/>
        <w:rPr>
          <w:rFonts w:hint="eastAsia" w:ascii="宋体"/>
          <w:bCs/>
          <w:sz w:val="24"/>
          <w:u w:val="single"/>
        </w:rPr>
      </w:pPr>
      <w:r>
        <w:rPr>
          <w:rFonts w:hint="eastAsia" w:ascii="宋体"/>
          <w:bCs/>
          <w:sz w:val="24"/>
          <w:u w:val="single"/>
        </w:rPr>
        <w:t>2、发包人有权依据其印发的《工程建设项目合同履约评价管理办法》及本合同约定对评价内容进行修订、补充和完善，承包人应无条件接受修订后的评价内容。</w:t>
      </w:r>
    </w:p>
    <w:p w14:paraId="5EDD229F">
      <w:pPr>
        <w:pStyle w:val="147"/>
        <w:spacing w:line="360" w:lineRule="auto"/>
        <w:ind w:firstLine="465"/>
        <w:rPr>
          <w:rFonts w:hint="eastAsia" w:ascii="宋体"/>
          <w:bCs/>
          <w:sz w:val="24"/>
          <w:u w:val="single"/>
        </w:rPr>
      </w:pPr>
      <w:r>
        <w:rPr>
          <w:rFonts w:hint="eastAsia" w:ascii="宋体"/>
          <w:bCs/>
          <w:sz w:val="24"/>
          <w:u w:val="single"/>
        </w:rPr>
        <w:t>3、评价工作由发包人牵头，监理工程师负责组织，造价咨询单位参加，承包人应无条件配合发包人对其进行评价，并无条件接受评价结果以及发包人依据《工程建设项目合同履约评价管理办法》对结果进行应用，承包人承诺不会因此提出任何延期、索赔等要求。</w:t>
      </w:r>
    </w:p>
    <w:p w14:paraId="1896E3F6">
      <w:pPr>
        <w:pStyle w:val="147"/>
        <w:spacing w:line="360" w:lineRule="auto"/>
        <w:ind w:firstLine="465"/>
        <w:rPr>
          <w:rFonts w:ascii="宋体"/>
          <w:bCs/>
          <w:sz w:val="24"/>
          <w:u w:val="single"/>
        </w:rPr>
      </w:pPr>
      <w:r>
        <w:rPr>
          <w:rFonts w:hint="eastAsia" w:ascii="宋体"/>
          <w:bCs/>
          <w:sz w:val="24"/>
          <w:u w:val="single"/>
        </w:rPr>
        <w:t>4、评分细则</w:t>
      </w:r>
    </w:p>
    <w:p w14:paraId="08F9D9EB">
      <w:pPr>
        <w:pStyle w:val="147"/>
        <w:spacing w:line="360" w:lineRule="auto"/>
        <w:ind w:firstLine="465"/>
        <w:rPr>
          <w:rFonts w:ascii="宋体"/>
          <w:bCs/>
          <w:sz w:val="24"/>
          <w:u w:val="single"/>
        </w:rPr>
      </w:pPr>
      <w:r>
        <w:rPr>
          <w:rFonts w:hint="eastAsia" w:ascii="宋体"/>
          <w:bCs/>
          <w:sz w:val="24"/>
          <w:u w:val="single"/>
        </w:rPr>
        <w:t>（1）发包人依据《工程建设项目合同履约评价管理办法》及本合同约定对承包人进行履约评价。</w:t>
      </w:r>
    </w:p>
    <w:p w14:paraId="6887373A">
      <w:pPr>
        <w:pStyle w:val="147"/>
        <w:spacing w:line="360" w:lineRule="auto"/>
        <w:ind w:firstLine="465"/>
        <w:rPr>
          <w:rFonts w:ascii="宋体"/>
          <w:bCs/>
          <w:sz w:val="24"/>
          <w:u w:val="single"/>
        </w:rPr>
      </w:pPr>
      <w:r>
        <w:rPr>
          <w:rFonts w:hint="eastAsia" w:ascii="宋体"/>
          <w:bCs/>
          <w:sz w:val="24"/>
          <w:u w:val="single"/>
        </w:rPr>
        <w:t>（2）采用一次性履约评价方式，竣工验收后组织最终履约评价。</w:t>
      </w:r>
    </w:p>
    <w:p w14:paraId="2B9D984D">
      <w:pPr>
        <w:pStyle w:val="147"/>
        <w:spacing w:line="360" w:lineRule="auto"/>
        <w:ind w:firstLine="465"/>
        <w:rPr>
          <w:rFonts w:ascii="宋体"/>
          <w:bCs/>
          <w:sz w:val="24"/>
          <w:u w:val="single"/>
        </w:rPr>
      </w:pPr>
      <w:r>
        <w:rPr>
          <w:rFonts w:hint="eastAsia" w:ascii="宋体"/>
          <w:bCs/>
          <w:sz w:val="24"/>
          <w:u w:val="single"/>
        </w:rPr>
        <w:t>（3）每个类别根据各评分项目规定的评分细则进行打分。</w:t>
      </w:r>
    </w:p>
    <w:p w14:paraId="63A71968">
      <w:pPr>
        <w:pStyle w:val="147"/>
        <w:spacing w:line="360" w:lineRule="auto"/>
        <w:ind w:firstLine="465"/>
        <w:rPr>
          <w:rFonts w:ascii="宋体"/>
          <w:bCs/>
          <w:sz w:val="24"/>
          <w:u w:val="single"/>
        </w:rPr>
      </w:pPr>
      <w:r>
        <w:rPr>
          <w:rFonts w:hint="eastAsia" w:ascii="宋体"/>
          <w:bCs/>
          <w:sz w:val="24"/>
          <w:u w:val="single"/>
        </w:rPr>
        <w:t>（4）每个评分项目的打分不得超过该项目的标准分，每个项目的扣分按评分项目直至扣到零分为止。</w:t>
      </w:r>
    </w:p>
    <w:p w14:paraId="021E2C50">
      <w:pPr>
        <w:pStyle w:val="147"/>
        <w:spacing w:line="360" w:lineRule="auto"/>
        <w:ind w:firstLine="465"/>
        <w:rPr>
          <w:rFonts w:ascii="宋体"/>
          <w:bCs/>
          <w:sz w:val="24"/>
          <w:u w:val="single"/>
        </w:rPr>
      </w:pPr>
      <w:r>
        <w:rPr>
          <w:rFonts w:hint="eastAsia" w:ascii="宋体"/>
          <w:bCs/>
          <w:sz w:val="24"/>
          <w:u w:val="single"/>
        </w:rPr>
        <w:t>5、评价结果</w:t>
      </w:r>
    </w:p>
    <w:p w14:paraId="2F0E5EB4">
      <w:pPr>
        <w:pStyle w:val="147"/>
        <w:spacing w:line="360" w:lineRule="auto"/>
        <w:ind w:firstLine="465"/>
        <w:rPr>
          <w:rFonts w:ascii="宋体"/>
          <w:bCs/>
          <w:sz w:val="24"/>
          <w:u w:val="single"/>
        </w:rPr>
      </w:pPr>
      <w:r>
        <w:rPr>
          <w:rFonts w:hint="eastAsia" w:ascii="宋体"/>
          <w:bCs/>
          <w:sz w:val="24"/>
          <w:u w:val="single"/>
        </w:rPr>
        <w:t>履约评价结果将按照发包人印发的《工程建设项目合同履约评价管理办法》进行运用。</w:t>
      </w:r>
    </w:p>
    <w:p w14:paraId="04044AA3">
      <w:pPr>
        <w:adjustRightInd w:val="0"/>
        <w:snapToGrid w:val="0"/>
        <w:spacing w:line="360" w:lineRule="auto"/>
        <w:jc w:val="left"/>
        <w:rPr>
          <w:rFonts w:hint="eastAsia" w:ascii="宋体" w:hAnsi="宋体"/>
          <w:b/>
          <w:sz w:val="36"/>
          <w:szCs w:val="36"/>
        </w:rPr>
        <w:sectPr>
          <w:pgSz w:w="11906" w:h="16838"/>
          <w:pgMar w:top="1276" w:right="1351" w:bottom="1135" w:left="1414" w:header="851" w:footer="992" w:gutter="0"/>
          <w:cols w:space="720" w:num="1"/>
          <w:docGrid w:type="lines" w:linePitch="312" w:charSpace="0"/>
        </w:sectPr>
      </w:pPr>
    </w:p>
    <w:p w14:paraId="01A5972B">
      <w:pPr>
        <w:adjustRightInd w:val="0"/>
        <w:snapToGrid w:val="0"/>
        <w:spacing w:line="360" w:lineRule="auto"/>
        <w:jc w:val="left"/>
        <w:rPr>
          <w:rFonts w:ascii="宋体" w:hAnsi="宋体"/>
          <w:snapToGrid w:val="0"/>
          <w:szCs w:val="21"/>
        </w:rPr>
      </w:pPr>
      <w:r>
        <w:rPr>
          <w:rFonts w:hint="eastAsia" w:ascii="宋体" w:hAnsi="宋体"/>
          <w:b/>
          <w:sz w:val="36"/>
          <w:szCs w:val="36"/>
        </w:rPr>
        <w:t xml:space="preserve">    </w:t>
      </w:r>
    </w:p>
    <w:tbl>
      <w:tblPr>
        <w:tblStyle w:val="53"/>
        <w:tblW w:w="8760" w:type="dxa"/>
        <w:tblInd w:w="0" w:type="dxa"/>
        <w:tblLayout w:type="fixed"/>
        <w:tblCellMar>
          <w:top w:w="0" w:type="dxa"/>
          <w:left w:w="0" w:type="dxa"/>
          <w:bottom w:w="0" w:type="dxa"/>
          <w:right w:w="0" w:type="dxa"/>
        </w:tblCellMar>
      </w:tblPr>
      <w:tblGrid>
        <w:gridCol w:w="527"/>
        <w:gridCol w:w="703"/>
        <w:gridCol w:w="702"/>
        <w:gridCol w:w="789"/>
        <w:gridCol w:w="705"/>
        <w:gridCol w:w="750"/>
        <w:gridCol w:w="645"/>
        <w:gridCol w:w="2790"/>
        <w:gridCol w:w="750"/>
        <w:gridCol w:w="399"/>
      </w:tblGrid>
      <w:tr w14:paraId="3AB5912B">
        <w:tblPrEx>
          <w:tblCellMar>
            <w:top w:w="0" w:type="dxa"/>
            <w:left w:w="0" w:type="dxa"/>
            <w:bottom w:w="0" w:type="dxa"/>
            <w:right w:w="0" w:type="dxa"/>
          </w:tblCellMar>
        </w:tblPrEx>
        <w:trPr>
          <w:trHeight w:val="1020" w:hRule="atLeast"/>
        </w:trPr>
        <w:tc>
          <w:tcPr>
            <w:tcW w:w="8760" w:type="dxa"/>
            <w:gridSpan w:val="10"/>
            <w:tcBorders>
              <w:top w:val="nil"/>
              <w:left w:val="nil"/>
              <w:bottom w:val="nil"/>
              <w:right w:val="nil"/>
            </w:tcBorders>
            <w:noWrap w:val="0"/>
            <w:tcMar>
              <w:top w:w="15" w:type="dxa"/>
              <w:left w:w="15" w:type="dxa"/>
              <w:right w:w="15" w:type="dxa"/>
            </w:tcMar>
            <w:vAlign w:val="center"/>
          </w:tcPr>
          <w:p w14:paraId="066CA9DF">
            <w:pPr>
              <w:widowControl/>
              <w:jc w:val="center"/>
              <w:textAlignment w:val="center"/>
              <w:rPr>
                <w:rFonts w:hint="eastAsia" w:ascii="黑体" w:hAnsi="宋体" w:eastAsia="黑体" w:cs="黑体"/>
                <w:b/>
                <w:sz w:val="36"/>
                <w:szCs w:val="36"/>
              </w:rPr>
            </w:pPr>
            <w:r>
              <w:rPr>
                <w:rFonts w:hint="eastAsia" w:ascii="宋体" w:hAnsi="宋体"/>
                <w:b/>
                <w:sz w:val="36"/>
                <w:szCs w:val="36"/>
              </w:rPr>
              <w:t xml:space="preserve">     </w:t>
            </w:r>
            <w:r>
              <w:rPr>
                <w:rFonts w:hint="eastAsia" w:ascii="黑体" w:hAnsi="宋体" w:eastAsia="黑体" w:cs="黑体"/>
                <w:b/>
                <w:kern w:val="0"/>
                <w:sz w:val="24"/>
                <w:szCs w:val="24"/>
                <w:lang w:bidi="ar"/>
              </w:rPr>
              <w:t>施工合同节点履约评价评分标准表</w:t>
            </w:r>
            <w:r>
              <w:rPr>
                <w:rFonts w:hint="eastAsia" w:ascii="黑体" w:hAnsi="宋体" w:eastAsia="黑体" w:cs="黑体"/>
                <w:b/>
                <w:kern w:val="0"/>
                <w:sz w:val="24"/>
                <w:szCs w:val="24"/>
                <w:lang w:bidi="ar"/>
              </w:rPr>
              <w:br w:type="textWrapping"/>
            </w:r>
            <w:r>
              <w:rPr>
                <w:rFonts w:hint="eastAsia" w:ascii="黑体" w:hAnsi="宋体" w:eastAsia="黑体" w:cs="黑体"/>
                <w:b/>
                <w:kern w:val="0"/>
                <w:sz w:val="24"/>
                <w:szCs w:val="24"/>
                <w:lang w:bidi="ar"/>
              </w:rPr>
              <w:t>（样表）</w:t>
            </w:r>
          </w:p>
        </w:tc>
      </w:tr>
      <w:tr w14:paraId="7766C7DB">
        <w:tblPrEx>
          <w:tblCellMar>
            <w:top w:w="0" w:type="dxa"/>
            <w:left w:w="0" w:type="dxa"/>
            <w:bottom w:w="0" w:type="dxa"/>
            <w:right w:w="0" w:type="dxa"/>
          </w:tblCellMar>
        </w:tblPrEx>
        <w:trPr>
          <w:trHeight w:val="800" w:hRule="atLeast"/>
        </w:trPr>
        <w:tc>
          <w:tcPr>
            <w:tcW w:w="8760" w:type="dxa"/>
            <w:gridSpan w:val="10"/>
            <w:tcBorders>
              <w:top w:val="nil"/>
              <w:left w:val="nil"/>
              <w:bottom w:val="nil"/>
              <w:right w:val="nil"/>
            </w:tcBorders>
            <w:noWrap w:val="0"/>
            <w:tcMar>
              <w:top w:w="15" w:type="dxa"/>
              <w:left w:w="15" w:type="dxa"/>
              <w:right w:w="15" w:type="dxa"/>
            </w:tcMar>
            <w:vAlign w:val="center"/>
          </w:tcPr>
          <w:p w14:paraId="7F543865">
            <w:pPr>
              <w:widowControl/>
              <w:jc w:val="left"/>
              <w:textAlignment w:val="center"/>
              <w:rPr>
                <w:rFonts w:hint="eastAsia" w:ascii="黑体" w:hAnsi="宋体" w:eastAsia="黑体" w:cs="黑体"/>
                <w:b/>
                <w:sz w:val="24"/>
                <w:szCs w:val="24"/>
              </w:rPr>
            </w:pPr>
            <w:r>
              <w:rPr>
                <w:rFonts w:hint="eastAsia" w:ascii="黑体" w:hAnsi="宋体" w:eastAsia="黑体" w:cs="黑体"/>
                <w:b/>
                <w:kern w:val="0"/>
                <w:sz w:val="24"/>
                <w:szCs w:val="24"/>
                <w:lang w:bidi="ar"/>
              </w:rPr>
              <w:t xml:space="preserve">工程名称：                                          评价人员：                                                                     评价时间：                                          履约单位： </w:t>
            </w:r>
          </w:p>
        </w:tc>
      </w:tr>
      <w:tr w14:paraId="367EACE1">
        <w:tblPrEx>
          <w:tblCellMar>
            <w:top w:w="0" w:type="dxa"/>
            <w:left w:w="0" w:type="dxa"/>
            <w:bottom w:w="0" w:type="dxa"/>
            <w:right w:w="0" w:type="dxa"/>
          </w:tblCellMar>
        </w:tblPrEx>
        <w:trPr>
          <w:trHeight w:val="1200" w:hRule="atLeast"/>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0A8C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2E42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一级指标名称</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6B1F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一级指标权重分值</w:t>
            </w: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133E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二级指标名称</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F31D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二级指标权重分值</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E771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三级指标名称</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8738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三级指标权重分值</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801F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考核要素</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DAB4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履约率</w:t>
            </w: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9727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得分</w:t>
            </w:r>
          </w:p>
        </w:tc>
      </w:tr>
      <w:tr w14:paraId="6C955340">
        <w:tblPrEx>
          <w:tblCellMar>
            <w:top w:w="0" w:type="dxa"/>
            <w:left w:w="0" w:type="dxa"/>
            <w:bottom w:w="0" w:type="dxa"/>
            <w:right w:w="0" w:type="dxa"/>
          </w:tblCellMar>
        </w:tblPrEx>
        <w:trPr>
          <w:trHeight w:val="1780" w:hRule="atLeast"/>
        </w:trPr>
        <w:tc>
          <w:tcPr>
            <w:tcW w:w="52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7F8F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C4AB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人员和资源配备</w:t>
            </w:r>
          </w:p>
        </w:tc>
        <w:tc>
          <w:tcPr>
            <w:tcW w:w="7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B58A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1341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项目经理</w:t>
            </w:r>
          </w:p>
        </w:tc>
        <w:tc>
          <w:tcPr>
            <w:tcW w:w="70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A27C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CA0D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项目经理</w:t>
            </w:r>
            <w:r>
              <w:rPr>
                <w:rFonts w:hint="eastAsia" w:ascii="宋体" w:hAnsi="宋体" w:cs="宋体"/>
                <w:kern w:val="0"/>
                <w:sz w:val="20"/>
                <w:szCs w:val="20"/>
                <w:lang w:bidi="ar"/>
              </w:rPr>
              <w:br w:type="textWrapping"/>
            </w:r>
            <w:r>
              <w:rPr>
                <w:rFonts w:hint="eastAsia" w:ascii="宋体" w:hAnsi="宋体" w:cs="宋体"/>
                <w:kern w:val="0"/>
                <w:sz w:val="20"/>
                <w:szCs w:val="20"/>
                <w:lang w:bidi="ar"/>
              </w:rPr>
              <w:t>稳定性</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1491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536F0">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派驻现场的项目经理与投标文件的承诺一致，若不一致须按合同约定进行变更。</w:t>
            </w:r>
            <w:r>
              <w:rPr>
                <w:rFonts w:hint="eastAsia" w:ascii="宋体" w:hAnsi="宋体" w:cs="宋体"/>
                <w:kern w:val="0"/>
                <w:sz w:val="20"/>
                <w:szCs w:val="20"/>
                <w:lang w:bidi="ar"/>
              </w:rPr>
              <w:br w:type="textWrapping"/>
            </w:r>
            <w:r>
              <w:rPr>
                <w:rFonts w:hint="eastAsia" w:ascii="宋体" w:hAnsi="宋体" w:cs="宋体"/>
                <w:kern w:val="0"/>
                <w:sz w:val="20"/>
                <w:szCs w:val="20"/>
                <w:lang w:bidi="ar"/>
              </w:rPr>
              <w:t>对于逾期未按约定申报变更或无故变更的，每逾期1天申报变更的，降低履约率1个档次，履约率变0%为止。</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59D33">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B1FD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3E86F52F">
        <w:tblPrEx>
          <w:tblCellMar>
            <w:top w:w="0" w:type="dxa"/>
            <w:left w:w="0" w:type="dxa"/>
            <w:bottom w:w="0" w:type="dxa"/>
            <w:right w:w="0" w:type="dxa"/>
          </w:tblCellMar>
        </w:tblPrEx>
        <w:trPr>
          <w:trHeight w:val="174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0D49F">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C5E4B">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E0D87">
            <w:pPr>
              <w:jc w:val="center"/>
              <w:rPr>
                <w:rFonts w:hint="eastAsia" w:ascii="宋体" w:hAnsi="宋体" w:cs="宋体"/>
                <w:sz w:val="20"/>
                <w:szCs w:val="20"/>
              </w:rPr>
            </w:pPr>
          </w:p>
        </w:tc>
        <w:tc>
          <w:tcPr>
            <w:tcW w:w="7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E708C">
            <w:pPr>
              <w:jc w:val="center"/>
              <w:rPr>
                <w:rFonts w:hint="eastAsia" w:ascii="宋体" w:hAnsi="宋体" w:cs="宋体"/>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CD75E">
            <w:pPr>
              <w:jc w:val="center"/>
              <w:rPr>
                <w:rFonts w:hint="eastAsia" w:ascii="宋体" w:hAnsi="宋体" w:cs="宋体"/>
                <w:sz w:val="20"/>
                <w:szCs w:val="20"/>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BCD8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项目经理</w:t>
            </w:r>
            <w:r>
              <w:rPr>
                <w:rFonts w:hint="eastAsia" w:ascii="宋体" w:hAnsi="宋体" w:cs="宋体"/>
                <w:kern w:val="0"/>
                <w:sz w:val="20"/>
                <w:szCs w:val="20"/>
                <w:lang w:bidi="ar"/>
              </w:rPr>
              <w:br w:type="textWrapping"/>
            </w:r>
            <w:r>
              <w:rPr>
                <w:rFonts w:hint="eastAsia" w:ascii="宋体" w:hAnsi="宋体" w:cs="宋体"/>
                <w:kern w:val="0"/>
                <w:sz w:val="20"/>
                <w:szCs w:val="20"/>
                <w:lang w:bidi="ar"/>
              </w:rPr>
              <w:t>履职情况</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158E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35B4A">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派驻现场的项目经理及时到位、按要求常驻现场，无兼任其它工程项目的项目经理。</w:t>
            </w:r>
            <w:r>
              <w:rPr>
                <w:rFonts w:hint="eastAsia" w:ascii="宋体" w:hAnsi="宋体" w:cs="宋体"/>
                <w:kern w:val="0"/>
                <w:sz w:val="20"/>
                <w:szCs w:val="20"/>
                <w:lang w:bidi="ar"/>
              </w:rPr>
              <w:br w:type="textWrapping"/>
            </w:r>
            <w:r>
              <w:rPr>
                <w:rFonts w:hint="eastAsia" w:ascii="宋体" w:hAnsi="宋体" w:cs="宋体"/>
                <w:kern w:val="0"/>
                <w:sz w:val="20"/>
                <w:szCs w:val="20"/>
                <w:lang w:bidi="ar"/>
              </w:rPr>
              <w:t>结合项目经理点名、考勤率判断履约率；若发现项目经理同时兼任其它工程项目的项目经理，履约率直接判定为0%。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6E3F4">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3BEE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791EA9DA">
        <w:tblPrEx>
          <w:tblCellMar>
            <w:top w:w="0" w:type="dxa"/>
            <w:left w:w="0" w:type="dxa"/>
            <w:bottom w:w="0" w:type="dxa"/>
            <w:right w:w="0" w:type="dxa"/>
          </w:tblCellMar>
        </w:tblPrEx>
        <w:trPr>
          <w:trHeight w:val="182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35FE8">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B77A6">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082DF">
            <w:pPr>
              <w:jc w:val="center"/>
              <w:rPr>
                <w:rFonts w:hint="eastAsia" w:ascii="宋体" w:hAnsi="宋体" w:cs="宋体"/>
                <w:sz w:val="20"/>
                <w:szCs w:val="20"/>
              </w:rPr>
            </w:pPr>
          </w:p>
        </w:tc>
        <w:tc>
          <w:tcPr>
            <w:tcW w:w="7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E355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关键岗位人员</w:t>
            </w:r>
            <w:r>
              <w:rPr>
                <w:rFonts w:hint="eastAsia" w:ascii="宋体" w:hAnsi="宋体" w:cs="宋体"/>
                <w:kern w:val="0"/>
                <w:sz w:val="20"/>
                <w:szCs w:val="20"/>
                <w:lang w:bidi="ar"/>
              </w:rPr>
              <w:br w:type="textWrapping"/>
            </w:r>
            <w:r>
              <w:rPr>
                <w:rFonts w:hint="eastAsia" w:ascii="宋体" w:hAnsi="宋体" w:cs="宋体"/>
                <w:kern w:val="0"/>
                <w:sz w:val="20"/>
                <w:szCs w:val="20"/>
                <w:lang w:bidi="ar"/>
              </w:rPr>
              <w:t>（技术负责人、质量负责人、安全负责人、安全员等）</w:t>
            </w:r>
          </w:p>
        </w:tc>
        <w:tc>
          <w:tcPr>
            <w:tcW w:w="70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1DD7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A4CB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人员</w:t>
            </w:r>
            <w:r>
              <w:rPr>
                <w:rFonts w:hint="eastAsia" w:ascii="宋体" w:hAnsi="宋体" w:cs="宋体"/>
                <w:kern w:val="0"/>
                <w:sz w:val="20"/>
                <w:szCs w:val="20"/>
                <w:lang w:bidi="ar"/>
              </w:rPr>
              <w:br w:type="textWrapping"/>
            </w:r>
            <w:r>
              <w:rPr>
                <w:rFonts w:hint="eastAsia" w:ascii="宋体" w:hAnsi="宋体" w:cs="宋体"/>
                <w:kern w:val="0"/>
                <w:sz w:val="20"/>
                <w:szCs w:val="20"/>
                <w:lang w:bidi="ar"/>
              </w:rPr>
              <w:t>稳定性</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2779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91677">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派驻现场的关键岗位人员与投标文件的承诺一致，若不一致须按合同约定进行变更。</w:t>
            </w:r>
            <w:r>
              <w:rPr>
                <w:rFonts w:hint="eastAsia" w:ascii="宋体" w:hAnsi="宋体" w:cs="宋体"/>
                <w:kern w:val="0"/>
                <w:sz w:val="20"/>
                <w:szCs w:val="20"/>
                <w:lang w:bidi="ar"/>
              </w:rPr>
              <w:br w:type="textWrapping"/>
            </w:r>
            <w:r>
              <w:rPr>
                <w:rFonts w:hint="eastAsia" w:ascii="宋体" w:hAnsi="宋体" w:cs="宋体"/>
                <w:kern w:val="0"/>
                <w:sz w:val="20"/>
                <w:szCs w:val="20"/>
                <w:lang w:bidi="ar"/>
              </w:rPr>
              <w:t>对于逾期未按约定申报变更或无故变更的，每逾期1天申报变更的，降低履约率1个档次，履约率变0%为止。</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43ADE">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693D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72045B25">
        <w:tblPrEx>
          <w:tblCellMar>
            <w:top w:w="0" w:type="dxa"/>
            <w:left w:w="0" w:type="dxa"/>
            <w:bottom w:w="0" w:type="dxa"/>
            <w:right w:w="0" w:type="dxa"/>
          </w:tblCellMar>
        </w:tblPrEx>
        <w:trPr>
          <w:trHeight w:val="256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B5E20">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3456">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0C787">
            <w:pPr>
              <w:jc w:val="center"/>
              <w:rPr>
                <w:rFonts w:hint="eastAsia" w:ascii="宋体" w:hAnsi="宋体" w:cs="宋体"/>
                <w:sz w:val="20"/>
                <w:szCs w:val="20"/>
              </w:rPr>
            </w:pPr>
          </w:p>
        </w:tc>
        <w:tc>
          <w:tcPr>
            <w:tcW w:w="7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D2645">
            <w:pPr>
              <w:jc w:val="center"/>
              <w:rPr>
                <w:rFonts w:hint="eastAsia" w:ascii="宋体" w:hAnsi="宋体" w:cs="宋体"/>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5E695">
            <w:pPr>
              <w:jc w:val="center"/>
              <w:rPr>
                <w:rFonts w:hint="eastAsia" w:ascii="宋体" w:hAnsi="宋体" w:cs="宋体"/>
                <w:sz w:val="20"/>
                <w:szCs w:val="20"/>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4406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人员</w:t>
            </w:r>
            <w:r>
              <w:rPr>
                <w:rFonts w:hint="eastAsia" w:ascii="宋体" w:hAnsi="宋体" w:cs="宋体"/>
                <w:kern w:val="0"/>
                <w:sz w:val="20"/>
                <w:szCs w:val="20"/>
                <w:lang w:bidi="ar"/>
              </w:rPr>
              <w:br w:type="textWrapping"/>
            </w:r>
            <w:r>
              <w:rPr>
                <w:rFonts w:hint="eastAsia" w:ascii="宋体" w:hAnsi="宋体" w:cs="宋体"/>
                <w:kern w:val="0"/>
                <w:sz w:val="20"/>
                <w:szCs w:val="20"/>
                <w:lang w:bidi="ar"/>
              </w:rPr>
              <w:t>履职情况</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52BB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F2106">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派驻现场的关键岗位人员及时到位、按要求常驻现场，无兼任其它工程项目的。关键岗位人员离开施工现场有按合同约定报监理人及发包人。</w:t>
            </w:r>
            <w:r>
              <w:rPr>
                <w:rFonts w:hint="eastAsia" w:ascii="宋体" w:hAnsi="宋体" w:cs="宋体"/>
                <w:kern w:val="0"/>
                <w:sz w:val="20"/>
                <w:szCs w:val="20"/>
                <w:lang w:bidi="ar"/>
              </w:rPr>
              <w:br w:type="textWrapping"/>
            </w:r>
            <w:r>
              <w:rPr>
                <w:rFonts w:hint="eastAsia" w:ascii="宋体" w:hAnsi="宋体" w:cs="宋体"/>
                <w:kern w:val="0"/>
                <w:sz w:val="20"/>
                <w:szCs w:val="20"/>
                <w:lang w:bidi="ar"/>
              </w:rPr>
              <w:t>结合常驻现场考勤率判断履约率；若发现关键岗位人员同时兼任其它工程项目岗位的，履约率直接判定为0%。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1422A">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9721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34630C3F">
        <w:tblPrEx>
          <w:tblCellMar>
            <w:top w:w="0" w:type="dxa"/>
            <w:left w:w="0" w:type="dxa"/>
            <w:bottom w:w="0" w:type="dxa"/>
            <w:right w:w="0" w:type="dxa"/>
          </w:tblCellMar>
        </w:tblPrEx>
        <w:trPr>
          <w:trHeight w:val="214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2ED72">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1E7BF">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571E7">
            <w:pPr>
              <w:jc w:val="center"/>
              <w:rPr>
                <w:rFonts w:hint="eastAsia" w:ascii="宋体" w:hAnsi="宋体" w:cs="宋体"/>
                <w:sz w:val="20"/>
                <w:szCs w:val="20"/>
              </w:rPr>
            </w:pPr>
          </w:p>
        </w:tc>
        <w:tc>
          <w:tcPr>
            <w:tcW w:w="7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BC59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劳资管控资源投入</w:t>
            </w:r>
          </w:p>
        </w:tc>
        <w:tc>
          <w:tcPr>
            <w:tcW w:w="70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2D15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3131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劳资专管员</w:t>
            </w:r>
            <w:r>
              <w:rPr>
                <w:rFonts w:hint="eastAsia" w:ascii="宋体" w:hAnsi="宋体" w:cs="宋体"/>
                <w:kern w:val="0"/>
                <w:sz w:val="20"/>
                <w:szCs w:val="20"/>
                <w:lang w:bidi="ar"/>
              </w:rPr>
              <w:br w:type="textWrapping"/>
            </w:r>
            <w:r>
              <w:rPr>
                <w:rFonts w:hint="eastAsia" w:ascii="宋体" w:hAnsi="宋体" w:cs="宋体"/>
                <w:kern w:val="0"/>
                <w:sz w:val="20"/>
                <w:szCs w:val="20"/>
                <w:lang w:bidi="ar"/>
              </w:rPr>
              <w:t>配备</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E62F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75C60">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按照合同约定劳资专管员应掌握施工现场用工、考勤、工资发放等情况，对分包人劳动用工实施监督管理，审核分包人编制的工人工资支付表。</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根据用工、考勤、工资发放台账清晰度评判履约率。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912E5">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773D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7A75115A">
        <w:tblPrEx>
          <w:tblCellMar>
            <w:top w:w="0" w:type="dxa"/>
            <w:left w:w="0" w:type="dxa"/>
            <w:bottom w:w="0" w:type="dxa"/>
            <w:right w:w="0" w:type="dxa"/>
          </w:tblCellMar>
        </w:tblPrEx>
        <w:trPr>
          <w:trHeight w:val="178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5E338">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206B4">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51591">
            <w:pPr>
              <w:jc w:val="center"/>
              <w:rPr>
                <w:rFonts w:hint="eastAsia" w:ascii="宋体" w:hAnsi="宋体" w:cs="宋体"/>
                <w:sz w:val="20"/>
                <w:szCs w:val="20"/>
              </w:rPr>
            </w:pPr>
          </w:p>
        </w:tc>
        <w:tc>
          <w:tcPr>
            <w:tcW w:w="7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5B16B">
            <w:pPr>
              <w:jc w:val="center"/>
              <w:rPr>
                <w:rFonts w:hint="eastAsia" w:ascii="宋体" w:hAnsi="宋体" w:cs="宋体"/>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8FAAB">
            <w:pPr>
              <w:jc w:val="center"/>
              <w:rPr>
                <w:rFonts w:hint="eastAsia" w:ascii="宋体" w:hAnsi="宋体" w:cs="宋体"/>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7807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经济投入</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A81E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BCBEB">
            <w:pPr>
              <w:widowControl/>
              <w:jc w:val="left"/>
              <w:textAlignment w:val="center"/>
              <w:rPr>
                <w:rFonts w:hint="eastAsia" w:ascii="宋体" w:hAnsi="宋体" w:cs="宋体"/>
                <w:sz w:val="20"/>
                <w:szCs w:val="20"/>
              </w:rPr>
            </w:pPr>
            <w:r>
              <w:rPr>
                <w:rFonts w:hint="eastAsia" w:ascii="宋体" w:hAnsi="宋体" w:cs="宋体"/>
                <w:kern w:val="0"/>
                <w:sz w:val="20"/>
                <w:szCs w:val="20"/>
                <w:lang w:bidi="ar"/>
              </w:rPr>
              <w:t>具有工人工资、分包商、材料设备供应商资金支付能力，未发生劳资纠纷。</w:t>
            </w:r>
            <w:r>
              <w:rPr>
                <w:rFonts w:hint="eastAsia" w:ascii="宋体" w:hAnsi="宋体" w:cs="宋体"/>
                <w:kern w:val="0"/>
                <w:sz w:val="20"/>
                <w:szCs w:val="20"/>
                <w:lang w:bidi="ar"/>
              </w:rPr>
              <w:br w:type="textWrapping"/>
            </w:r>
            <w:r>
              <w:rPr>
                <w:rFonts w:hint="eastAsia" w:ascii="宋体" w:hAnsi="宋体" w:cs="宋体"/>
                <w:kern w:val="0"/>
                <w:sz w:val="20"/>
                <w:szCs w:val="20"/>
                <w:lang w:bidi="ar"/>
              </w:rPr>
              <w:t>每发生一次因管理不当导致劳资纠纷引发群体信访事件的，降低履约率1个档次，履约率变0%为止。</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27F26">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145C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D6AD2EE">
        <w:tblPrEx>
          <w:tblCellMar>
            <w:top w:w="0" w:type="dxa"/>
            <w:left w:w="0" w:type="dxa"/>
            <w:bottom w:w="0" w:type="dxa"/>
            <w:right w:w="0" w:type="dxa"/>
          </w:tblCellMar>
        </w:tblPrEx>
        <w:trPr>
          <w:trHeight w:val="170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2F1B3">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0C9FA">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6918E">
            <w:pPr>
              <w:jc w:val="center"/>
              <w:rPr>
                <w:rFonts w:hint="eastAsia" w:ascii="宋体" w:hAnsi="宋体" w:cs="宋体"/>
                <w:sz w:val="20"/>
                <w:szCs w:val="20"/>
              </w:rPr>
            </w:pP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56FA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机械设备、材料物资投入</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D4F8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5DF2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D05E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A132B">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按合同约定编制好材料和设备供应计划，并做好供应，确保机械设备、材料物资投入满足工程建设要求。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根据供应编制情况与实际投入情况判定履约率。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D921E">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31A3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6F631BF5">
        <w:tblPrEx>
          <w:tblCellMar>
            <w:top w:w="0" w:type="dxa"/>
            <w:left w:w="0" w:type="dxa"/>
            <w:bottom w:w="0" w:type="dxa"/>
            <w:right w:w="0" w:type="dxa"/>
          </w:tblCellMar>
        </w:tblPrEx>
        <w:trPr>
          <w:trHeight w:val="208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F58F1">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7727E">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9A053">
            <w:pPr>
              <w:jc w:val="center"/>
              <w:rPr>
                <w:rFonts w:hint="eastAsia" w:ascii="宋体" w:hAnsi="宋体" w:cs="宋体"/>
                <w:sz w:val="20"/>
                <w:szCs w:val="20"/>
              </w:rPr>
            </w:pPr>
          </w:p>
        </w:tc>
        <w:tc>
          <w:tcPr>
            <w:tcW w:w="7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A2F5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劳动力投入</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E2E2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CF4B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3D22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29B21">
            <w:pPr>
              <w:widowControl/>
              <w:jc w:val="left"/>
              <w:textAlignment w:val="center"/>
              <w:rPr>
                <w:rFonts w:hint="eastAsia" w:ascii="宋体" w:hAnsi="宋体" w:cs="宋体"/>
                <w:sz w:val="20"/>
                <w:szCs w:val="20"/>
              </w:rPr>
            </w:pPr>
            <w:r>
              <w:rPr>
                <w:rFonts w:hint="eastAsia" w:ascii="宋体" w:hAnsi="宋体" w:cs="宋体"/>
                <w:kern w:val="0"/>
                <w:sz w:val="20"/>
                <w:szCs w:val="20"/>
                <w:lang w:bidi="ar"/>
              </w:rPr>
              <w:t>项目实施过程中实际劳动力投入与投标承诺一致，数量及时间满足现场实施需求。</w:t>
            </w:r>
            <w:r>
              <w:rPr>
                <w:rFonts w:hint="eastAsia" w:ascii="宋体" w:hAnsi="宋体" w:cs="宋体"/>
                <w:kern w:val="0"/>
                <w:sz w:val="20"/>
                <w:szCs w:val="20"/>
                <w:lang w:bidi="ar"/>
              </w:rPr>
              <w:br w:type="textWrapping"/>
            </w:r>
            <w:r>
              <w:rPr>
                <w:rFonts w:hint="eastAsia" w:ascii="宋体" w:hAnsi="宋体" w:cs="宋体"/>
                <w:kern w:val="0"/>
                <w:sz w:val="20"/>
                <w:szCs w:val="20"/>
                <w:lang w:bidi="ar"/>
              </w:rPr>
              <w:t>若与投标承诺不一致或投入的劳动力未能满足项目工期要求，导致工程进度推进缓慢，视情况判定履约率。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F11D1">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ED29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73A79584">
        <w:tblPrEx>
          <w:tblCellMar>
            <w:top w:w="0" w:type="dxa"/>
            <w:left w:w="0" w:type="dxa"/>
            <w:bottom w:w="0" w:type="dxa"/>
            <w:right w:w="0" w:type="dxa"/>
          </w:tblCellMar>
        </w:tblPrEx>
        <w:trPr>
          <w:trHeight w:val="1700" w:hRule="atLeast"/>
        </w:trPr>
        <w:tc>
          <w:tcPr>
            <w:tcW w:w="52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1D3D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0D3D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安全文明施工管理（含环境保护）</w:t>
            </w:r>
          </w:p>
        </w:tc>
        <w:tc>
          <w:tcPr>
            <w:tcW w:w="7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C079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FCC7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安全管理目标</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342F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FBAC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00091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DAB06">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节点期内未发生安全事故，该项履约率判定为100%。</w:t>
            </w:r>
            <w:r>
              <w:rPr>
                <w:rFonts w:hint="eastAsia" w:ascii="宋体" w:hAnsi="宋体" w:cs="宋体"/>
                <w:kern w:val="0"/>
                <w:sz w:val="20"/>
                <w:szCs w:val="20"/>
                <w:lang w:bidi="ar"/>
              </w:rPr>
              <w:br w:type="textWrapping"/>
            </w:r>
            <w:r>
              <w:rPr>
                <w:rFonts w:hint="eastAsia" w:ascii="宋体" w:hAnsi="宋体" w:cs="宋体"/>
                <w:kern w:val="0"/>
                <w:sz w:val="20"/>
                <w:szCs w:val="20"/>
                <w:lang w:bidi="ar"/>
              </w:rPr>
              <w:t>发生一次安全事故，降低履约率1个档次，若发生一次亡人事故，该项履约率直接判定为0%。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69374">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7EC4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7951ABA2">
        <w:tblPrEx>
          <w:tblCellMar>
            <w:top w:w="0" w:type="dxa"/>
            <w:left w:w="0" w:type="dxa"/>
            <w:bottom w:w="0" w:type="dxa"/>
            <w:right w:w="0" w:type="dxa"/>
          </w:tblCellMar>
        </w:tblPrEx>
        <w:trPr>
          <w:trHeight w:val="162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53135C">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A2163">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67C86">
            <w:pPr>
              <w:jc w:val="center"/>
              <w:rPr>
                <w:rFonts w:hint="eastAsia" w:ascii="宋体" w:hAnsi="宋体" w:cs="宋体"/>
                <w:sz w:val="20"/>
                <w:szCs w:val="20"/>
              </w:rPr>
            </w:pP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FED0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安全责任落实</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72F9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2B47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2870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EE41A">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能够按合同及责任书约定，建立健全安全生产责任制和安全生产教育培训制度，制定安全生产规章制度和操作规程，进行定期和专项安全检查并做好记录。</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7E893">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7678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91B6F38">
        <w:tblPrEx>
          <w:tblCellMar>
            <w:top w:w="0" w:type="dxa"/>
            <w:left w:w="0" w:type="dxa"/>
            <w:bottom w:w="0" w:type="dxa"/>
            <w:right w:w="0" w:type="dxa"/>
          </w:tblCellMar>
        </w:tblPrEx>
        <w:trPr>
          <w:trHeight w:val="564"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549FB">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F70E0">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B8D22">
            <w:pPr>
              <w:jc w:val="center"/>
              <w:rPr>
                <w:rFonts w:hint="eastAsia" w:ascii="宋体" w:hAnsi="宋体" w:cs="宋体"/>
                <w:sz w:val="20"/>
                <w:szCs w:val="20"/>
              </w:rPr>
            </w:pPr>
          </w:p>
        </w:tc>
        <w:tc>
          <w:tcPr>
            <w:tcW w:w="78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66001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现场作业安全</w:t>
            </w:r>
            <w:r>
              <w:rPr>
                <w:rFonts w:hint="eastAsia" w:ascii="宋体" w:hAnsi="宋体" w:cs="宋体"/>
                <w:kern w:val="0"/>
                <w:sz w:val="20"/>
                <w:szCs w:val="20"/>
                <w:lang w:bidi="ar"/>
              </w:rPr>
              <w:br w:type="textWrapping"/>
            </w:r>
            <w:r>
              <w:rPr>
                <w:rFonts w:hint="eastAsia" w:ascii="宋体" w:hAnsi="宋体" w:cs="宋体"/>
                <w:kern w:val="0"/>
                <w:sz w:val="20"/>
                <w:szCs w:val="20"/>
                <w:lang w:bidi="ar"/>
              </w:rPr>
              <w:t>防护落实情况</w:t>
            </w:r>
          </w:p>
        </w:tc>
        <w:tc>
          <w:tcPr>
            <w:tcW w:w="70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9F0E53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AE4941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17F89D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402C422">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能够按合同约定及法律规定进行施工，开工前做好安全技术交底工作，施工过程中做好各项安全防护措施。</w:t>
            </w:r>
            <w:r>
              <w:rPr>
                <w:rFonts w:hint="eastAsia" w:ascii="宋体" w:hAnsi="宋体" w:cs="宋体"/>
                <w:kern w:val="0"/>
                <w:sz w:val="20"/>
                <w:szCs w:val="20"/>
                <w:lang w:bidi="ar"/>
              </w:rPr>
              <w:br w:type="textWrapping"/>
            </w:r>
            <w:r>
              <w:rPr>
                <w:rFonts w:hint="eastAsia" w:ascii="宋体" w:hAnsi="宋体" w:cs="宋体"/>
                <w:kern w:val="0"/>
                <w:sz w:val="20"/>
                <w:szCs w:val="20"/>
                <w:lang w:bidi="ar"/>
              </w:rPr>
              <w:t>因现场安全防护措施未落实到位被主管部门或建设单位处罚的，节点期内发生1次，降低履约率1个档次，履约率变0%为止。</w:t>
            </w:r>
          </w:p>
        </w:tc>
        <w:tc>
          <w:tcPr>
            <w:tcW w:w="7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6396628">
            <w:pPr>
              <w:jc w:val="center"/>
              <w:rPr>
                <w:rFonts w:hint="eastAsia" w:ascii="宋体" w:hAnsi="宋体" w:cs="宋体"/>
                <w:sz w:val="20"/>
                <w:szCs w:val="20"/>
              </w:rPr>
            </w:pPr>
          </w:p>
        </w:tc>
        <w:tc>
          <w:tcPr>
            <w:tcW w:w="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6F28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14B74A5B">
        <w:tblPrEx>
          <w:tblCellMar>
            <w:top w:w="0" w:type="dxa"/>
            <w:left w:w="0" w:type="dxa"/>
            <w:bottom w:w="0" w:type="dxa"/>
            <w:right w:w="0" w:type="dxa"/>
          </w:tblCellMar>
        </w:tblPrEx>
        <w:trPr>
          <w:trHeight w:val="200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0A468">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41490">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40BAF9">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3D69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安全文明施工</w:t>
            </w:r>
            <w:r>
              <w:rPr>
                <w:rFonts w:hint="eastAsia" w:ascii="宋体" w:hAnsi="宋体" w:cs="宋体"/>
                <w:kern w:val="0"/>
                <w:sz w:val="20"/>
                <w:szCs w:val="20"/>
                <w:lang w:bidi="ar"/>
              </w:rPr>
              <w:br w:type="textWrapping"/>
            </w:r>
            <w:r>
              <w:rPr>
                <w:rFonts w:hint="eastAsia" w:ascii="宋体" w:hAnsi="宋体" w:cs="宋体"/>
                <w:kern w:val="0"/>
                <w:sz w:val="20"/>
                <w:szCs w:val="20"/>
                <w:lang w:bidi="ar"/>
              </w:rPr>
              <w:t>措施落实情况</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CBDFB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99D84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B34E3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8E3270">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能够按合同及相关规定落实临时设施、安全施工、文明施工、环境保护（水土保持、扬尘防治等）各项安全文明施工措施。</w:t>
            </w:r>
            <w:r>
              <w:rPr>
                <w:rFonts w:hint="eastAsia" w:ascii="宋体" w:hAnsi="宋体" w:cs="宋体"/>
                <w:kern w:val="0"/>
                <w:sz w:val="20"/>
                <w:szCs w:val="20"/>
                <w:lang w:bidi="ar"/>
              </w:rPr>
              <w:br w:type="textWrapping"/>
            </w:r>
            <w:r>
              <w:rPr>
                <w:rFonts w:hint="eastAsia" w:ascii="宋体" w:hAnsi="宋体" w:cs="宋体"/>
                <w:kern w:val="0"/>
                <w:sz w:val="20"/>
                <w:szCs w:val="20"/>
                <w:lang w:bidi="ar"/>
              </w:rPr>
              <w:t>若任1项被主管部门或建设单位处罚的，节点期内每发生1次，降低履约率1个档次，履约率变0%为止。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A6D7B2">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A0F544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7AE997F4">
        <w:tblPrEx>
          <w:tblCellMar>
            <w:top w:w="0" w:type="dxa"/>
            <w:left w:w="0" w:type="dxa"/>
            <w:bottom w:w="0" w:type="dxa"/>
            <w:right w:w="0" w:type="dxa"/>
          </w:tblCellMar>
        </w:tblPrEx>
        <w:trPr>
          <w:trHeight w:val="1100" w:hRule="atLeast"/>
        </w:trPr>
        <w:tc>
          <w:tcPr>
            <w:tcW w:w="5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0FF2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C36A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质量管理</w:t>
            </w:r>
          </w:p>
        </w:tc>
        <w:tc>
          <w:tcPr>
            <w:tcW w:w="702"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3AD321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w:t>
            </w: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9681D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质量管理目标</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D8833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73EE8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0A9D8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C7459C">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能够建立质量完善的安全保证体系。</w:t>
            </w:r>
            <w:r>
              <w:rPr>
                <w:rFonts w:hint="eastAsia" w:ascii="宋体" w:hAnsi="宋体" w:cs="宋体"/>
                <w:kern w:val="0"/>
                <w:sz w:val="20"/>
                <w:szCs w:val="20"/>
                <w:lang w:bidi="ar"/>
              </w:rPr>
              <w:br w:type="textWrapping"/>
            </w:r>
            <w:r>
              <w:rPr>
                <w:rFonts w:hint="eastAsia" w:ascii="宋体" w:hAnsi="宋体" w:cs="宋体"/>
                <w:kern w:val="0"/>
                <w:sz w:val="20"/>
                <w:szCs w:val="20"/>
                <w:lang w:bidi="ar"/>
              </w:rPr>
              <w:t>节点期内没发生重大、特大工程质量事故，若发生1次，该项履约率直接判定为0%。</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F30F70">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B0B3AB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68742492">
        <w:tblPrEx>
          <w:tblCellMar>
            <w:top w:w="0" w:type="dxa"/>
            <w:left w:w="0" w:type="dxa"/>
            <w:bottom w:w="0" w:type="dxa"/>
            <w:right w:w="0" w:type="dxa"/>
          </w:tblCellMar>
        </w:tblPrEx>
        <w:trPr>
          <w:trHeight w:val="216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FCC2E">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07D86">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7AD9B55">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7B38D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检测实验</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11306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E28A4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F0038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B801D9">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合同约定和检测规程对隐蔽工程、防水等进行检测，提供和组织足够的工程质量控制和检测人员，检查和控制工程施工质量，对涉及结构安全的试块、试件以及有关材料，实行见证取样送检，检测数据和检测结果真实准确。根据检测工作开展情况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6260B1">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F57C2C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0185DA39">
        <w:tblPrEx>
          <w:tblCellMar>
            <w:top w:w="0" w:type="dxa"/>
            <w:left w:w="0" w:type="dxa"/>
            <w:bottom w:w="0" w:type="dxa"/>
            <w:right w:w="0" w:type="dxa"/>
          </w:tblCellMar>
        </w:tblPrEx>
        <w:trPr>
          <w:trHeight w:val="212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3F411">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257FC">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B2BE35">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B513B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竣工验收</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C6C0A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A0936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DFB0A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7AF769">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根据节点期所处工程阶段，开展的分部分项验收、专项验收、竣工验收等验收通过；工程实施质量符合合同要求。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若发现一处验收不合格且未限期完成整改的，履约率降低1个档次，直至履约率变0%为止。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52B811">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FF0D6C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6DF7775E">
        <w:tblPrEx>
          <w:tblCellMar>
            <w:top w:w="0" w:type="dxa"/>
            <w:left w:w="0" w:type="dxa"/>
            <w:bottom w:w="0" w:type="dxa"/>
            <w:right w:w="0" w:type="dxa"/>
          </w:tblCellMar>
        </w:tblPrEx>
        <w:trPr>
          <w:trHeight w:val="196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A39C4">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E3FE5">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6778CC9">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BC1B5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质量保修</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5492C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124E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04214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291767">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能够按照施工合同约定的质量缺陷保修范围和相应的保修期，在约定期限内派人维修，直到达到合格的质量标准。</w:t>
            </w:r>
            <w:r>
              <w:rPr>
                <w:rFonts w:hint="eastAsia" w:ascii="宋体" w:hAnsi="宋体" w:cs="宋体"/>
                <w:kern w:val="0"/>
                <w:sz w:val="20"/>
                <w:szCs w:val="20"/>
                <w:lang w:bidi="ar"/>
              </w:rPr>
              <w:br w:type="textWrapping"/>
            </w:r>
            <w:r>
              <w:rPr>
                <w:rFonts w:hint="eastAsia" w:ascii="宋体" w:hAnsi="宋体" w:cs="宋体"/>
                <w:kern w:val="0"/>
                <w:sz w:val="20"/>
                <w:szCs w:val="20"/>
                <w:lang w:bidi="ar"/>
              </w:rPr>
              <w:t>未按约定期限派人维修的，逾期1天，降低履约率1个档次，直至履约率变0%为止。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4A40AF">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A760E5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0E378C2">
        <w:tblPrEx>
          <w:tblCellMar>
            <w:top w:w="0" w:type="dxa"/>
            <w:left w:w="0" w:type="dxa"/>
            <w:bottom w:w="0" w:type="dxa"/>
            <w:right w:w="0" w:type="dxa"/>
          </w:tblCellMar>
        </w:tblPrEx>
        <w:trPr>
          <w:trHeight w:val="1700" w:hRule="atLeast"/>
        </w:trPr>
        <w:tc>
          <w:tcPr>
            <w:tcW w:w="5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ED25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BB79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工期进度管理</w:t>
            </w:r>
          </w:p>
        </w:tc>
        <w:tc>
          <w:tcPr>
            <w:tcW w:w="702"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CAC2F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930EA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进度计划编制与执行</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32F52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AC07E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00F60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FE11AB">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能够按合同约定的工作内容和施工进度要求，编制施工组织设计和施工措施计划，并按工期进度计划执行。</w:t>
            </w:r>
            <w:r>
              <w:rPr>
                <w:rFonts w:hint="eastAsia" w:ascii="宋体" w:hAnsi="宋体" w:cs="宋体"/>
                <w:kern w:val="0"/>
                <w:sz w:val="20"/>
                <w:szCs w:val="20"/>
                <w:lang w:bidi="ar"/>
              </w:rPr>
              <w:br w:type="textWrapping"/>
            </w:r>
            <w:r>
              <w:rPr>
                <w:rFonts w:hint="eastAsia" w:ascii="宋体" w:hAnsi="宋体" w:cs="宋体"/>
                <w:kern w:val="0"/>
                <w:sz w:val="20"/>
                <w:szCs w:val="20"/>
                <w:lang w:bidi="ar"/>
              </w:rPr>
              <w:t>对照每月预计完成的工作量和形象进度判定履约率。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27DBAD">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98804B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A1D061B">
        <w:tblPrEx>
          <w:tblCellMar>
            <w:top w:w="0" w:type="dxa"/>
            <w:left w:w="0" w:type="dxa"/>
            <w:bottom w:w="0" w:type="dxa"/>
            <w:right w:w="0" w:type="dxa"/>
          </w:tblCellMar>
        </w:tblPrEx>
        <w:trPr>
          <w:trHeight w:val="148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04B99">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807F6">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0A66775">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67AC6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进度定期报告</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E606C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A42A6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72080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5B326D">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能够按合同约定，在项目实施过程中</w:t>
            </w:r>
            <w:r>
              <w:rPr>
                <w:rFonts w:hint="eastAsia" w:ascii="宋体" w:hAnsi="宋体" w:cs="宋体"/>
                <w:kern w:val="0"/>
                <w:sz w:val="20"/>
                <w:szCs w:val="20"/>
                <w:lang w:eastAsia="zh-CN" w:bidi="ar"/>
              </w:rPr>
              <w:t>，</w:t>
            </w:r>
            <w:r>
              <w:rPr>
                <w:rFonts w:hint="eastAsia" w:ascii="宋体" w:hAnsi="宋体" w:cs="宋体"/>
                <w:kern w:val="0"/>
                <w:sz w:val="20"/>
                <w:szCs w:val="20"/>
                <w:lang w:bidi="ar"/>
              </w:rPr>
              <w:t>进行实际进度记录，并根据监理人的要求定期编制进度报告。</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根据定期报告制度落实情况判定履约率。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B97860">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6E15ED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3F6CBACC">
        <w:tblPrEx>
          <w:tblCellMar>
            <w:top w:w="0" w:type="dxa"/>
            <w:left w:w="0" w:type="dxa"/>
            <w:bottom w:w="0" w:type="dxa"/>
            <w:right w:w="0" w:type="dxa"/>
          </w:tblCellMar>
        </w:tblPrEx>
        <w:trPr>
          <w:trHeight w:val="182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19B99">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B64D1">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E276076">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30FD0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工程进度款管理</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96CF0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91CB9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AE2AE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4538AA">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能够按工程进度合理使用工程款，优先支付农民工工资。</w:t>
            </w:r>
            <w:r>
              <w:rPr>
                <w:rFonts w:hint="eastAsia" w:ascii="宋体" w:hAnsi="宋体" w:cs="宋体"/>
                <w:kern w:val="0"/>
                <w:sz w:val="20"/>
                <w:szCs w:val="20"/>
                <w:lang w:bidi="ar"/>
              </w:rPr>
              <w:br w:type="textWrapping"/>
            </w:r>
            <w:r>
              <w:rPr>
                <w:rFonts w:hint="eastAsia" w:ascii="宋体" w:hAnsi="宋体" w:cs="宋体"/>
                <w:kern w:val="0"/>
                <w:sz w:val="20"/>
                <w:szCs w:val="20"/>
                <w:lang w:bidi="ar"/>
              </w:rPr>
              <w:t>因未合理利用工程款及时发放农民工工资引发劳资纠纷信访事件的，发生1次降低履约率1个档次，直至履约率变0%为止。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438840">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3F1E0D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33291A90">
        <w:tblPrEx>
          <w:tblCellMar>
            <w:top w:w="0" w:type="dxa"/>
            <w:left w:w="0" w:type="dxa"/>
            <w:bottom w:w="0" w:type="dxa"/>
            <w:right w:w="0" w:type="dxa"/>
          </w:tblCellMar>
        </w:tblPrEx>
        <w:trPr>
          <w:trHeight w:val="1680" w:hRule="atLeast"/>
        </w:trPr>
        <w:tc>
          <w:tcPr>
            <w:tcW w:w="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C47D8">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777CC">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55245EC">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F851F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工期进度结果</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6B530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5CA3C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898DC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7F5FBC">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能够按合同约定完成关键节点，竣工验收、项目移交节点符合合同约定。</w:t>
            </w:r>
            <w:r>
              <w:rPr>
                <w:rFonts w:hint="eastAsia" w:ascii="宋体" w:hAnsi="宋体" w:cs="宋体"/>
                <w:kern w:val="0"/>
                <w:sz w:val="20"/>
                <w:szCs w:val="20"/>
                <w:lang w:bidi="ar"/>
              </w:rPr>
              <w:br w:type="textWrapping"/>
            </w:r>
            <w:r>
              <w:rPr>
                <w:rFonts w:hint="eastAsia" w:ascii="宋体" w:hAnsi="宋体" w:cs="宋体"/>
                <w:kern w:val="0"/>
                <w:sz w:val="20"/>
                <w:szCs w:val="20"/>
                <w:lang w:bidi="ar"/>
              </w:rPr>
              <w:t>对于关键节点逾期未能按时移交的，视进度情况判定履约率。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6F4FF7">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A0349A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6A49D42">
        <w:tblPrEx>
          <w:tblCellMar>
            <w:top w:w="0" w:type="dxa"/>
            <w:left w:w="0" w:type="dxa"/>
            <w:bottom w:w="0" w:type="dxa"/>
            <w:right w:w="0" w:type="dxa"/>
          </w:tblCellMar>
        </w:tblPrEx>
        <w:trPr>
          <w:trHeight w:val="2040" w:hRule="atLeast"/>
        </w:trPr>
        <w:tc>
          <w:tcPr>
            <w:tcW w:w="52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2EC2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五</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087C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合约造价管理</w:t>
            </w:r>
          </w:p>
        </w:tc>
        <w:tc>
          <w:tcPr>
            <w:tcW w:w="702"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881C9E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w:t>
            </w: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F8E8B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工程造价总体</w:t>
            </w:r>
            <w:r>
              <w:rPr>
                <w:rFonts w:hint="eastAsia" w:ascii="宋体" w:hAnsi="宋体" w:cs="宋体"/>
                <w:kern w:val="0"/>
                <w:sz w:val="20"/>
                <w:szCs w:val="20"/>
                <w:lang w:bidi="ar"/>
              </w:rPr>
              <w:br w:type="textWrapping"/>
            </w:r>
            <w:r>
              <w:rPr>
                <w:rFonts w:hint="eastAsia" w:ascii="宋体" w:hAnsi="宋体" w:cs="宋体"/>
                <w:kern w:val="0"/>
                <w:sz w:val="20"/>
                <w:szCs w:val="20"/>
                <w:lang w:bidi="ar"/>
              </w:rPr>
              <w:t>管控目标</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A71F7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5818F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0CFC6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38E6D2">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能够严格落实造价控制原则，变更实施严格按估算控制概算、概算控制预算、预算控制结算的原则予以控制。</w:t>
            </w:r>
            <w:r>
              <w:rPr>
                <w:rFonts w:hint="eastAsia" w:ascii="宋体" w:hAnsi="宋体" w:cs="宋体"/>
                <w:kern w:val="0"/>
                <w:sz w:val="20"/>
                <w:szCs w:val="20"/>
                <w:lang w:bidi="ar"/>
              </w:rPr>
              <w:br w:type="textWrapping"/>
            </w:r>
            <w:r>
              <w:rPr>
                <w:rFonts w:hint="eastAsia" w:ascii="宋体" w:hAnsi="宋体" w:cs="宋体"/>
                <w:kern w:val="0"/>
                <w:sz w:val="20"/>
                <w:szCs w:val="20"/>
                <w:lang w:bidi="ar"/>
              </w:rPr>
              <w:t>因承包人自身原因导致工程造价增加的，节点期内每增加5%，降低履约率1个档次，直至履约率变0%为止。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633F21">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C06452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0FB93FE5">
        <w:tblPrEx>
          <w:tblCellMar>
            <w:top w:w="0" w:type="dxa"/>
            <w:left w:w="0" w:type="dxa"/>
            <w:bottom w:w="0" w:type="dxa"/>
            <w:right w:w="0" w:type="dxa"/>
          </w:tblCellMar>
        </w:tblPrEx>
        <w:trPr>
          <w:trHeight w:val="288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C6D93">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109E5">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0813243">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37B1F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工程变更管理</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2E5DF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B7964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89BF3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16792E">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能够按合同约定及相关规定，工程变更均按变更造价进行分级管理，并在规定的时间内按照相关变更管理程序和指定的格式将工程变更工程量及变更价款报告发包人。</w:t>
            </w:r>
            <w:r>
              <w:rPr>
                <w:rFonts w:hint="eastAsia" w:ascii="宋体" w:hAnsi="宋体" w:cs="宋体"/>
                <w:kern w:val="0"/>
                <w:sz w:val="20"/>
                <w:szCs w:val="20"/>
                <w:lang w:bidi="ar"/>
              </w:rPr>
              <w:br w:type="textWrapping"/>
            </w:r>
            <w:r>
              <w:rPr>
                <w:rFonts w:hint="eastAsia" w:ascii="宋体" w:hAnsi="宋体" w:cs="宋体"/>
                <w:kern w:val="0"/>
                <w:sz w:val="20"/>
                <w:szCs w:val="20"/>
                <w:lang w:bidi="ar"/>
              </w:rPr>
              <w:t>节点期内对增加或减少工程造价的变更，如未在合同规定的时间内申报的，履约率降低一个档次；若存在未经发包人书面同意的变更项目，承包人擅自实施的，履约率直接判定0%。</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B8A00D">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B6600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1524B751">
        <w:tblPrEx>
          <w:tblCellMar>
            <w:top w:w="0" w:type="dxa"/>
            <w:left w:w="0" w:type="dxa"/>
            <w:bottom w:w="0" w:type="dxa"/>
            <w:right w:w="0" w:type="dxa"/>
          </w:tblCellMar>
        </w:tblPrEx>
        <w:trPr>
          <w:trHeight w:val="156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48173">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1BB47">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953FE15">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2C32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工程计量管理</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7FD71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68415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C3231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51BA7C">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能够执行合同约定的价格及计价方式，严格落实工程量计量程序，确保工程计量真实准确。</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根据节点期内工程计量程序执行情况判定履约率。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26D337">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0BFBDD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4A63C366">
        <w:tblPrEx>
          <w:tblCellMar>
            <w:top w:w="0" w:type="dxa"/>
            <w:left w:w="0" w:type="dxa"/>
            <w:bottom w:w="0" w:type="dxa"/>
            <w:right w:w="0" w:type="dxa"/>
          </w:tblCellMar>
        </w:tblPrEx>
        <w:trPr>
          <w:trHeight w:val="3260" w:hRule="atLeast"/>
        </w:trPr>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C459F">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648B3">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DD4778C">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12DB8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工程结算管控</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A862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2B209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B35F7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8DFE9E">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能够主动办理合同结算，在合同工程通过竣工验收后30天内，按照合同及发包人的有关要求编报本合同结算，提交合同结算有关资料并配合发包人完成结算审核及评审（审计）。</w:t>
            </w:r>
            <w:r>
              <w:rPr>
                <w:rFonts w:hint="eastAsia" w:ascii="宋体" w:hAnsi="宋体" w:cs="宋体"/>
                <w:kern w:val="0"/>
                <w:sz w:val="20"/>
                <w:szCs w:val="20"/>
                <w:lang w:bidi="ar"/>
              </w:rPr>
              <w:br w:type="textWrapping"/>
            </w:r>
            <w:r>
              <w:rPr>
                <w:rFonts w:hint="eastAsia" w:ascii="宋体" w:hAnsi="宋体" w:cs="宋体"/>
                <w:kern w:val="0"/>
                <w:sz w:val="20"/>
                <w:szCs w:val="20"/>
                <w:lang w:bidi="ar"/>
              </w:rPr>
              <w:t>若承包人不按上述规定时间报送结算，发包人可对承包人发催报书面通知，在通知规定期限内仍不报送结算的，或不配合发包人完成结算审核及评审（审计）的，逾期1天履约率降低1个档次，直至履约率变0%为止。</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7F9008">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EEFC89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6F72177B">
        <w:tblPrEx>
          <w:tblCellMar>
            <w:top w:w="0" w:type="dxa"/>
            <w:left w:w="0" w:type="dxa"/>
            <w:bottom w:w="0" w:type="dxa"/>
            <w:right w:w="0" w:type="dxa"/>
          </w:tblCellMar>
        </w:tblPrEx>
        <w:trPr>
          <w:trHeight w:val="1240" w:hRule="atLeast"/>
        </w:trPr>
        <w:tc>
          <w:tcPr>
            <w:tcW w:w="52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A33EBA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六</w:t>
            </w:r>
          </w:p>
        </w:tc>
        <w:tc>
          <w:tcPr>
            <w:tcW w:w="70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B90C03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配合与协调</w:t>
            </w:r>
          </w:p>
        </w:tc>
        <w:tc>
          <w:tcPr>
            <w:tcW w:w="702" w:type="dxa"/>
            <w:vMerge w:val="restart"/>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14:paraId="0389C7C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3123E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廉政责任落实</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4B05A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83D87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16080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4DF1D1">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按照签订的《投标人廉政责任承诺书》、《建设工程廉政责任合同》落实，若任一条款未落实的，履约率均被判定0%。</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3BB51B">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78D64E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1B2EEC5">
        <w:tblPrEx>
          <w:tblCellMar>
            <w:top w:w="0" w:type="dxa"/>
            <w:left w:w="0" w:type="dxa"/>
            <w:bottom w:w="0" w:type="dxa"/>
            <w:right w:w="0" w:type="dxa"/>
          </w:tblCellMar>
        </w:tblPrEx>
        <w:trPr>
          <w:trHeight w:val="1100" w:hRule="atLeast"/>
        </w:trPr>
        <w:tc>
          <w:tcPr>
            <w:tcW w:w="52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16EEC0">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0CA4173">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14:paraId="241EEDBC">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2B87C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产值申报配合度</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0E922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41493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0E9B7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2F3533">
            <w:pPr>
              <w:widowControl/>
              <w:jc w:val="left"/>
              <w:textAlignment w:val="center"/>
              <w:rPr>
                <w:rFonts w:hint="eastAsia" w:ascii="宋体" w:hAnsi="宋体" w:cs="宋体"/>
                <w:sz w:val="20"/>
                <w:szCs w:val="20"/>
              </w:rPr>
            </w:pPr>
            <w:r>
              <w:rPr>
                <w:rFonts w:hint="eastAsia" w:ascii="宋体" w:hAnsi="宋体" w:cs="宋体"/>
                <w:kern w:val="0"/>
                <w:sz w:val="20"/>
                <w:szCs w:val="20"/>
                <w:lang w:bidi="ar"/>
              </w:rPr>
              <w:t>如实申报产值，积极主动配合申报概算及产值。</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根据配合度判定履约率。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B29C41">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FBFC5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10AB2C8A">
        <w:tblPrEx>
          <w:tblCellMar>
            <w:top w:w="0" w:type="dxa"/>
            <w:left w:w="0" w:type="dxa"/>
            <w:bottom w:w="0" w:type="dxa"/>
            <w:right w:w="0" w:type="dxa"/>
          </w:tblCellMar>
        </w:tblPrEx>
        <w:trPr>
          <w:trHeight w:val="1200" w:hRule="atLeast"/>
        </w:trPr>
        <w:tc>
          <w:tcPr>
            <w:tcW w:w="52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45C0DD0">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7790F2">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14:paraId="1BF13EDF">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E2C0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配合协调情况</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1DD9B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B859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DE52D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EEB80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配合发包人日常工作，与外部单位、周边关系协调。</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根据配合度判定履约率。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31C3E3">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586871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74DD57D8">
        <w:tblPrEx>
          <w:tblCellMar>
            <w:top w:w="0" w:type="dxa"/>
            <w:left w:w="0" w:type="dxa"/>
            <w:bottom w:w="0" w:type="dxa"/>
            <w:right w:w="0" w:type="dxa"/>
          </w:tblCellMar>
        </w:tblPrEx>
        <w:trPr>
          <w:trHeight w:val="1340" w:hRule="atLeast"/>
        </w:trPr>
        <w:tc>
          <w:tcPr>
            <w:tcW w:w="52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922D02E">
            <w:pPr>
              <w:jc w:val="center"/>
              <w:rPr>
                <w:rFonts w:hint="eastAsia" w:ascii="宋体" w:hAnsi="宋体" w:cs="宋体"/>
                <w:sz w:val="20"/>
                <w:szCs w:val="20"/>
              </w:rPr>
            </w:pPr>
          </w:p>
        </w:tc>
        <w:tc>
          <w:tcPr>
            <w:tcW w:w="70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D32CA6C">
            <w:pPr>
              <w:jc w:val="center"/>
              <w:rPr>
                <w:rFonts w:hint="eastAsia" w:ascii="宋体" w:hAnsi="宋体" w:cs="宋体"/>
                <w:sz w:val="20"/>
                <w:szCs w:val="20"/>
              </w:rPr>
            </w:pPr>
          </w:p>
        </w:tc>
        <w:tc>
          <w:tcPr>
            <w:tcW w:w="702" w:type="dxa"/>
            <w:vMerge w:val="continue"/>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14:paraId="2E6878AF">
            <w:pPr>
              <w:jc w:val="center"/>
              <w:rPr>
                <w:rFonts w:hint="eastAsia" w:ascii="宋体" w:hAnsi="宋体" w:cs="宋体"/>
                <w:sz w:val="20"/>
                <w:szCs w:val="20"/>
              </w:rPr>
            </w:pPr>
          </w:p>
        </w:tc>
        <w:tc>
          <w:tcPr>
            <w:tcW w:w="7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BB9B7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资料（档案）</w:t>
            </w:r>
            <w:r>
              <w:rPr>
                <w:rFonts w:hint="eastAsia" w:ascii="宋体" w:hAnsi="宋体" w:cs="宋体"/>
                <w:kern w:val="0"/>
                <w:sz w:val="20"/>
                <w:szCs w:val="20"/>
                <w:lang w:bidi="ar"/>
              </w:rPr>
              <w:br w:type="textWrapping"/>
            </w:r>
            <w:r>
              <w:rPr>
                <w:rFonts w:hint="eastAsia" w:ascii="宋体" w:hAnsi="宋体" w:cs="宋体"/>
                <w:kern w:val="0"/>
                <w:sz w:val="20"/>
                <w:szCs w:val="20"/>
                <w:lang w:bidi="ar"/>
              </w:rPr>
              <w:t>管理</w:t>
            </w:r>
          </w:p>
        </w:tc>
        <w:tc>
          <w:tcPr>
            <w:tcW w:w="7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54AE2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7409D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DF238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E25988">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积极配合日常资料管理工作，按时完成档案移交。</w:t>
            </w:r>
            <w:r>
              <w:rPr>
                <w:rFonts w:hint="eastAsia" w:ascii="宋体" w:hAnsi="宋体" w:cs="宋体"/>
                <w:kern w:val="0"/>
                <w:sz w:val="20"/>
                <w:szCs w:val="20"/>
                <w:lang w:bidi="ar"/>
              </w:rPr>
              <w:br w:type="textWrapping"/>
            </w:r>
            <w:r>
              <w:rPr>
                <w:rFonts w:hint="eastAsia" w:ascii="宋体" w:hAnsi="宋体" w:cs="宋体"/>
                <w:kern w:val="0"/>
                <w:sz w:val="20"/>
                <w:szCs w:val="20"/>
                <w:lang w:bidi="ar"/>
              </w:rPr>
              <w:t>根据资料完整性及移交效率判定履约率。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13814D">
            <w:pPr>
              <w:jc w:val="center"/>
              <w:rPr>
                <w:rFonts w:hint="eastAsia" w:ascii="宋体" w:hAnsi="宋体" w:cs="宋体"/>
                <w:sz w:val="20"/>
                <w:szCs w:val="20"/>
              </w:rPr>
            </w:pP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21C45B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661D6AB7">
        <w:tblPrEx>
          <w:tblCellMar>
            <w:top w:w="0" w:type="dxa"/>
            <w:left w:w="0" w:type="dxa"/>
            <w:bottom w:w="0" w:type="dxa"/>
            <w:right w:w="0" w:type="dxa"/>
          </w:tblCellMar>
        </w:tblPrEx>
        <w:trPr>
          <w:trHeight w:val="1340" w:hRule="atLeast"/>
        </w:trPr>
        <w:tc>
          <w:tcPr>
            <w:tcW w:w="272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9A593B">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总分</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848EDA">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100</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A7C102">
            <w:pPr>
              <w:jc w:val="center"/>
              <w:rPr>
                <w:rFonts w:hint="eastAsia" w:ascii="黑体" w:hAnsi="宋体" w:eastAsia="黑体" w:cs="黑体"/>
                <w:sz w:val="20"/>
                <w:szCs w:val="20"/>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163BD8">
            <w:pPr>
              <w:jc w:val="left"/>
              <w:rPr>
                <w:rFonts w:hint="eastAsia" w:ascii="黑体" w:hAnsi="宋体" w:eastAsia="黑体" w:cs="黑体"/>
                <w:sz w:val="20"/>
                <w:szCs w:val="20"/>
              </w:rPr>
            </w:pPr>
          </w:p>
        </w:tc>
        <w:tc>
          <w:tcPr>
            <w:tcW w:w="354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9B4A63">
            <w:pPr>
              <w:widowControl/>
              <w:jc w:val="left"/>
              <w:textAlignment w:val="center"/>
              <w:rPr>
                <w:rFonts w:hint="eastAsia" w:ascii="黑体" w:hAnsi="宋体" w:eastAsia="黑体" w:cs="黑体"/>
                <w:sz w:val="20"/>
                <w:szCs w:val="20"/>
              </w:rPr>
            </w:pPr>
            <w:r>
              <w:rPr>
                <w:rFonts w:hint="eastAsia" w:ascii="黑体" w:hAnsi="宋体" w:eastAsia="黑体" w:cs="黑体"/>
                <w:kern w:val="0"/>
                <w:sz w:val="20"/>
                <w:szCs w:val="20"/>
                <w:lang w:bidi="ar"/>
              </w:rPr>
              <w:t>单项二级实际得分=二级指标履约率×指标权重分值；</w:t>
            </w:r>
            <w:r>
              <w:rPr>
                <w:rFonts w:hint="eastAsia" w:ascii="黑体" w:hAnsi="宋体" w:eastAsia="黑体" w:cs="黑体"/>
                <w:kern w:val="0"/>
                <w:sz w:val="20"/>
                <w:szCs w:val="20"/>
                <w:lang w:bidi="ar"/>
              </w:rPr>
              <w:br w:type="textWrapping"/>
            </w:r>
            <w:r>
              <w:rPr>
                <w:rFonts w:hint="eastAsia" w:ascii="黑体" w:hAnsi="宋体" w:eastAsia="黑体" w:cs="黑体"/>
                <w:kern w:val="0"/>
                <w:sz w:val="20"/>
                <w:szCs w:val="20"/>
                <w:lang w:bidi="ar"/>
              </w:rPr>
              <w:t>最终得分=∑各二级指标实际得分/∑各二级指标权重分值×100</w:t>
            </w:r>
          </w:p>
        </w:tc>
        <w:tc>
          <w:tcPr>
            <w:tcW w:w="3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981BADF">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0</w:t>
            </w:r>
          </w:p>
        </w:tc>
      </w:tr>
    </w:tbl>
    <w:p w14:paraId="04BE8F5B">
      <w:pPr>
        <w:adjustRightInd w:val="0"/>
        <w:snapToGrid w:val="0"/>
        <w:spacing w:line="360" w:lineRule="auto"/>
        <w:jc w:val="left"/>
        <w:rPr>
          <w:rFonts w:ascii="宋体" w:hAnsi="宋体"/>
          <w:snapToGrid w:val="0"/>
          <w:szCs w:val="21"/>
        </w:rPr>
      </w:pPr>
    </w:p>
    <w:p w14:paraId="1FE26347">
      <w:pPr>
        <w:adjustRightInd w:val="0"/>
        <w:snapToGrid w:val="0"/>
        <w:spacing w:line="360" w:lineRule="auto"/>
        <w:jc w:val="left"/>
        <w:rPr>
          <w:rFonts w:ascii="宋体" w:hAnsi="宋体"/>
          <w:snapToGrid w:val="0"/>
          <w:szCs w:val="21"/>
        </w:rPr>
      </w:pPr>
    </w:p>
    <w:p w14:paraId="334EC694">
      <w:pPr>
        <w:adjustRightInd w:val="0"/>
        <w:snapToGrid w:val="0"/>
        <w:spacing w:line="360" w:lineRule="auto"/>
        <w:jc w:val="left"/>
        <w:rPr>
          <w:rFonts w:ascii="宋体" w:hAnsi="宋体"/>
          <w:snapToGrid w:val="0"/>
          <w:szCs w:val="21"/>
        </w:rPr>
      </w:pPr>
    </w:p>
    <w:p w14:paraId="29E8745E">
      <w:pPr>
        <w:pStyle w:val="16"/>
        <w:spacing w:before="156"/>
        <w:sectPr>
          <w:pgSz w:w="11906" w:h="16838"/>
          <w:pgMar w:top="1276" w:right="1351" w:bottom="1135" w:left="1414" w:header="851" w:footer="992" w:gutter="0"/>
          <w:cols w:space="720" w:num="1"/>
          <w:docGrid w:type="lines" w:linePitch="312" w:charSpace="0"/>
        </w:sectPr>
      </w:pPr>
    </w:p>
    <w:p w14:paraId="404019B6">
      <w:pPr>
        <w:pStyle w:val="16"/>
        <w:spacing w:before="156"/>
        <w:rPr>
          <w:rFonts w:ascii="宋体" w:hAnsi="宋体"/>
          <w:b/>
          <w:bCs w:val="0"/>
          <w:sz w:val="44"/>
          <w:szCs w:val="44"/>
        </w:rPr>
      </w:pPr>
      <w:r>
        <w:rPr>
          <w:rFonts w:hint="eastAsia" w:ascii="宋体" w:hAnsi="宋体"/>
          <w:b/>
          <w:bCs w:val="0"/>
        </w:rPr>
        <w:t>附件2</w:t>
      </w:r>
    </w:p>
    <w:p w14:paraId="1B88A6DF">
      <w:pPr>
        <w:adjustRightInd w:val="0"/>
        <w:snapToGrid w:val="0"/>
        <w:spacing w:line="520" w:lineRule="exact"/>
        <w:jc w:val="center"/>
        <w:rPr>
          <w:rFonts w:ascii="宋体" w:hAnsi="宋体"/>
          <w:b/>
          <w:kern w:val="0"/>
          <w:sz w:val="30"/>
        </w:rPr>
      </w:pPr>
      <w:r>
        <w:rPr>
          <w:rFonts w:hint="eastAsia" w:ascii="宋体" w:hAnsi="宋体"/>
          <w:b/>
          <w:kern w:val="0"/>
          <w:sz w:val="30"/>
        </w:rPr>
        <w:t>建设工程廉政责任合同</w:t>
      </w:r>
    </w:p>
    <w:p w14:paraId="1AD0E14B">
      <w:pPr>
        <w:pStyle w:val="163"/>
        <w:autoSpaceDE w:val="0"/>
        <w:autoSpaceDN w:val="0"/>
        <w:adjustRightInd w:val="0"/>
        <w:jc w:val="center"/>
        <w:rPr>
          <w:rFonts w:ascii="宋体" w:hAnsi="宋体"/>
          <w:sz w:val="44"/>
          <w:szCs w:val="44"/>
        </w:rPr>
      </w:pPr>
    </w:p>
    <w:p w14:paraId="4B71F1E6">
      <w:pPr>
        <w:pStyle w:val="163"/>
        <w:autoSpaceDE w:val="0"/>
        <w:autoSpaceDN w:val="0"/>
        <w:adjustRightInd w:val="0"/>
        <w:spacing w:line="360" w:lineRule="auto"/>
        <w:ind w:firstLine="420" w:firstLineChars="200"/>
        <w:jc w:val="left"/>
        <w:rPr>
          <w:rFonts w:ascii="宋体" w:hAnsi="宋体" w:cs="仿宋_GB2312"/>
          <w:kern w:val="0"/>
          <w:sz w:val="24"/>
          <w:szCs w:val="21"/>
          <w:u w:val="single"/>
        </w:rPr>
      </w:pPr>
      <w:r>
        <w:rPr>
          <w:rFonts w:hint="eastAsia" w:ascii="宋体" w:hAnsi="宋体" w:cs="仿宋_GB2312"/>
          <w:kern w:val="0"/>
          <w:szCs w:val="21"/>
        </w:rPr>
        <w:t xml:space="preserve"> 发包人</w:t>
      </w:r>
      <w:r>
        <w:rPr>
          <w:rFonts w:hint="eastAsia" w:ascii="宋体" w:hAnsi="宋体" w:cs="仿宋_GB2312"/>
          <w:kern w:val="0"/>
          <w:sz w:val="24"/>
          <w:szCs w:val="21"/>
        </w:rPr>
        <w:t xml:space="preserve"> ： _____________________________</w:t>
      </w:r>
    </w:p>
    <w:p w14:paraId="60E84046">
      <w:pPr>
        <w:pStyle w:val="163"/>
        <w:autoSpaceDE w:val="0"/>
        <w:autoSpaceDN w:val="0"/>
        <w:adjustRightInd w:val="0"/>
        <w:spacing w:line="360" w:lineRule="auto"/>
        <w:ind w:firstLine="480" w:firstLineChars="200"/>
        <w:jc w:val="left"/>
        <w:rPr>
          <w:rFonts w:ascii="宋体" w:cs="仿宋_GB2312"/>
          <w:kern w:val="0"/>
          <w:sz w:val="24"/>
          <w:szCs w:val="21"/>
        </w:rPr>
      </w:pPr>
      <w:r>
        <w:rPr>
          <w:rFonts w:hint="eastAsia" w:ascii="宋体" w:hAnsi="宋体" w:cs="仿宋_GB2312"/>
          <w:kern w:val="0"/>
          <w:sz w:val="24"/>
          <w:szCs w:val="21"/>
        </w:rPr>
        <w:t>承包人： _____________________________</w:t>
      </w:r>
    </w:p>
    <w:p w14:paraId="004C3708">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为加强工程建设中的廉政建设，规范工程项目承包、发包双方的各项活动，防止发生各种谋取不正当利益的违法违纪行为，确保建设项目工程质量达到国家有关规定，根据国家有关工程建设的法律法规和廉政建设规定，特订立本廉政合同。</w:t>
      </w:r>
    </w:p>
    <w:p w14:paraId="73E45B29">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第一条　甲乙双方的权利和义务</w:t>
      </w:r>
    </w:p>
    <w:p w14:paraId="6CAFC143">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（一）严格遵守国家关于市场准入、勘测设计、施工监理、招标投标、工程施工、设备安装和市场经营活动等有关法律法规和相关政策，以及廉政建设的各项规定。</w:t>
      </w:r>
    </w:p>
    <w:p w14:paraId="46C9F050">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二）业务活动必须坚持公开、公平、公正、诚信、透明的原则（除法律法规认定的商业秘密和合同文件另有规定者外），双方人员不得为获取不正当的利益，就工程费用、材料供应、工程量变动、工程验收、工程质量等问题进行私下商谈或达成默契，不得损害国家和集体利益，违反工程建设管理规章制度。</w:t>
      </w:r>
    </w:p>
    <w:p w14:paraId="40118F12">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三）建立健全廉政制度，开展廉政教育，设立廉政告示牌，公布举报电话，监督违法违纪行为。发现对方在业务活动中有违反本合同行为的，有及时提醒对方纠正的权利和义务。情节严重的，有向有关部门举报、建议给予处理并要求告知处理结果的权利。</w:t>
      </w:r>
    </w:p>
    <w:p w14:paraId="64DB1192">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第二条　发包人的责任</w:t>
      </w:r>
    </w:p>
    <w:p w14:paraId="08837841">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发包人的负责人和从事该工程项目的工作人员，在工程项目的事前、事中、事后应遵守以下规定：</w:t>
      </w:r>
    </w:p>
    <w:p w14:paraId="22179E3F">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（一）不得以任何理由向承包人索要或接受现金、有价证券、通讯工具、交通工具、高档办公用品及其它物品。</w:t>
      </w:r>
    </w:p>
    <w:p w14:paraId="027E60DC">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（二）不得在承包人报销应由发包人单位或个人支付的费用。</w:t>
      </w:r>
    </w:p>
    <w:p w14:paraId="5BCA321A">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（三）不得参加承包人安排的宴请及其他消费活动。</w:t>
      </w:r>
    </w:p>
    <w:p w14:paraId="16E5F10A">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（四）不得要求、暗示和接受承包人为个人装修房屋及为配偶子女的工作安排以及本人或亲属旅游等提供方便。</w:t>
      </w:r>
    </w:p>
    <w:p w14:paraId="31FEB085">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（五）其配偶、子女不得从事与承包人承包工程有关的设备材料供应、工程分包、劳务等经济活动。</w:t>
      </w:r>
    </w:p>
    <w:p w14:paraId="49B23B47">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（六）不得以任何理由向承包人推荐分包单位或要求承包人购买项目合同规定以外的材料、设备和服务等。</w:t>
      </w:r>
    </w:p>
    <w:p w14:paraId="344EBB2E">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（七）不得串通承包人人员在工程质量、工程经济技术签证等方面弄虚作假，牟取私利。</w:t>
      </w:r>
    </w:p>
    <w:p w14:paraId="5307E238">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（八）不得肢解工程、指定工程分包单位。</w:t>
      </w:r>
    </w:p>
    <w:p w14:paraId="7D2B4211">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第三条　承包人的责任</w:t>
      </w:r>
    </w:p>
    <w:p w14:paraId="413E28E8">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承包人应与发包人保持正常的业务交往，按照有关法律法规和程序开展业务活动，严格执行工程建设的有关方针、政策，尤其是有关强制性标准和规范，并遵守以下规定：</w:t>
      </w:r>
    </w:p>
    <w:p w14:paraId="54882560">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（一）不得以任何理由向发包人及其工作人员行贿或赠送现金、有价证券、贵重物品。</w:t>
      </w:r>
    </w:p>
    <w:p w14:paraId="3DEAFBDD">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（二）不得以任何名义为发包人及其工作人员报销应由对方支付的费用。</w:t>
      </w:r>
    </w:p>
    <w:p w14:paraId="7242D265">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（三）不得以任何理由宴请发包人工作人员或安排其他消费活动。</w:t>
      </w:r>
    </w:p>
    <w:p w14:paraId="0304DC06">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（四）不为发包人单位和工作人员购置或提供通讯工具、交通工具、高档办公用品和装修住房等。</w:t>
      </w:r>
    </w:p>
    <w:p w14:paraId="216FFAE9">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（五）不得串通发包人人员在工程质量、工程隐蔽、工程经济技术签证等方面弄虚作假，牟取私利。</w:t>
      </w:r>
    </w:p>
    <w:p w14:paraId="2CDEAC4B">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（六）不得承包工程后又将工程转包，挂靠承包。</w:t>
      </w:r>
    </w:p>
    <w:p w14:paraId="78646B3E">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（七）不得违反工程造价管理规定，编制工程预算、决算。</w:t>
      </w:r>
    </w:p>
    <w:p w14:paraId="3451490E">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第四条　违约责任</w:t>
      </w:r>
    </w:p>
    <w:p w14:paraId="3AD31D00">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（一）发包人工作人员有违反本合同第一、二条责任行为的，按照管理权限，依据有关规定予以处理；涉嫌犯罪的，移交司法机关追究刑事责任；给承包人单位造成经济损失的，应予赔偿。</w:t>
      </w:r>
    </w:p>
    <w:p w14:paraId="29C43BE9">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（二）承包人工作人员有违反本合同第一、三条责任行为的，按照管理权限，依据有关规定予以处理；涉嫌犯罪的，移交司法机关追究刑事责任；给发包人单位造成经济损失的，应予赔偿。</w:t>
      </w:r>
    </w:p>
    <w:p w14:paraId="4A2FC25D">
      <w:pPr>
        <w:pStyle w:val="163"/>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第五条　双方约定：在自觉履行合同的同时，由发包人监督单位负责对本合同履行情况进行监督检查。</w:t>
      </w:r>
    </w:p>
    <w:p w14:paraId="045DD4E9">
      <w:pPr>
        <w:pStyle w:val="163"/>
        <w:autoSpaceDE w:val="0"/>
        <w:autoSpaceDN w:val="0"/>
        <w:adjustRightInd w:val="0"/>
        <w:spacing w:line="300" w:lineRule="auto"/>
        <w:ind w:firstLine="480" w:firstLineChars="200"/>
        <w:jc w:val="left"/>
        <w:rPr>
          <w:rFonts w:ascii="宋体" w:hAnsi="宋体" w:cs="仿宋_GB2312"/>
          <w:kern w:val="0"/>
          <w:sz w:val="24"/>
          <w:szCs w:val="21"/>
        </w:rPr>
      </w:pPr>
      <w:r>
        <w:rPr>
          <w:rFonts w:hint="eastAsia" w:ascii="宋体" w:hAnsi="宋体" w:cs="仿宋_GB2312"/>
          <w:kern w:val="0"/>
          <w:sz w:val="24"/>
          <w:szCs w:val="21"/>
        </w:rPr>
        <w:t>第六条　本合同一式四份，由甲、乙双方各执二份。</w:t>
      </w:r>
    </w:p>
    <w:p w14:paraId="5D962CE9">
      <w:pPr>
        <w:adjustRightInd w:val="0"/>
        <w:snapToGrid w:val="0"/>
        <w:spacing w:line="520" w:lineRule="exact"/>
        <w:rPr>
          <w:rFonts w:ascii="宋体" w:hAnsi="宋体" w:cs="仿宋_GB2312"/>
          <w:kern w:val="0"/>
          <w:sz w:val="24"/>
          <w:szCs w:val="21"/>
        </w:rPr>
      </w:pPr>
    </w:p>
    <w:p w14:paraId="150FD57E">
      <w:pPr>
        <w:adjustRightInd w:val="0"/>
        <w:snapToGrid w:val="0"/>
        <w:spacing w:line="520" w:lineRule="exact"/>
        <w:rPr>
          <w:rFonts w:ascii="宋体" w:hAnsi="宋体" w:cs="仿宋_GB2312"/>
          <w:kern w:val="0"/>
          <w:sz w:val="24"/>
          <w:szCs w:val="21"/>
        </w:rPr>
      </w:pPr>
    </w:p>
    <w:p w14:paraId="411F07BC">
      <w:pPr>
        <w:adjustRightInd w:val="0"/>
        <w:snapToGrid w:val="0"/>
        <w:spacing w:line="520" w:lineRule="exact"/>
        <w:rPr>
          <w:rFonts w:ascii="宋体" w:hAnsi="宋体"/>
          <w:kern w:val="0"/>
          <w:szCs w:val="21"/>
        </w:rPr>
      </w:pPr>
      <w:r>
        <w:rPr>
          <w:rFonts w:hint="eastAsia" w:ascii="宋体" w:hAnsi="宋体" w:cs="仿宋_GB2312"/>
          <w:kern w:val="0"/>
          <w:sz w:val="24"/>
          <w:szCs w:val="21"/>
        </w:rPr>
        <w:t>发包人单位（盖章）：</w:t>
      </w:r>
      <w:r>
        <w:rPr>
          <w:rFonts w:hint="eastAsia" w:ascii="宋体" w:hAnsi="宋体"/>
          <w:kern w:val="0"/>
          <w:szCs w:val="21"/>
        </w:rPr>
        <w:t xml:space="preserve">                      </w:t>
      </w:r>
      <w:r>
        <w:rPr>
          <w:rFonts w:hint="eastAsia" w:ascii="宋体" w:hAnsi="宋体" w:cs="仿宋_GB2312"/>
          <w:kern w:val="0"/>
          <w:sz w:val="24"/>
          <w:szCs w:val="21"/>
        </w:rPr>
        <w:t>　</w:t>
      </w:r>
      <w:r>
        <w:rPr>
          <w:rFonts w:ascii="宋体" w:hAnsi="宋体" w:cs="仿宋_GB2312"/>
          <w:kern w:val="0"/>
          <w:sz w:val="24"/>
          <w:szCs w:val="21"/>
        </w:rPr>
        <w:t xml:space="preserve"> </w:t>
      </w:r>
      <w:r>
        <w:rPr>
          <w:rFonts w:hint="eastAsia" w:ascii="宋体" w:hAnsi="宋体" w:cs="仿宋_GB2312"/>
          <w:kern w:val="0"/>
          <w:sz w:val="24"/>
          <w:szCs w:val="21"/>
        </w:rPr>
        <w:t xml:space="preserve"> 承包人单位（盖章）：</w:t>
      </w:r>
    </w:p>
    <w:p w14:paraId="39D8BA7A">
      <w:pPr>
        <w:adjustRightInd w:val="0"/>
        <w:snapToGrid w:val="0"/>
        <w:spacing w:line="520" w:lineRule="exact"/>
        <w:ind w:firstLine="2730" w:firstLineChars="1300"/>
        <w:rPr>
          <w:rFonts w:ascii="宋体" w:hAnsi="宋体"/>
          <w:kern w:val="0"/>
          <w:szCs w:val="21"/>
        </w:rPr>
      </w:pPr>
      <w:r>
        <w:rPr>
          <w:rFonts w:hint="eastAsia" w:ascii="宋体" w:hAnsi="宋体"/>
          <w:kern w:val="0"/>
          <w:szCs w:val="21"/>
        </w:rPr>
        <w:t xml:space="preserve">                             </w:t>
      </w:r>
    </w:p>
    <w:p w14:paraId="40068925">
      <w:pPr>
        <w:pStyle w:val="163"/>
        <w:autoSpaceDE w:val="0"/>
        <w:autoSpaceDN w:val="0"/>
        <w:adjustRightInd w:val="0"/>
        <w:spacing w:line="300" w:lineRule="auto"/>
        <w:jc w:val="left"/>
        <w:rPr>
          <w:rFonts w:ascii="宋体" w:cs="仿宋_GB2312"/>
          <w:kern w:val="0"/>
          <w:sz w:val="24"/>
          <w:szCs w:val="21"/>
        </w:rPr>
      </w:pPr>
    </w:p>
    <w:p w14:paraId="6443B710">
      <w:pPr>
        <w:pStyle w:val="163"/>
        <w:autoSpaceDE w:val="0"/>
        <w:autoSpaceDN w:val="0"/>
        <w:adjustRightInd w:val="0"/>
        <w:spacing w:line="300" w:lineRule="auto"/>
        <w:jc w:val="left"/>
        <w:rPr>
          <w:rFonts w:ascii="宋体" w:hAnsi="宋体" w:cs="仿宋_GB2312"/>
          <w:kern w:val="0"/>
          <w:sz w:val="24"/>
          <w:szCs w:val="21"/>
        </w:rPr>
      </w:pPr>
      <w:r>
        <w:rPr>
          <w:rFonts w:hint="eastAsia" w:ascii="宋体" w:hAnsi="宋体" w:cs="仿宋_GB2312"/>
          <w:kern w:val="0"/>
          <w:sz w:val="24"/>
          <w:szCs w:val="21"/>
        </w:rPr>
        <w:t>法定代表人                                 法定代表人：</w:t>
      </w:r>
    </w:p>
    <w:p w14:paraId="2CE9900C">
      <w:pPr>
        <w:pStyle w:val="163"/>
        <w:autoSpaceDE w:val="0"/>
        <w:autoSpaceDN w:val="0"/>
        <w:adjustRightInd w:val="0"/>
        <w:spacing w:line="300" w:lineRule="auto"/>
        <w:jc w:val="left"/>
        <w:rPr>
          <w:rFonts w:ascii="宋体" w:hAnsi="宋体" w:cs="仿宋_GB2312"/>
          <w:kern w:val="0"/>
          <w:sz w:val="24"/>
          <w:szCs w:val="21"/>
        </w:rPr>
      </w:pPr>
    </w:p>
    <w:p w14:paraId="196A7487">
      <w:pPr>
        <w:pStyle w:val="163"/>
        <w:autoSpaceDE w:val="0"/>
        <w:autoSpaceDN w:val="0"/>
        <w:adjustRightInd w:val="0"/>
        <w:spacing w:line="300" w:lineRule="auto"/>
        <w:jc w:val="left"/>
        <w:rPr>
          <w:rFonts w:ascii="宋体" w:hAnsi="宋体" w:cs="仿宋_GB2312"/>
          <w:kern w:val="0"/>
          <w:sz w:val="24"/>
          <w:szCs w:val="21"/>
        </w:rPr>
      </w:pPr>
      <w:r>
        <w:rPr>
          <w:rFonts w:hint="eastAsia" w:ascii="宋体" w:hAnsi="宋体" w:cs="仿宋_GB2312"/>
          <w:kern w:val="0"/>
          <w:sz w:val="24"/>
          <w:szCs w:val="21"/>
        </w:rPr>
        <w:t>授权委托人：　　　　　　                   授权委托人：　　　　</w:t>
      </w:r>
      <w:r>
        <w:rPr>
          <w:rFonts w:ascii="宋体" w:hAnsi="宋体" w:cs="仿宋_GB2312"/>
          <w:kern w:val="0"/>
          <w:sz w:val="24"/>
          <w:szCs w:val="21"/>
        </w:rPr>
        <w:t xml:space="preserve">          </w:t>
      </w:r>
    </w:p>
    <w:p w14:paraId="441B2CEE">
      <w:pPr>
        <w:pStyle w:val="163"/>
        <w:autoSpaceDE w:val="0"/>
        <w:autoSpaceDN w:val="0"/>
        <w:adjustRightInd w:val="0"/>
        <w:spacing w:line="300" w:lineRule="auto"/>
        <w:jc w:val="left"/>
        <w:rPr>
          <w:rFonts w:ascii="宋体" w:cs="仿宋_GB2312"/>
          <w:kern w:val="0"/>
          <w:sz w:val="24"/>
          <w:szCs w:val="21"/>
        </w:rPr>
      </w:pPr>
    </w:p>
    <w:p w14:paraId="272F1E76">
      <w:pPr>
        <w:pStyle w:val="163"/>
        <w:autoSpaceDE w:val="0"/>
        <w:autoSpaceDN w:val="0"/>
        <w:adjustRightInd w:val="0"/>
        <w:spacing w:line="300" w:lineRule="auto"/>
        <w:jc w:val="left"/>
        <w:rPr>
          <w:rFonts w:ascii="宋体" w:cs="仿宋_GB2312"/>
          <w:kern w:val="0"/>
          <w:sz w:val="24"/>
          <w:szCs w:val="21"/>
        </w:rPr>
      </w:pPr>
      <w:r>
        <w:rPr>
          <w:rFonts w:hint="eastAsia" w:ascii="宋体" w:cs="仿宋_GB2312"/>
          <w:kern w:val="0"/>
          <w:sz w:val="24"/>
          <w:szCs w:val="21"/>
        </w:rPr>
        <w:t>监督电话：0755-89890158                    监督电话：</w:t>
      </w:r>
    </w:p>
    <w:p w14:paraId="2059AADD">
      <w:pPr>
        <w:pStyle w:val="163"/>
        <w:autoSpaceDE w:val="0"/>
        <w:autoSpaceDN w:val="0"/>
        <w:adjustRightInd w:val="0"/>
        <w:spacing w:line="300" w:lineRule="auto"/>
        <w:jc w:val="left"/>
        <w:rPr>
          <w:rFonts w:ascii="宋体" w:cs="仿宋_GB2312"/>
          <w:kern w:val="0"/>
          <w:sz w:val="24"/>
          <w:szCs w:val="21"/>
        </w:rPr>
      </w:pPr>
    </w:p>
    <w:p w14:paraId="2780EBCD">
      <w:pPr>
        <w:pStyle w:val="147"/>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cs="仿宋_GB2312"/>
          <w:kern w:val="0"/>
          <w:sz w:val="24"/>
          <w:szCs w:val="21"/>
        </w:rPr>
        <w:t>年　　月　　日　　　　　</w:t>
      </w:r>
      <w:r>
        <w:rPr>
          <w:rFonts w:ascii="宋体" w:hAnsi="宋体" w:cs="仿宋_GB2312"/>
          <w:kern w:val="0"/>
          <w:sz w:val="24"/>
          <w:szCs w:val="21"/>
        </w:rPr>
        <w:t xml:space="preserve">              </w:t>
      </w:r>
      <w:r>
        <w:rPr>
          <w:rFonts w:hint="eastAsia" w:ascii="宋体" w:hAnsi="宋体" w:cs="仿宋_GB2312"/>
          <w:kern w:val="0"/>
          <w:sz w:val="24"/>
          <w:szCs w:val="21"/>
        </w:rPr>
        <w:t xml:space="preserve">    　年　　月　　日</w:t>
      </w:r>
    </w:p>
    <w:p w14:paraId="7DBF1B5B">
      <w:pPr>
        <w:pStyle w:val="160"/>
        <w:rPr>
          <w:rFonts w:ascii="宋体" w:hAnsi="宋体" w:eastAsia="宋体"/>
          <w:bCs w:val="0"/>
          <w:kern w:val="0"/>
          <w:sz w:val="24"/>
          <w:szCs w:val="24"/>
        </w:rPr>
      </w:pPr>
      <w:r>
        <w:rPr>
          <w:rFonts w:hint="eastAsia" w:ascii="宋体" w:hAnsi="宋体" w:eastAsia="宋体"/>
          <w:bCs w:val="0"/>
          <w:kern w:val="0"/>
          <w:sz w:val="24"/>
          <w:szCs w:val="24"/>
        </w:rPr>
        <w:t>附件3</w:t>
      </w:r>
    </w:p>
    <w:p w14:paraId="5F520CEE">
      <w:pPr>
        <w:adjustRightInd w:val="0"/>
        <w:snapToGrid w:val="0"/>
        <w:spacing w:line="520" w:lineRule="exact"/>
        <w:ind w:firstLine="3012" w:firstLineChars="1000"/>
        <w:rPr>
          <w:rFonts w:ascii="宋体" w:hAnsi="宋体"/>
          <w:b/>
          <w:kern w:val="0"/>
          <w:sz w:val="30"/>
          <w:szCs w:val="24"/>
        </w:rPr>
      </w:pPr>
      <w:r>
        <w:rPr>
          <w:rFonts w:hint="eastAsia" w:ascii="宋体" w:hAnsi="宋体"/>
          <w:b/>
          <w:kern w:val="0"/>
          <w:sz w:val="30"/>
          <w:szCs w:val="24"/>
        </w:rPr>
        <w:t>安全生产责任书</w:t>
      </w:r>
    </w:p>
    <w:p w14:paraId="18527B4B">
      <w:pPr>
        <w:pStyle w:val="162"/>
        <w:spacing w:line="360" w:lineRule="auto"/>
        <w:ind w:firstLine="480" w:firstLineChars="200"/>
        <w:rPr>
          <w:rFonts w:ascii="宋体" w:hAnsi="宋体"/>
          <w:szCs w:val="24"/>
          <w:lang w:eastAsia="zh-CN"/>
        </w:rPr>
      </w:pPr>
    </w:p>
    <w:p w14:paraId="3BD2B601">
      <w:pPr>
        <w:pStyle w:val="163"/>
        <w:autoSpaceDE w:val="0"/>
        <w:autoSpaceDN w:val="0"/>
        <w:adjustRightInd w:val="0"/>
        <w:spacing w:line="360" w:lineRule="auto"/>
        <w:ind w:firstLine="480" w:firstLineChars="200"/>
        <w:jc w:val="left"/>
        <w:rPr>
          <w:rFonts w:ascii="宋体" w:hAnsi="宋体"/>
          <w:sz w:val="24"/>
        </w:rPr>
      </w:pPr>
      <w:r>
        <w:rPr>
          <w:rFonts w:hint="eastAsia" w:ascii="宋体" w:hAnsi="宋体"/>
          <w:sz w:val="24"/>
        </w:rPr>
        <w:t>为在</w:t>
      </w:r>
      <w:r>
        <w:rPr>
          <w:rFonts w:hint="eastAsia" w:ascii="宋体" w:hAnsi="宋体"/>
          <w:bCs/>
          <w:sz w:val="24"/>
          <w:u w:val="single"/>
        </w:rPr>
        <w:t xml:space="preserve">                                                          </w:t>
      </w:r>
      <w:r>
        <w:rPr>
          <w:rFonts w:hint="eastAsia" w:ascii="宋体" w:hAnsi="宋体"/>
          <w:sz w:val="24"/>
          <w:u w:val="double"/>
        </w:rPr>
        <w:t>(</w:t>
      </w:r>
      <w:r>
        <w:rPr>
          <w:rFonts w:hint="eastAsia" w:ascii="宋体" w:hAnsi="宋体"/>
          <w:sz w:val="24"/>
        </w:rPr>
        <w:t>工程名称)建设过程中创造安全、高效的施工环境，切实搞好本项目的安全管理工作，本项目发包人</w:t>
      </w:r>
      <w:r>
        <w:rPr>
          <w:rFonts w:hint="eastAsia" w:ascii="宋体" w:hAnsi="宋体"/>
          <w:bCs/>
          <w:sz w:val="24"/>
          <w:u w:val="single"/>
        </w:rPr>
        <w:t xml:space="preserve">                                                                                       </w:t>
      </w:r>
      <w:r>
        <w:rPr>
          <w:rFonts w:hint="eastAsia" w:ascii="宋体" w:hAnsi="宋体"/>
          <w:sz w:val="24"/>
        </w:rPr>
        <w:t>与承包人</w:t>
      </w:r>
      <w:r>
        <w:rPr>
          <w:rFonts w:hint="eastAsia" w:ascii="宋体" w:hAnsi="宋体"/>
          <w:bCs/>
          <w:sz w:val="24"/>
          <w:u w:val="single"/>
        </w:rPr>
        <w:t xml:space="preserve">                             </w:t>
      </w:r>
      <w:r>
        <w:rPr>
          <w:rFonts w:hint="eastAsia" w:ascii="宋体" w:hAnsi="宋体"/>
          <w:sz w:val="24"/>
        </w:rPr>
        <w:t>特此签订安全生产合同：</w:t>
      </w:r>
    </w:p>
    <w:p w14:paraId="7BD1DFBD">
      <w:pPr>
        <w:spacing w:line="360" w:lineRule="auto"/>
        <w:outlineLvl w:val="0"/>
        <w:rPr>
          <w:rFonts w:ascii="宋体" w:hAnsi="宋体"/>
          <w:kern w:val="0"/>
          <w:sz w:val="24"/>
          <w:szCs w:val="24"/>
        </w:rPr>
      </w:pPr>
      <w:bookmarkStart w:id="27" w:name="_Toc276116554"/>
      <w:r>
        <w:rPr>
          <w:rFonts w:hint="eastAsia" w:ascii="宋体" w:hAnsi="宋体"/>
          <w:kern w:val="0"/>
          <w:sz w:val="24"/>
          <w:szCs w:val="24"/>
        </w:rPr>
        <w:t>一、发包人职责</w:t>
      </w:r>
      <w:bookmarkEnd w:id="27"/>
    </w:p>
    <w:p w14:paraId="1FDB3554">
      <w:pPr>
        <w:spacing w:line="360" w:lineRule="auto"/>
        <w:rPr>
          <w:rFonts w:ascii="宋体" w:hAnsi="宋体"/>
          <w:kern w:val="0"/>
          <w:sz w:val="24"/>
          <w:szCs w:val="24"/>
        </w:rPr>
      </w:pPr>
      <w:r>
        <w:rPr>
          <w:rFonts w:hint="eastAsia" w:ascii="宋体" w:hAnsi="宋体"/>
          <w:kern w:val="0"/>
          <w:sz w:val="24"/>
          <w:szCs w:val="24"/>
        </w:rPr>
        <w:t xml:space="preserve">    1．严格遵守国家有关安全生产的法律法规，认真执行工程施工承包合同中的有关安全要求，督促、检查承包人做好安全生产工作。</w:t>
      </w:r>
    </w:p>
    <w:p w14:paraId="3DF62194">
      <w:pPr>
        <w:spacing w:line="360" w:lineRule="auto"/>
        <w:ind w:firstLine="480" w:firstLineChars="200"/>
        <w:rPr>
          <w:rFonts w:ascii="宋体" w:hAnsi="宋体"/>
          <w:kern w:val="0"/>
          <w:sz w:val="24"/>
          <w:szCs w:val="24"/>
        </w:rPr>
      </w:pPr>
      <w:r>
        <w:rPr>
          <w:rFonts w:hint="eastAsia" w:ascii="宋体" w:hAnsi="宋体"/>
          <w:kern w:val="0"/>
          <w:sz w:val="24"/>
          <w:szCs w:val="24"/>
        </w:rPr>
        <w:t>2．重要的安全设施必须坚持与主体工程“三同时”原则中“同时设计，审批，同时验收，投入使用”两大原则。</w:t>
      </w:r>
    </w:p>
    <w:p w14:paraId="4FA0A157">
      <w:pPr>
        <w:spacing w:line="360" w:lineRule="auto"/>
        <w:ind w:firstLine="480" w:firstLineChars="200"/>
        <w:rPr>
          <w:rFonts w:ascii="宋体" w:hAnsi="宋体"/>
          <w:kern w:val="0"/>
          <w:sz w:val="24"/>
          <w:szCs w:val="24"/>
        </w:rPr>
      </w:pPr>
      <w:r>
        <w:rPr>
          <w:rFonts w:hint="eastAsia" w:ascii="宋体" w:hAnsi="宋体"/>
          <w:kern w:val="0"/>
          <w:sz w:val="24"/>
          <w:szCs w:val="24"/>
        </w:rPr>
        <w:t>3．传达中央及地方有关安全生产的精神，听取承包人安全生产工作汇报，参与各施工单位安全生产评比。</w:t>
      </w:r>
    </w:p>
    <w:p w14:paraId="017799B6">
      <w:pPr>
        <w:spacing w:line="360" w:lineRule="auto"/>
        <w:outlineLvl w:val="0"/>
        <w:rPr>
          <w:rFonts w:ascii="宋体" w:hAnsi="宋体"/>
          <w:kern w:val="0"/>
          <w:sz w:val="24"/>
          <w:szCs w:val="24"/>
        </w:rPr>
      </w:pPr>
      <w:bookmarkStart w:id="28" w:name="_Toc276116555"/>
      <w:r>
        <w:rPr>
          <w:rFonts w:hint="eastAsia" w:ascii="宋体" w:hAnsi="宋体"/>
          <w:kern w:val="0"/>
          <w:sz w:val="24"/>
          <w:szCs w:val="24"/>
        </w:rPr>
        <w:t>二、承包人职责</w:t>
      </w:r>
      <w:bookmarkEnd w:id="28"/>
    </w:p>
    <w:p w14:paraId="4FFD7942">
      <w:pPr>
        <w:spacing w:line="360" w:lineRule="auto"/>
        <w:ind w:firstLine="570"/>
        <w:rPr>
          <w:rFonts w:ascii="宋体" w:hAnsi="宋体"/>
          <w:kern w:val="0"/>
          <w:sz w:val="24"/>
          <w:szCs w:val="24"/>
        </w:rPr>
      </w:pPr>
      <w:r>
        <w:rPr>
          <w:rFonts w:hint="eastAsia" w:ascii="宋体" w:hAnsi="宋体"/>
          <w:kern w:val="0"/>
          <w:sz w:val="24"/>
          <w:szCs w:val="24"/>
        </w:rPr>
        <w:t>1．在实施和完成本合同工程及其缺陷修复的整个工程中，承包人应该对整个工程的施工安全管理负全责。</w:t>
      </w:r>
    </w:p>
    <w:p w14:paraId="1C68D37C">
      <w:pPr>
        <w:spacing w:line="360" w:lineRule="auto"/>
        <w:ind w:firstLine="570"/>
        <w:rPr>
          <w:rFonts w:ascii="宋体" w:hAnsi="宋体"/>
          <w:kern w:val="0"/>
          <w:sz w:val="24"/>
          <w:szCs w:val="24"/>
        </w:rPr>
      </w:pPr>
      <w:r>
        <w:rPr>
          <w:rFonts w:hint="eastAsia" w:ascii="宋体" w:hAnsi="宋体"/>
          <w:kern w:val="0"/>
          <w:sz w:val="24"/>
          <w:szCs w:val="24"/>
        </w:rPr>
        <w:t>2．承包人的一切行为都必须遵守中国现行法律、法规和当地条例；严格遵守国家有关安全生产的法律法规及有关安全生产的规定，认真执行工程施工承包合同中的有关安全要求。</w:t>
      </w:r>
    </w:p>
    <w:p w14:paraId="40CC569E">
      <w:pPr>
        <w:spacing w:line="360" w:lineRule="auto"/>
        <w:rPr>
          <w:rFonts w:ascii="宋体" w:hAnsi="宋体"/>
          <w:kern w:val="0"/>
          <w:sz w:val="24"/>
          <w:szCs w:val="24"/>
        </w:rPr>
      </w:pPr>
      <w:r>
        <w:rPr>
          <w:rFonts w:hint="eastAsia" w:ascii="宋体" w:hAnsi="宋体"/>
          <w:kern w:val="0"/>
          <w:sz w:val="24"/>
          <w:szCs w:val="24"/>
        </w:rPr>
        <w:t xml:space="preserve">    3．坚持“安全第一、预防为主”和“管生产必须管安全”的原则，加强安全生产宣传教育，增强全员安全生产意识，建立健全安全生产的管理机构，落实安全生产管理制度，配备专职及兼职安全检查人员，有组织有领导地开展安全生产活动。务必保证项目施工的各级领导、工程技术人员、生产管理人员和具体操作人员熟悉和遵守本条款的各项规定，做到生产与安全工作同时计划、布置、检查、总结和评比。</w:t>
      </w:r>
    </w:p>
    <w:p w14:paraId="5A62651A">
      <w:pPr>
        <w:spacing w:line="360" w:lineRule="auto"/>
        <w:ind w:firstLine="570"/>
        <w:rPr>
          <w:rFonts w:ascii="宋体" w:hAnsi="宋体"/>
          <w:kern w:val="0"/>
          <w:sz w:val="24"/>
          <w:szCs w:val="24"/>
        </w:rPr>
      </w:pPr>
      <w:r>
        <w:rPr>
          <w:rFonts w:hint="eastAsia" w:ascii="宋体" w:hAnsi="宋体"/>
          <w:kern w:val="0"/>
          <w:sz w:val="24"/>
          <w:szCs w:val="24"/>
        </w:rPr>
        <w:t>4．建立健全安全生产责任制。要求从项目经理到生产工人（包括临时雇请的民工）的安全生产管理系统必须做到纵向到底，一环不漏；各职能部门、人员的安全生产责任制做到横向到边，人人有责；现场设置的安全机构，应按施工人员的1%～3%配备注册安全主任一名和安全员若干，专职负责所有员工的安全和治安保卫工作及预防事故的发生；在任何时候均应采取各种合理的预防措施，防止其员工或社会上其他人员发生的违法行为，并维持治安和保护本工程及其附近的个人或财产免受上述行为的破坏。</w:t>
      </w:r>
    </w:p>
    <w:p w14:paraId="76F7D455">
      <w:pPr>
        <w:spacing w:line="360" w:lineRule="auto"/>
        <w:rPr>
          <w:rFonts w:ascii="宋体" w:hAnsi="宋体"/>
          <w:kern w:val="0"/>
          <w:sz w:val="24"/>
          <w:szCs w:val="24"/>
        </w:rPr>
      </w:pPr>
      <w:r>
        <w:rPr>
          <w:rFonts w:hint="eastAsia" w:ascii="宋体" w:hAnsi="宋体"/>
          <w:kern w:val="0"/>
          <w:sz w:val="24"/>
          <w:szCs w:val="24"/>
        </w:rPr>
        <w:t xml:space="preserve">    5．定期召开安全生产调度会，及时传达中央及地方有关安全生产的精神。</w:t>
      </w:r>
    </w:p>
    <w:p w14:paraId="071E3654">
      <w:pPr>
        <w:spacing w:line="360" w:lineRule="auto"/>
        <w:rPr>
          <w:rFonts w:ascii="宋体" w:hAnsi="宋体"/>
          <w:kern w:val="0"/>
          <w:sz w:val="24"/>
          <w:szCs w:val="24"/>
        </w:rPr>
      </w:pPr>
      <w:r>
        <w:rPr>
          <w:rFonts w:hint="eastAsia" w:ascii="宋体" w:hAnsi="宋体"/>
          <w:kern w:val="0"/>
          <w:sz w:val="24"/>
          <w:szCs w:val="24"/>
        </w:rPr>
        <w:t xml:space="preserve">    6．组织对各施工现场安全生产检查，监督施工单位及时处理发现的各种安全隐患。</w:t>
      </w:r>
    </w:p>
    <w:p w14:paraId="6966F454">
      <w:pPr>
        <w:spacing w:line="360" w:lineRule="auto"/>
        <w:ind w:firstLine="460" w:firstLineChars="192"/>
        <w:rPr>
          <w:rFonts w:ascii="宋体" w:hAnsi="宋体"/>
          <w:kern w:val="0"/>
          <w:sz w:val="24"/>
          <w:szCs w:val="24"/>
        </w:rPr>
      </w:pPr>
      <w:r>
        <w:rPr>
          <w:rFonts w:hint="eastAsia" w:ascii="宋体" w:hAnsi="宋体"/>
          <w:kern w:val="0"/>
          <w:sz w:val="24"/>
          <w:szCs w:val="24"/>
        </w:rPr>
        <w:t>7．承包人在任何时候都应制定或采取各种合理的预防措施，防止其员工、各施工人员发生任何违反、违禁、暴力或妨碍治安的行为。</w:t>
      </w:r>
    </w:p>
    <w:p w14:paraId="028BDB05">
      <w:pPr>
        <w:spacing w:line="360" w:lineRule="auto"/>
        <w:rPr>
          <w:rFonts w:ascii="宋体" w:hAnsi="宋体"/>
          <w:kern w:val="0"/>
          <w:sz w:val="24"/>
          <w:szCs w:val="24"/>
        </w:rPr>
      </w:pPr>
      <w:r>
        <w:rPr>
          <w:rFonts w:hint="eastAsia" w:ascii="宋体" w:hAnsi="宋体"/>
          <w:kern w:val="0"/>
          <w:sz w:val="24"/>
          <w:szCs w:val="24"/>
        </w:rPr>
        <w:t xml:space="preserve">    8．承包人必须具有劳动安全管理部门颁发的安全生产证书，参加施工与管理的人员，都必须接受安全技术教育，熟知和遵守各项安全技术操作规程。对于施工单位从事电气、起重、建筑登高架设作业、焊接、机动车驾驶、爆破、潜水、瓦斯检查等特殊工种的人员，需要求经过专业培训，获得《安全操作合格证》后，方准持证上岗。施工现场如出现特种作业无证操作现象时，承包人项目经理必须承担管理责任。</w:t>
      </w:r>
    </w:p>
    <w:p w14:paraId="36C5FF56">
      <w:pPr>
        <w:spacing w:line="360" w:lineRule="auto"/>
        <w:rPr>
          <w:rFonts w:ascii="宋体" w:hAnsi="宋体"/>
          <w:kern w:val="0"/>
          <w:sz w:val="24"/>
          <w:szCs w:val="24"/>
        </w:rPr>
      </w:pPr>
      <w:r>
        <w:rPr>
          <w:rFonts w:hint="eastAsia" w:ascii="宋体" w:hAnsi="宋体"/>
          <w:kern w:val="0"/>
          <w:sz w:val="24"/>
          <w:szCs w:val="24"/>
        </w:rPr>
        <w:t xml:space="preserve">    9．对于易燃易爆的材料除应要求专门妥善保管之外，还应要求配备有足够的消防设施，所有保管、施工人员都应熟悉消防设备的性能和使用方法；承包人不得将任何种类的爆炸物给予、易货或以其他方式转让给任何其他人，或允许、容忍上述同样行为。</w:t>
      </w:r>
    </w:p>
    <w:p w14:paraId="790753EF">
      <w:pPr>
        <w:spacing w:line="360" w:lineRule="auto"/>
        <w:rPr>
          <w:rFonts w:ascii="宋体" w:hAnsi="宋体"/>
          <w:kern w:val="0"/>
          <w:sz w:val="24"/>
          <w:szCs w:val="24"/>
        </w:rPr>
      </w:pPr>
      <w:r>
        <w:rPr>
          <w:rFonts w:hint="eastAsia" w:ascii="宋体" w:hAnsi="宋体"/>
          <w:kern w:val="0"/>
          <w:sz w:val="24"/>
          <w:szCs w:val="24"/>
        </w:rPr>
        <w:t xml:space="preserve">    10．操作人员上岗，必须按规定穿戴防护用品。承包人应随时组织检查各施工现场劳动防护用品的穿戴情况，不按规定穿戴防护用品的人员不得上岗。</w:t>
      </w:r>
    </w:p>
    <w:p w14:paraId="3DF6DF22">
      <w:pPr>
        <w:spacing w:line="360" w:lineRule="auto"/>
        <w:rPr>
          <w:rFonts w:ascii="宋体" w:hAnsi="宋体"/>
          <w:kern w:val="0"/>
          <w:sz w:val="24"/>
          <w:szCs w:val="24"/>
        </w:rPr>
      </w:pPr>
      <w:r>
        <w:rPr>
          <w:rFonts w:hint="eastAsia" w:ascii="宋体" w:hAnsi="宋体"/>
          <w:kern w:val="0"/>
          <w:sz w:val="24"/>
          <w:szCs w:val="24"/>
        </w:rPr>
        <w:t xml:space="preserve">    11．所有施工机具设备和高空作业的设备均应定期组织检查，并有安全员的签字记录，保证其经常处于完好状态；不合格的机具、设备和劳动保护用品严禁使用。</w:t>
      </w:r>
    </w:p>
    <w:p w14:paraId="352829EC">
      <w:pPr>
        <w:spacing w:line="360" w:lineRule="auto"/>
        <w:rPr>
          <w:rFonts w:ascii="宋体" w:hAnsi="宋体"/>
          <w:kern w:val="0"/>
          <w:sz w:val="24"/>
          <w:szCs w:val="24"/>
        </w:rPr>
      </w:pPr>
      <w:r>
        <w:rPr>
          <w:rFonts w:hint="eastAsia" w:ascii="宋体" w:hAnsi="宋体"/>
          <w:kern w:val="0"/>
          <w:sz w:val="24"/>
          <w:szCs w:val="24"/>
        </w:rPr>
        <w:t xml:space="preserve">    12．项目施工中采用新技术、新工艺、新设备、新材料时，必须组织制定相应的安全技术措施，施工现场必须具有相关的安全标志牌。</w:t>
      </w:r>
    </w:p>
    <w:p w14:paraId="4F1637C0">
      <w:pPr>
        <w:spacing w:line="360" w:lineRule="auto"/>
        <w:ind w:firstLine="570"/>
        <w:rPr>
          <w:rFonts w:ascii="宋体" w:hAnsi="宋体"/>
          <w:kern w:val="0"/>
          <w:sz w:val="24"/>
          <w:szCs w:val="24"/>
        </w:rPr>
      </w:pPr>
      <w:r>
        <w:rPr>
          <w:rFonts w:hint="eastAsia" w:ascii="宋体" w:hAnsi="宋体"/>
          <w:kern w:val="0"/>
          <w:sz w:val="24"/>
          <w:szCs w:val="24"/>
        </w:rPr>
        <w:t>13．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7CE16A3">
      <w:pPr>
        <w:spacing w:line="360" w:lineRule="auto"/>
        <w:ind w:firstLine="570"/>
        <w:rPr>
          <w:rFonts w:ascii="宋体" w:hAnsi="宋体"/>
          <w:kern w:val="0"/>
          <w:sz w:val="24"/>
          <w:szCs w:val="24"/>
        </w:rPr>
      </w:pPr>
      <w:r>
        <w:rPr>
          <w:rFonts w:hint="eastAsia" w:ascii="宋体" w:hAnsi="宋体"/>
          <w:kern w:val="0"/>
          <w:sz w:val="24"/>
          <w:szCs w:val="24"/>
        </w:rPr>
        <w:t>14．在合同许可的范围内，实施和完成本合同工程及缺陷修复工程中的一切施工作业，应不影响临近建筑物、构造物的安全与正常使用，也不干扰群众的生产、生活和通行方便。如果发生上述情况，并由此导致索赔、赔偿、诉讼费用及其他开支时，应由承包人承担一切责任和费用。</w:t>
      </w:r>
    </w:p>
    <w:p w14:paraId="307997BA">
      <w:pPr>
        <w:spacing w:line="360" w:lineRule="auto"/>
        <w:outlineLvl w:val="0"/>
        <w:rPr>
          <w:rFonts w:ascii="宋体" w:hAnsi="宋体"/>
          <w:kern w:val="0"/>
          <w:sz w:val="24"/>
          <w:szCs w:val="24"/>
        </w:rPr>
      </w:pPr>
      <w:bookmarkStart w:id="29" w:name="_Toc276116556"/>
      <w:r>
        <w:rPr>
          <w:rFonts w:hint="eastAsia" w:ascii="宋体" w:hAnsi="宋体"/>
          <w:kern w:val="0"/>
          <w:sz w:val="24"/>
          <w:szCs w:val="24"/>
        </w:rPr>
        <w:t>三、安全生产责任</w:t>
      </w:r>
      <w:bookmarkEnd w:id="29"/>
      <w:r>
        <w:rPr>
          <w:rFonts w:hint="eastAsia" w:ascii="宋体" w:hAnsi="宋体"/>
          <w:kern w:val="0"/>
          <w:sz w:val="24"/>
          <w:szCs w:val="24"/>
        </w:rPr>
        <w:t xml:space="preserve">  </w:t>
      </w:r>
    </w:p>
    <w:p w14:paraId="15E93EE5">
      <w:pPr>
        <w:spacing w:line="360" w:lineRule="auto"/>
        <w:ind w:firstLine="570"/>
        <w:rPr>
          <w:rFonts w:ascii="宋体" w:hAnsi="宋体"/>
          <w:kern w:val="0"/>
          <w:sz w:val="24"/>
          <w:szCs w:val="24"/>
        </w:rPr>
      </w:pPr>
      <w:r>
        <w:rPr>
          <w:rFonts w:hint="eastAsia" w:ascii="宋体" w:hAnsi="宋体"/>
          <w:kern w:val="0"/>
          <w:sz w:val="24"/>
          <w:szCs w:val="24"/>
        </w:rPr>
        <w:t xml:space="preserve">如因发包人或承包人违约造成安全事故，将依法追究责任。 </w:t>
      </w:r>
    </w:p>
    <w:p w14:paraId="6CB18167">
      <w:pPr>
        <w:pStyle w:val="164"/>
        <w:snapToGrid w:val="0"/>
        <w:spacing w:line="346" w:lineRule="auto"/>
        <w:rPr>
          <w:rFonts w:hAnsi="宋体" w:cs="Times New Roman"/>
          <w:kern w:val="0"/>
          <w:sz w:val="24"/>
          <w:szCs w:val="24"/>
        </w:rPr>
      </w:pPr>
      <w:r>
        <w:rPr>
          <w:rFonts w:hint="eastAsia" w:hAnsi="宋体" w:cs="Times New Roman"/>
          <w:kern w:val="0"/>
          <w:sz w:val="24"/>
          <w:szCs w:val="24"/>
        </w:rPr>
        <w:t>发  包  人(公章)：                         承  包  人(公章)：</w:t>
      </w:r>
    </w:p>
    <w:p w14:paraId="6258E0DC">
      <w:pPr>
        <w:pStyle w:val="147"/>
        <w:spacing w:line="360" w:lineRule="auto"/>
        <w:rPr>
          <w:rFonts w:ascii="宋体" w:hAnsi="宋体"/>
          <w:kern w:val="0"/>
          <w:sz w:val="24"/>
        </w:rPr>
      </w:pPr>
      <w:r>
        <w:rPr>
          <w:rFonts w:hint="eastAsia" w:ascii="宋体" w:hAnsi="宋体"/>
          <w:kern w:val="0"/>
          <w:sz w:val="24"/>
        </w:rPr>
        <w:t xml:space="preserve">                                                  </w:t>
      </w:r>
    </w:p>
    <w:p w14:paraId="0A444C09">
      <w:pPr>
        <w:pStyle w:val="164"/>
        <w:snapToGrid w:val="0"/>
        <w:spacing w:line="346" w:lineRule="auto"/>
        <w:rPr>
          <w:rFonts w:hAnsi="宋体" w:cs="Times New Roman"/>
          <w:kern w:val="0"/>
          <w:sz w:val="24"/>
          <w:szCs w:val="24"/>
        </w:rPr>
      </w:pPr>
      <w:r>
        <w:rPr>
          <w:rFonts w:hint="eastAsia" w:hAnsi="宋体" w:cs="Times New Roman"/>
          <w:kern w:val="0"/>
          <w:sz w:val="24"/>
          <w:szCs w:val="24"/>
        </w:rPr>
        <w:t xml:space="preserve"> </w:t>
      </w:r>
    </w:p>
    <w:p w14:paraId="2D5E1B42">
      <w:pPr>
        <w:pStyle w:val="164"/>
        <w:snapToGrid w:val="0"/>
        <w:spacing w:line="346" w:lineRule="auto"/>
        <w:rPr>
          <w:rFonts w:hAnsi="宋体" w:cs="Times New Roman"/>
          <w:kern w:val="0"/>
          <w:sz w:val="24"/>
          <w:szCs w:val="24"/>
        </w:rPr>
      </w:pPr>
      <w:r>
        <w:rPr>
          <w:rFonts w:hint="eastAsia" w:hAnsi="宋体" w:cs="Times New Roman"/>
          <w:kern w:val="0"/>
          <w:sz w:val="24"/>
          <w:szCs w:val="24"/>
        </w:rPr>
        <w:t>法定代表人：                               法定代表人：</w:t>
      </w:r>
    </w:p>
    <w:p w14:paraId="5E75DCF8">
      <w:pPr>
        <w:pStyle w:val="164"/>
        <w:snapToGrid w:val="0"/>
        <w:spacing w:line="346" w:lineRule="auto"/>
        <w:rPr>
          <w:rFonts w:hAnsi="宋体" w:cs="Times New Roman"/>
          <w:kern w:val="0"/>
          <w:sz w:val="24"/>
          <w:szCs w:val="24"/>
        </w:rPr>
      </w:pPr>
    </w:p>
    <w:p w14:paraId="2B33435C">
      <w:pPr>
        <w:pStyle w:val="164"/>
        <w:snapToGrid w:val="0"/>
        <w:spacing w:line="346" w:lineRule="auto"/>
        <w:rPr>
          <w:rFonts w:hAnsi="宋体" w:cs="Times New Roman"/>
          <w:kern w:val="0"/>
          <w:sz w:val="24"/>
          <w:szCs w:val="24"/>
        </w:rPr>
      </w:pPr>
      <w:r>
        <w:rPr>
          <w:rFonts w:hint="eastAsia" w:hAnsi="宋体" w:cs="Times New Roman"/>
          <w:kern w:val="0"/>
          <w:sz w:val="24"/>
          <w:szCs w:val="24"/>
        </w:rPr>
        <w:t>授权委托人(签字)：                        授权委托人(签字)：</w:t>
      </w:r>
    </w:p>
    <w:p w14:paraId="65B485D2">
      <w:pPr>
        <w:pStyle w:val="164"/>
        <w:snapToGrid w:val="0"/>
        <w:spacing w:line="346" w:lineRule="auto"/>
        <w:rPr>
          <w:rFonts w:hAnsi="宋体"/>
          <w:sz w:val="24"/>
          <w:szCs w:val="24"/>
        </w:rPr>
      </w:pPr>
    </w:p>
    <w:p w14:paraId="73F93EA0">
      <w:pPr>
        <w:pStyle w:val="164"/>
        <w:snapToGrid w:val="0"/>
        <w:spacing w:line="346" w:lineRule="auto"/>
        <w:ind w:firstLine="1200" w:firstLineChars="500"/>
        <w:rPr>
          <w:rFonts w:hAnsi="宋体"/>
          <w:sz w:val="24"/>
          <w:szCs w:val="24"/>
        </w:rPr>
      </w:pPr>
      <w:r>
        <w:rPr>
          <w:rFonts w:hint="eastAsia" w:hAnsi="宋体"/>
          <w:sz w:val="24"/>
          <w:szCs w:val="24"/>
        </w:rPr>
        <w:t>年    月   日                        年   月    日</w:t>
      </w:r>
    </w:p>
    <w:p w14:paraId="0DBAFDD0">
      <w:pPr>
        <w:jc w:val="center"/>
      </w:pPr>
    </w:p>
    <w:p w14:paraId="39D6104E">
      <w:pPr>
        <w:pStyle w:val="16"/>
        <w:spacing w:before="156"/>
      </w:pPr>
    </w:p>
    <w:p w14:paraId="67A8987B">
      <w:pPr>
        <w:pStyle w:val="16"/>
        <w:spacing w:before="156"/>
      </w:pPr>
    </w:p>
    <w:p w14:paraId="7AFBF44A">
      <w:pPr>
        <w:pStyle w:val="16"/>
        <w:spacing w:before="156"/>
      </w:pPr>
    </w:p>
    <w:p w14:paraId="6650D2ED">
      <w:pPr>
        <w:pStyle w:val="16"/>
        <w:spacing w:before="156"/>
      </w:pPr>
    </w:p>
    <w:p w14:paraId="0AE9A3DB">
      <w:pPr>
        <w:pStyle w:val="16"/>
        <w:spacing w:before="156"/>
      </w:pPr>
    </w:p>
    <w:p w14:paraId="1E486EBB">
      <w:pPr>
        <w:pStyle w:val="16"/>
        <w:spacing w:before="156"/>
      </w:pPr>
    </w:p>
    <w:p w14:paraId="74FA7D94">
      <w:pPr>
        <w:pStyle w:val="16"/>
        <w:spacing w:before="156"/>
      </w:pPr>
    </w:p>
    <w:p w14:paraId="323D833D">
      <w:pPr>
        <w:pStyle w:val="16"/>
        <w:spacing w:before="156"/>
      </w:pPr>
    </w:p>
    <w:p w14:paraId="660BB499">
      <w:pPr>
        <w:pStyle w:val="16"/>
        <w:spacing w:before="156"/>
      </w:pPr>
    </w:p>
    <w:p w14:paraId="02639406">
      <w:pPr>
        <w:pStyle w:val="16"/>
        <w:spacing w:before="156"/>
      </w:pPr>
    </w:p>
    <w:p w14:paraId="430B8F89">
      <w:pPr>
        <w:pStyle w:val="16"/>
        <w:spacing w:before="156"/>
        <w:ind w:firstLine="0"/>
      </w:pPr>
    </w:p>
    <w:p w14:paraId="083798BA">
      <w:pPr>
        <w:pStyle w:val="4"/>
        <w:numPr>
          <w:ilvl w:val="0"/>
          <w:numId w:val="0"/>
        </w:numPr>
        <w:tabs>
          <w:tab w:val="clear" w:pos="1080"/>
        </w:tabs>
        <w:spacing w:line="360" w:lineRule="auto"/>
        <w:rPr>
          <w:rFonts w:hint="eastAsia" w:ascii="宋体" w:hAnsi="宋体" w:cs="宋体"/>
          <w:sz w:val="24"/>
          <w:szCs w:val="24"/>
        </w:rPr>
        <w:sectPr>
          <w:headerReference r:id="rId8" w:type="default"/>
          <w:footerReference r:id="rId9" w:type="default"/>
          <w:pgSz w:w="11906" w:h="16838"/>
          <w:pgMar w:top="1276" w:right="1351" w:bottom="1135" w:left="1414" w:header="851" w:footer="992" w:gutter="0"/>
          <w:cols w:space="720" w:num="1"/>
          <w:docGrid w:type="lines" w:linePitch="312" w:charSpace="0"/>
        </w:sectPr>
      </w:pPr>
    </w:p>
    <w:p w14:paraId="18E1B86F">
      <w:pPr>
        <w:pStyle w:val="4"/>
        <w:numPr>
          <w:ilvl w:val="0"/>
          <w:numId w:val="0"/>
        </w:numPr>
        <w:tabs>
          <w:tab w:val="clear" w:pos="1080"/>
        </w:tabs>
        <w:spacing w:line="360" w:lineRule="auto"/>
        <w:rPr>
          <w:rFonts w:ascii="宋体" w:hAnsi="宋体" w:cs="宋体"/>
          <w:sz w:val="24"/>
          <w:szCs w:val="24"/>
        </w:rPr>
      </w:pPr>
      <w:r>
        <w:rPr>
          <w:rFonts w:hint="eastAsia" w:ascii="宋体" w:hAnsi="宋体" w:cs="宋体"/>
          <w:sz w:val="24"/>
          <w:szCs w:val="24"/>
        </w:rPr>
        <w:t xml:space="preserve">附件4            </w:t>
      </w:r>
    </w:p>
    <w:p w14:paraId="03A4CB00">
      <w:pPr>
        <w:pStyle w:val="2"/>
        <w:spacing w:line="520" w:lineRule="exact"/>
        <w:ind w:firstLine="1285" w:firstLineChars="400"/>
        <w:jc w:val="left"/>
        <w:rPr>
          <w:rFonts w:hint="eastAsia"/>
        </w:rPr>
      </w:pPr>
      <w:r>
        <w:rPr>
          <w:rStyle w:val="149"/>
          <w:rFonts w:hint="eastAsia" w:ascii="宋体" w:hAnsi="宋体" w:eastAsia="宋体" w:cs="宋体"/>
          <w:b/>
          <w:bCs/>
          <w:color w:val="auto"/>
          <w:sz w:val="32"/>
          <w:szCs w:val="32"/>
        </w:rPr>
        <w:t>龙岗区进一步规范政商交往行为告知书</w:t>
      </w:r>
    </w:p>
    <w:p w14:paraId="6684400F">
      <w:pPr>
        <w:pStyle w:val="2"/>
        <w:spacing w:line="520" w:lineRule="exact"/>
        <w:ind w:firstLine="480" w:firstLineChars="200"/>
        <w:jc w:val="left"/>
        <w:rPr>
          <w:rStyle w:val="150"/>
          <w:rFonts w:hint="eastAsia" w:ascii="宋体" w:hAnsi="宋体" w:eastAsia="宋体" w:cs="宋体"/>
          <w:color w:val="auto"/>
          <w:sz w:val="24"/>
          <w:szCs w:val="24"/>
        </w:rPr>
      </w:pPr>
      <w:r>
        <w:rPr>
          <w:rStyle w:val="150"/>
          <w:rFonts w:hint="eastAsia" w:ascii="宋体" w:hAnsi="宋体" w:eastAsia="宋体" w:cs="宋体"/>
          <w:color w:val="auto"/>
          <w:sz w:val="24"/>
          <w:szCs w:val="24"/>
        </w:rPr>
        <w:t>为深入构建“亲</w:t>
      </w:r>
      <w:r>
        <w:rPr>
          <w:rStyle w:val="150"/>
          <w:rFonts w:hAnsi="宋体" w:cs="宋体"/>
          <w:color w:val="auto"/>
          <w:sz w:val="24"/>
          <w:szCs w:val="24"/>
        </w:rPr>
        <w:t>”</w:t>
      </w:r>
      <w:r>
        <w:rPr>
          <w:rStyle w:val="150"/>
          <w:rFonts w:hint="eastAsia" w:hAnsi="宋体" w:cs="宋体"/>
          <w:color w:val="auto"/>
          <w:sz w:val="24"/>
          <w:szCs w:val="24"/>
        </w:rPr>
        <w:t xml:space="preserve"> </w:t>
      </w:r>
      <w:r>
        <w:rPr>
          <w:rStyle w:val="150"/>
          <w:rFonts w:hint="eastAsia" w:ascii="宋体" w:hAnsi="宋体" w:eastAsia="宋体" w:cs="宋体"/>
          <w:color w:val="auto"/>
          <w:sz w:val="24"/>
          <w:szCs w:val="24"/>
        </w:rPr>
        <w:t>“清</w:t>
      </w:r>
      <w:r>
        <w:rPr>
          <w:rStyle w:val="150"/>
          <w:rFonts w:hAnsi="宋体" w:cs="宋体"/>
          <w:color w:val="auto"/>
          <w:sz w:val="24"/>
          <w:szCs w:val="24"/>
        </w:rPr>
        <w:t>”</w:t>
      </w:r>
      <w:r>
        <w:rPr>
          <w:rStyle w:val="150"/>
          <w:rFonts w:hint="eastAsia" w:ascii="宋体" w:hAnsi="宋体" w:eastAsia="宋体" w:cs="宋体"/>
          <w:color w:val="auto"/>
          <w:sz w:val="24"/>
          <w:szCs w:val="24"/>
        </w:rPr>
        <w:t>新型政商关系， 努力打造尊商</w:t>
      </w:r>
      <w:r>
        <w:rPr>
          <w:rStyle w:val="150"/>
          <w:rFonts w:hint="eastAsia" w:hAnsi="宋体" w:cs="宋体"/>
          <w:color w:val="auto"/>
          <w:sz w:val="24"/>
          <w:szCs w:val="24"/>
        </w:rPr>
        <w:t>、</w:t>
      </w:r>
      <w:r>
        <w:rPr>
          <w:rStyle w:val="150"/>
          <w:rFonts w:hint="eastAsia" w:ascii="宋体" w:hAnsi="宋体" w:eastAsia="宋体" w:cs="宋体"/>
          <w:color w:val="auto"/>
          <w:sz w:val="24"/>
          <w:szCs w:val="24"/>
        </w:rPr>
        <w:t>亲商</w:t>
      </w:r>
      <w:r>
        <w:rPr>
          <w:rStyle w:val="150"/>
          <w:rFonts w:hint="eastAsia" w:hAnsi="宋体" w:cs="宋体"/>
          <w:color w:val="auto"/>
          <w:sz w:val="24"/>
          <w:szCs w:val="24"/>
        </w:rPr>
        <w:t>、</w:t>
      </w:r>
      <w:r>
        <w:rPr>
          <w:rStyle w:val="150"/>
          <w:rFonts w:hint="eastAsia" w:ascii="宋体" w:hAnsi="宋体" w:eastAsia="宋体" w:cs="宋体"/>
          <w:color w:val="auto"/>
          <w:sz w:val="24"/>
          <w:szCs w:val="24"/>
        </w:rPr>
        <w:t>助商</w:t>
      </w:r>
      <w:r>
        <w:rPr>
          <w:rStyle w:val="150"/>
          <w:rFonts w:hint="eastAsia" w:hAnsi="宋体" w:cs="宋体"/>
          <w:color w:val="auto"/>
          <w:sz w:val="24"/>
          <w:szCs w:val="24"/>
        </w:rPr>
        <w:t>、</w:t>
      </w:r>
      <w:r>
        <w:rPr>
          <w:rStyle w:val="150"/>
          <w:rFonts w:hint="eastAsia" w:ascii="宋体" w:hAnsi="宋体" w:eastAsia="宋体" w:cs="宋体"/>
          <w:color w:val="auto"/>
          <w:sz w:val="24"/>
          <w:szCs w:val="24"/>
        </w:rPr>
        <w:t>安商良好营商环境</w:t>
      </w:r>
      <w:r>
        <w:rPr>
          <w:rStyle w:val="150"/>
          <w:rFonts w:hint="eastAsia" w:ascii="宋体" w:hAnsi="宋体" w:cs="宋体"/>
          <w:color w:val="auto"/>
          <w:sz w:val="24"/>
          <w:szCs w:val="24"/>
        </w:rPr>
        <w:t>，</w:t>
      </w:r>
      <w:r>
        <w:rPr>
          <w:rStyle w:val="150"/>
          <w:rFonts w:hint="eastAsia" w:ascii="宋体" w:hAnsi="宋体" w:eastAsia="宋体" w:cs="宋体"/>
          <w:color w:val="auto"/>
          <w:sz w:val="24"/>
          <w:szCs w:val="24"/>
        </w:rPr>
        <w:t xml:space="preserve">龙岗区委区政府制定了《龙岗区公职人员政商交往“十个不准” 》 ， 严明公职人员在政商交往中的纪律要求。请参与龙岗建设的广大企业及其从业人员， 严格监督我区公职人员落实“十个不准” </w:t>
      </w:r>
      <w:r>
        <w:rPr>
          <w:rStyle w:val="150"/>
          <w:rFonts w:hint="eastAsia" w:hAnsi="宋体" w:cs="宋体"/>
          <w:color w:val="auto"/>
          <w:sz w:val="24"/>
          <w:szCs w:val="24"/>
        </w:rPr>
        <w:t>，</w:t>
      </w:r>
      <w:r>
        <w:rPr>
          <w:rStyle w:val="150"/>
          <w:rFonts w:hint="eastAsia" w:ascii="宋体" w:hAnsi="宋体" w:eastAsia="宋体" w:cs="宋体"/>
          <w:color w:val="auto"/>
          <w:sz w:val="24"/>
          <w:szCs w:val="24"/>
        </w:rPr>
        <w:t>并在与我区公职人员交往中切实做到“十个不得” 。</w:t>
      </w:r>
    </w:p>
    <w:p w14:paraId="46EF3778">
      <w:pPr>
        <w:pStyle w:val="2"/>
        <w:spacing w:line="520" w:lineRule="exact"/>
        <w:ind w:firstLine="480" w:firstLineChars="200"/>
        <w:jc w:val="left"/>
        <w:rPr>
          <w:rStyle w:val="150"/>
          <w:rFonts w:ascii="宋体" w:hAnsi="宋体" w:eastAsia="宋体" w:cs="宋体"/>
          <w:color w:val="auto"/>
          <w:sz w:val="24"/>
          <w:szCs w:val="24"/>
        </w:rPr>
      </w:pPr>
      <w:r>
        <w:rPr>
          <w:rStyle w:val="150"/>
          <w:rFonts w:hint="eastAsia" w:ascii="宋体" w:hAnsi="宋体" w:eastAsia="宋体" w:cs="宋体"/>
          <w:color w:val="auto"/>
          <w:sz w:val="24"/>
          <w:szCs w:val="24"/>
        </w:rPr>
        <w:t>一、 不得向公职人员赠送礼品、 礼金、 消费卡等财物。</w:t>
      </w:r>
    </w:p>
    <w:p w14:paraId="2F3FEE8D">
      <w:pPr>
        <w:pStyle w:val="2"/>
        <w:spacing w:line="520" w:lineRule="exact"/>
        <w:ind w:firstLine="480" w:firstLineChars="200"/>
        <w:rPr>
          <w:rStyle w:val="150"/>
          <w:rFonts w:ascii="宋体" w:hAnsi="宋体" w:eastAsia="宋体" w:cs="宋体"/>
          <w:color w:val="auto"/>
          <w:sz w:val="24"/>
          <w:szCs w:val="24"/>
        </w:rPr>
      </w:pPr>
      <w:r>
        <w:rPr>
          <w:rFonts w:hint="eastAsia" w:hAnsi="宋体" w:cs="宋体"/>
          <w:sz w:val="24"/>
          <w:szCs w:val="24"/>
        </w:rPr>
        <w:t>二、</w:t>
      </w:r>
      <w:r>
        <w:rPr>
          <w:rStyle w:val="150"/>
          <w:rFonts w:hint="eastAsia" w:ascii="宋体" w:hAnsi="宋体" w:eastAsia="宋体" w:cs="宋体"/>
          <w:color w:val="auto"/>
          <w:sz w:val="24"/>
          <w:szCs w:val="24"/>
        </w:rPr>
        <w:t>不得违规向公职人员提供宴请、 旅游、 娱乐等安排。</w:t>
      </w:r>
    </w:p>
    <w:p w14:paraId="56D94F17">
      <w:pPr>
        <w:pStyle w:val="2"/>
        <w:spacing w:line="520" w:lineRule="exact"/>
        <w:ind w:firstLine="480" w:firstLineChars="200"/>
        <w:rPr>
          <w:rStyle w:val="150"/>
          <w:rFonts w:ascii="宋体" w:hAnsi="宋体" w:eastAsia="宋体" w:cs="宋体"/>
          <w:color w:val="auto"/>
          <w:sz w:val="24"/>
          <w:szCs w:val="24"/>
        </w:rPr>
      </w:pPr>
      <w:r>
        <w:rPr>
          <w:rFonts w:hint="eastAsia" w:hAnsi="宋体" w:cs="宋体"/>
          <w:sz w:val="24"/>
          <w:szCs w:val="24"/>
        </w:rPr>
        <w:t>三、</w:t>
      </w:r>
      <w:r>
        <w:rPr>
          <w:rStyle w:val="150"/>
          <w:rFonts w:hint="eastAsia" w:ascii="宋体" w:hAnsi="宋体" w:eastAsia="宋体" w:cs="宋体"/>
          <w:color w:val="auto"/>
          <w:sz w:val="24"/>
          <w:szCs w:val="24"/>
        </w:rPr>
        <w:t>不得通过打麻将等形式向公职人员输送利益。</w:t>
      </w:r>
    </w:p>
    <w:p w14:paraId="0A1842A6">
      <w:pPr>
        <w:pStyle w:val="2"/>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四、 不得为公职人员报销应由其个人支付的费用。</w:t>
      </w:r>
    </w:p>
    <w:p w14:paraId="13261377">
      <w:pPr>
        <w:pStyle w:val="2"/>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五、 不得违规向公职人员及其亲友借贷款。</w:t>
      </w:r>
    </w:p>
    <w:p w14:paraId="52AF9919">
      <w:pPr>
        <w:pStyle w:val="2"/>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六、 不得违规将车辆、 住房等借给公职人员使用。</w:t>
      </w:r>
    </w:p>
    <w:p w14:paraId="276D8D11">
      <w:pPr>
        <w:pStyle w:val="2"/>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七、 不得在招投标中与公职人员搞暗箱操作、 围标串标。</w:t>
      </w:r>
    </w:p>
    <w:p w14:paraId="09EDB3BE">
      <w:pPr>
        <w:pStyle w:val="2"/>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八、 不得为利益相关人和公职人员牵线搭桥或者代为传递信息、 传递财物。</w:t>
      </w:r>
    </w:p>
    <w:p w14:paraId="7F928E38">
      <w:pPr>
        <w:pStyle w:val="2"/>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九、 不得让公职人员在企业违规兼职取酬。</w:t>
      </w:r>
    </w:p>
    <w:p w14:paraId="6EB5F614">
      <w:pPr>
        <w:pStyle w:val="2"/>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十、 不得为公职人员亲友违规承揽业务提供便利。</w:t>
      </w:r>
    </w:p>
    <w:p w14:paraId="75DB5628">
      <w:pPr>
        <w:pStyle w:val="2"/>
        <w:spacing w:line="520" w:lineRule="exact"/>
        <w:ind w:firstLine="480" w:firstLineChars="200"/>
        <w:jc w:val="left"/>
        <w:rPr>
          <w:rStyle w:val="150"/>
          <w:rFonts w:hint="eastAsia" w:ascii="宋体" w:hAnsi="宋体" w:eastAsia="宋体" w:cs="宋体"/>
          <w:color w:val="auto"/>
          <w:sz w:val="24"/>
          <w:szCs w:val="24"/>
        </w:rPr>
      </w:pPr>
      <w:r>
        <w:rPr>
          <w:rStyle w:val="150"/>
          <w:rFonts w:hint="eastAsia" w:ascii="宋体" w:hAnsi="宋体" w:eastAsia="宋体" w:cs="宋体"/>
          <w:color w:val="auto"/>
          <w:sz w:val="24"/>
          <w:szCs w:val="24"/>
        </w:rPr>
        <w:t>上述“十个不得” ， 请您严格遵守。 同时， 在政商交往中，如有发现我区公职人员存在违反“十个不准” 的问题， 请及时通过网络举报平台或者 12388 举报电话等方式， 向纪检监察机关反映举报， 我们将一律严格保密、 一律优先处置、 一律严肃查处。</w:t>
      </w:r>
    </w:p>
    <w:p w14:paraId="6CDC6399">
      <w:pPr>
        <w:pStyle w:val="2"/>
        <w:spacing w:line="520" w:lineRule="exact"/>
        <w:ind w:firstLine="960" w:firstLineChars="400"/>
        <w:jc w:val="left"/>
        <w:rPr>
          <w:rStyle w:val="150"/>
          <w:rFonts w:hint="eastAsia" w:ascii="宋体" w:hAnsi="宋体" w:cs="宋体"/>
          <w:color w:val="auto"/>
          <w:sz w:val="24"/>
          <w:szCs w:val="24"/>
        </w:rPr>
      </w:pPr>
    </w:p>
    <w:p w14:paraId="5368615E">
      <w:pPr>
        <w:pStyle w:val="2"/>
        <w:spacing w:line="520" w:lineRule="exact"/>
        <w:jc w:val="left"/>
        <w:rPr>
          <w:rStyle w:val="150"/>
          <w:rFonts w:ascii="宋体" w:hAnsi="宋体" w:cs="宋体"/>
          <w:color w:val="auto"/>
          <w:sz w:val="24"/>
          <w:szCs w:val="24"/>
        </w:rPr>
      </w:pPr>
      <w:r>
        <w:rPr>
          <w:rStyle w:val="150"/>
          <w:rFonts w:hint="eastAsia" w:ascii="宋体" w:hAnsi="宋体" w:cs="宋体"/>
          <w:color w:val="auto"/>
          <w:sz w:val="24"/>
          <w:szCs w:val="24"/>
        </w:rPr>
        <w:t xml:space="preserve">  </w:t>
      </w:r>
    </w:p>
    <w:p w14:paraId="1525E027">
      <w:pPr>
        <w:pStyle w:val="2"/>
        <w:spacing w:line="520" w:lineRule="exact"/>
        <w:ind w:firstLine="960" w:firstLineChars="400"/>
        <w:jc w:val="left"/>
        <w:rPr>
          <w:rStyle w:val="150"/>
          <w:rFonts w:hint="eastAsia" w:ascii="宋体" w:hAnsi="宋体" w:eastAsia="宋体" w:cs="宋体"/>
          <w:color w:val="auto"/>
          <w:sz w:val="24"/>
          <w:szCs w:val="24"/>
        </w:rPr>
      </w:pPr>
      <w:r>
        <w:rPr>
          <w:rStyle w:val="150"/>
          <w:rFonts w:hint="eastAsia" w:ascii="宋体" w:hAnsi="宋体" w:eastAsia="宋体" w:cs="宋体"/>
          <w:color w:val="auto"/>
          <w:sz w:val="24"/>
          <w:szCs w:val="24"/>
        </w:rPr>
        <w:t>本人已知晓上述告知内容， 并愿意遵照执行（签名） ：</w:t>
      </w:r>
    </w:p>
    <w:p w14:paraId="07714224">
      <w:pPr>
        <w:pStyle w:val="2"/>
        <w:spacing w:line="520" w:lineRule="exact"/>
        <w:ind w:firstLine="960" w:firstLineChars="400"/>
        <w:jc w:val="left"/>
        <w:rPr>
          <w:rStyle w:val="150"/>
          <w:rFonts w:ascii="宋体" w:hAnsi="宋体" w:cs="宋体"/>
          <w:color w:val="auto"/>
          <w:sz w:val="24"/>
          <w:szCs w:val="24"/>
        </w:rPr>
      </w:pPr>
      <w:r>
        <w:rPr>
          <w:rStyle w:val="150"/>
          <w:rFonts w:hint="eastAsia" w:ascii="宋体" w:hAnsi="宋体" w:cs="宋体"/>
          <w:color w:val="auto"/>
          <w:sz w:val="24"/>
          <w:szCs w:val="24"/>
        </w:rPr>
        <w:t xml:space="preserve">                                          </w:t>
      </w:r>
    </w:p>
    <w:p w14:paraId="54274D30">
      <w:pPr>
        <w:pStyle w:val="2"/>
        <w:spacing w:line="520" w:lineRule="exact"/>
        <w:ind w:firstLine="3600" w:firstLineChars="1500"/>
        <w:jc w:val="left"/>
        <w:rPr>
          <w:rStyle w:val="150"/>
          <w:rFonts w:hint="eastAsia" w:ascii="宋体" w:hAnsi="宋体" w:eastAsia="宋体" w:cs="宋体"/>
          <w:color w:val="auto"/>
          <w:sz w:val="24"/>
          <w:szCs w:val="24"/>
        </w:rPr>
      </w:pPr>
      <w:r>
        <w:rPr>
          <w:rStyle w:val="150"/>
          <w:rFonts w:hint="eastAsia" w:ascii="宋体" w:hAnsi="宋体" w:cs="宋体"/>
          <w:color w:val="auto"/>
          <w:sz w:val="24"/>
          <w:szCs w:val="24"/>
        </w:rPr>
        <w:t xml:space="preserve">  </w:t>
      </w:r>
      <w:r>
        <w:rPr>
          <w:rStyle w:val="150"/>
          <w:rFonts w:hint="eastAsia" w:hAnsi="宋体" w:eastAsia="宋体" w:cs="宋体"/>
          <w:color w:val="auto"/>
          <w:sz w:val="24"/>
          <w:szCs w:val="24"/>
        </w:rPr>
        <w:t xml:space="preserve">   </w:t>
      </w:r>
      <w:r>
        <w:rPr>
          <w:rStyle w:val="150"/>
          <w:rFonts w:hint="eastAsia" w:ascii="宋体" w:hAnsi="宋体" w:eastAsia="宋体" w:cs="宋体"/>
          <w:color w:val="auto"/>
          <w:sz w:val="24"/>
          <w:szCs w:val="24"/>
        </w:rPr>
        <w:t xml:space="preserve"> 年 </w:t>
      </w:r>
      <w:r>
        <w:rPr>
          <w:rStyle w:val="150"/>
          <w:rFonts w:hint="eastAsia" w:hAnsi="宋体" w:eastAsia="宋体" w:cs="宋体"/>
          <w:color w:val="auto"/>
          <w:sz w:val="24"/>
          <w:szCs w:val="24"/>
        </w:rPr>
        <w:t xml:space="preserve">   </w:t>
      </w:r>
      <w:r>
        <w:rPr>
          <w:rStyle w:val="150"/>
          <w:rFonts w:hint="eastAsia" w:ascii="宋体" w:hAnsi="宋体" w:eastAsia="宋体" w:cs="宋体"/>
          <w:color w:val="auto"/>
          <w:sz w:val="24"/>
          <w:szCs w:val="24"/>
        </w:rPr>
        <w:t>月</w:t>
      </w:r>
      <w:r>
        <w:rPr>
          <w:rStyle w:val="150"/>
          <w:rFonts w:hint="eastAsia" w:hAnsi="宋体" w:eastAsia="宋体" w:cs="宋体"/>
          <w:color w:val="auto"/>
          <w:sz w:val="24"/>
          <w:szCs w:val="24"/>
        </w:rPr>
        <w:t xml:space="preserve">  </w:t>
      </w:r>
      <w:r>
        <w:rPr>
          <w:rStyle w:val="150"/>
          <w:rFonts w:hint="eastAsia" w:ascii="宋体" w:hAnsi="宋体" w:eastAsia="宋体" w:cs="宋体"/>
          <w:color w:val="auto"/>
          <w:sz w:val="24"/>
          <w:szCs w:val="24"/>
        </w:rPr>
        <w:t xml:space="preserve"> 日</w:t>
      </w:r>
    </w:p>
    <w:p w14:paraId="3B3823DE">
      <w:pPr>
        <w:pStyle w:val="3"/>
        <w:rPr>
          <w:rStyle w:val="150"/>
          <w:rFonts w:hint="eastAsia" w:ascii="宋体" w:hAnsi="宋体" w:eastAsia="宋体" w:cs="宋体"/>
          <w:color w:val="auto"/>
          <w:sz w:val="24"/>
          <w:szCs w:val="24"/>
        </w:rPr>
        <w:sectPr>
          <w:pgSz w:w="11906" w:h="16838"/>
          <w:pgMar w:top="1276" w:right="1351" w:bottom="1135" w:left="1414" w:header="851" w:footer="992" w:gutter="0"/>
          <w:cols w:space="720" w:num="1"/>
          <w:docGrid w:type="lines" w:linePitch="312" w:charSpace="0"/>
        </w:sectPr>
      </w:pPr>
    </w:p>
    <w:p w14:paraId="7984FE92">
      <w:pPr>
        <w:rPr>
          <w:rFonts w:hint="eastAsia" w:ascii="宋体" w:hAnsi="宋体" w:cs="宋体"/>
          <w:sz w:val="24"/>
          <w:szCs w:val="24"/>
        </w:rPr>
      </w:pPr>
      <w:r>
        <w:rPr>
          <w:rFonts w:hint="eastAsia" w:ascii="宋体" w:hAnsi="宋体" w:cs="宋体"/>
          <w:sz w:val="24"/>
          <w:szCs w:val="24"/>
        </w:rPr>
        <w:t>附件5</w:t>
      </w:r>
    </w:p>
    <w:p w14:paraId="35ACF5E8">
      <w:pPr>
        <w:keepNext/>
        <w:keepLines/>
        <w:spacing w:before="120" w:after="120" w:line="360" w:lineRule="auto"/>
        <w:jc w:val="center"/>
        <w:outlineLvl w:val="1"/>
        <w:rPr>
          <w:b/>
          <w:bCs/>
          <w:kern w:val="44"/>
        </w:rPr>
      </w:pPr>
      <w:r>
        <w:rPr>
          <w:rFonts w:hint="eastAsia"/>
          <w:b/>
          <w:bCs/>
          <w:kern w:val="44"/>
        </w:rPr>
        <w:t>乙购设备（材料）管理要求</w:t>
      </w:r>
    </w:p>
    <w:p w14:paraId="7EA2EA97">
      <w:pPr>
        <w:spacing w:line="360" w:lineRule="auto"/>
        <w:ind w:firstLine="465"/>
        <w:rPr>
          <w:u w:val="single"/>
        </w:rPr>
      </w:pPr>
      <w:r>
        <w:rPr>
          <w:rFonts w:hint="eastAsia"/>
          <w:u w:val="single"/>
        </w:rPr>
        <w:t>根据设备（材料）的重要性、数量和预算金额，乙购设备（材料）分为乙购关键设备（材料）和乙购非关键设备（材料）。</w:t>
      </w:r>
    </w:p>
    <w:p w14:paraId="66E49282">
      <w:pPr>
        <w:spacing w:line="360" w:lineRule="auto"/>
        <w:ind w:firstLine="420" w:firstLineChars="200"/>
        <w:rPr>
          <w:u w:val="single"/>
        </w:rPr>
      </w:pPr>
      <w:r>
        <w:rPr>
          <w:rFonts w:hint="eastAsia"/>
          <w:u w:val="single"/>
        </w:rPr>
        <w:t>1、乙购关键设备（材料）管理要求</w:t>
      </w:r>
    </w:p>
    <w:p w14:paraId="350B61BD">
      <w:pPr>
        <w:spacing w:line="360" w:lineRule="auto"/>
        <w:ind w:firstLine="420" w:firstLineChars="200"/>
        <w:rPr>
          <w:u w:val="single"/>
        </w:rPr>
      </w:pPr>
      <w:r>
        <w:rPr>
          <w:rFonts w:hint="eastAsia"/>
          <w:u w:val="single"/>
        </w:rPr>
        <w:t>承包人在设备、材料采购前及合同签订后30日历天内，在满足规范及设计技术要求的前提下，从乙购关键设备（材料）清单及参考品牌（详见下表）中选择品牌，报监理人、设计人、发包人审批，审批后方可采购，施工进场报验通过后，方可实施，施工过程中不得随意更换。</w:t>
      </w:r>
    </w:p>
    <w:p w14:paraId="5E9FDFEC">
      <w:pPr>
        <w:spacing w:line="360" w:lineRule="auto"/>
        <w:ind w:firstLine="465"/>
        <w:jc w:val="center"/>
        <w:rPr>
          <w:rFonts w:hint="eastAsia"/>
          <w:b/>
        </w:rPr>
      </w:pPr>
      <w:r>
        <w:rPr>
          <w:rFonts w:hint="eastAsia"/>
          <w:b/>
        </w:rPr>
        <w:t>附表：乙购设备（材料）清单及参考品牌</w:t>
      </w:r>
    </w:p>
    <w:tbl>
      <w:tblPr>
        <w:tblStyle w:val="53"/>
        <w:tblW w:w="7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972"/>
        <w:gridCol w:w="3952"/>
        <w:gridCol w:w="1147"/>
      </w:tblGrid>
      <w:tr w14:paraId="66DD2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680" w:type="dxa"/>
            <w:noWrap w:val="0"/>
            <w:vAlign w:val="center"/>
          </w:tcPr>
          <w:p w14:paraId="3C23AEC2">
            <w:pPr>
              <w:widowControl/>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1972" w:type="dxa"/>
            <w:noWrap w:val="0"/>
            <w:vAlign w:val="center"/>
          </w:tcPr>
          <w:p w14:paraId="49298C77">
            <w:pPr>
              <w:widowControl/>
              <w:jc w:val="center"/>
              <w:textAlignment w:val="center"/>
              <w:rPr>
                <w:rFonts w:hint="eastAsia" w:ascii="宋体" w:hAnsi="宋体" w:cs="宋体"/>
                <w:b/>
                <w:bCs/>
                <w:szCs w:val="21"/>
              </w:rPr>
            </w:pPr>
            <w:r>
              <w:rPr>
                <w:rFonts w:hint="eastAsia" w:ascii="宋体" w:hAnsi="宋体" w:cs="宋体"/>
                <w:b/>
                <w:bCs/>
                <w:kern w:val="0"/>
                <w:szCs w:val="21"/>
                <w:lang w:bidi="ar"/>
              </w:rPr>
              <w:t>设备、材料名称</w:t>
            </w:r>
          </w:p>
        </w:tc>
        <w:tc>
          <w:tcPr>
            <w:tcW w:w="3952" w:type="dxa"/>
            <w:noWrap w:val="0"/>
            <w:vAlign w:val="center"/>
          </w:tcPr>
          <w:p w14:paraId="3C81E728">
            <w:pPr>
              <w:widowControl/>
              <w:jc w:val="center"/>
              <w:textAlignment w:val="center"/>
              <w:rPr>
                <w:rFonts w:hint="eastAsia" w:ascii="宋体" w:hAnsi="宋体" w:cs="宋体"/>
                <w:b/>
                <w:bCs/>
                <w:szCs w:val="21"/>
              </w:rPr>
            </w:pPr>
            <w:r>
              <w:rPr>
                <w:rFonts w:hint="eastAsia" w:ascii="宋体" w:hAnsi="宋体" w:cs="宋体"/>
                <w:b/>
                <w:bCs/>
                <w:kern w:val="0"/>
                <w:szCs w:val="21"/>
                <w:lang w:bidi="ar"/>
              </w:rPr>
              <w:t>项目建议参考品牌</w:t>
            </w:r>
          </w:p>
        </w:tc>
        <w:tc>
          <w:tcPr>
            <w:tcW w:w="1147" w:type="dxa"/>
            <w:noWrap/>
            <w:vAlign w:val="center"/>
          </w:tcPr>
          <w:p w14:paraId="50847F68">
            <w:pPr>
              <w:widowControl/>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14:paraId="56BE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7A10CAE9">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972" w:type="dxa"/>
            <w:noWrap w:val="0"/>
            <w:vAlign w:val="center"/>
          </w:tcPr>
          <w:p w14:paraId="6AA058B2">
            <w:pPr>
              <w:widowControl/>
              <w:jc w:val="left"/>
              <w:textAlignment w:val="center"/>
              <w:rPr>
                <w:rFonts w:hint="eastAsia" w:ascii="宋体" w:hAnsi="宋体" w:cs="宋体"/>
                <w:szCs w:val="21"/>
              </w:rPr>
            </w:pPr>
            <w:r>
              <w:rPr>
                <w:rFonts w:hint="eastAsia" w:ascii="宋体" w:hAnsi="宋体" w:cs="宋体"/>
                <w:color w:val="000000"/>
                <w:kern w:val="0"/>
                <w:szCs w:val="21"/>
                <w:lang w:bidi="ar"/>
              </w:rPr>
              <w:t>门锁五金</w:t>
            </w:r>
          </w:p>
        </w:tc>
        <w:tc>
          <w:tcPr>
            <w:tcW w:w="3952" w:type="dxa"/>
            <w:noWrap w:val="0"/>
            <w:vAlign w:val="center"/>
          </w:tcPr>
          <w:p w14:paraId="15EA4239">
            <w:pPr>
              <w:widowControl/>
              <w:jc w:val="left"/>
              <w:textAlignment w:val="center"/>
              <w:rPr>
                <w:rFonts w:hint="eastAsia" w:ascii="宋体" w:hAnsi="宋体" w:cs="宋体"/>
                <w:szCs w:val="21"/>
              </w:rPr>
            </w:pPr>
            <w:r>
              <w:rPr>
                <w:rFonts w:hint="eastAsia" w:ascii="宋体" w:hAnsi="宋体" w:cs="宋体"/>
                <w:color w:val="000000"/>
                <w:kern w:val="0"/>
                <w:szCs w:val="21"/>
                <w:lang w:bidi="ar"/>
              </w:rPr>
              <w:t>多玛、亚萨合莱、茵科、史丹利、英格索兰</w:t>
            </w:r>
          </w:p>
        </w:tc>
        <w:tc>
          <w:tcPr>
            <w:tcW w:w="1147" w:type="dxa"/>
            <w:noWrap w:val="0"/>
            <w:vAlign w:val="center"/>
          </w:tcPr>
          <w:p w14:paraId="6F9F83D2">
            <w:pPr>
              <w:widowControl/>
              <w:jc w:val="left"/>
              <w:textAlignment w:val="center"/>
              <w:rPr>
                <w:rFonts w:hint="eastAsia" w:ascii="宋体" w:hAnsi="宋体" w:cs="宋体"/>
                <w:szCs w:val="21"/>
              </w:rPr>
            </w:pPr>
          </w:p>
        </w:tc>
      </w:tr>
      <w:tr w14:paraId="1495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22322EE8">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972" w:type="dxa"/>
            <w:noWrap w:val="0"/>
            <w:vAlign w:val="center"/>
          </w:tcPr>
          <w:p w14:paraId="605246FF">
            <w:pPr>
              <w:widowControl/>
              <w:jc w:val="left"/>
              <w:textAlignment w:val="center"/>
              <w:rPr>
                <w:rFonts w:hint="eastAsia" w:ascii="宋体" w:hAnsi="宋体" w:cs="宋体"/>
                <w:szCs w:val="21"/>
              </w:rPr>
            </w:pPr>
            <w:r>
              <w:rPr>
                <w:rFonts w:hint="eastAsia" w:ascii="宋体" w:hAnsi="宋体" w:cs="宋体"/>
                <w:color w:val="000000"/>
                <w:kern w:val="0"/>
                <w:szCs w:val="21"/>
                <w:lang w:bidi="ar"/>
              </w:rPr>
              <w:t>木门</w:t>
            </w:r>
          </w:p>
        </w:tc>
        <w:tc>
          <w:tcPr>
            <w:tcW w:w="3952" w:type="dxa"/>
            <w:noWrap w:val="0"/>
            <w:vAlign w:val="center"/>
          </w:tcPr>
          <w:p w14:paraId="3658CA32">
            <w:pPr>
              <w:widowControl/>
              <w:jc w:val="left"/>
              <w:textAlignment w:val="center"/>
              <w:rPr>
                <w:rFonts w:hint="eastAsia" w:ascii="宋体" w:hAnsi="宋体" w:cs="宋体"/>
                <w:szCs w:val="21"/>
              </w:rPr>
            </w:pPr>
            <w:r>
              <w:rPr>
                <w:rFonts w:hint="eastAsia" w:ascii="宋体" w:hAnsi="宋体" w:cs="宋体"/>
                <w:color w:val="000000"/>
                <w:kern w:val="0"/>
                <w:szCs w:val="21"/>
                <w:lang w:bidi="ar"/>
              </w:rPr>
              <w:t>冠牛、润成创展、豪威尔、华衍木业</w:t>
            </w:r>
          </w:p>
        </w:tc>
        <w:tc>
          <w:tcPr>
            <w:tcW w:w="1147" w:type="dxa"/>
            <w:noWrap/>
            <w:vAlign w:val="center"/>
          </w:tcPr>
          <w:p w14:paraId="40DE8AD2">
            <w:pPr>
              <w:rPr>
                <w:rFonts w:hint="eastAsia" w:ascii="宋体" w:hAnsi="宋体" w:cs="宋体"/>
                <w:szCs w:val="21"/>
              </w:rPr>
            </w:pPr>
          </w:p>
        </w:tc>
      </w:tr>
      <w:tr w14:paraId="65405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3A4036A3">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972" w:type="dxa"/>
            <w:noWrap w:val="0"/>
            <w:vAlign w:val="center"/>
          </w:tcPr>
          <w:p w14:paraId="12EBD393">
            <w:pPr>
              <w:widowControl/>
              <w:jc w:val="left"/>
              <w:textAlignment w:val="center"/>
              <w:rPr>
                <w:rFonts w:hint="eastAsia" w:ascii="宋体" w:hAnsi="宋体" w:cs="宋体"/>
                <w:szCs w:val="21"/>
              </w:rPr>
            </w:pPr>
            <w:r>
              <w:rPr>
                <w:rFonts w:hint="eastAsia" w:ascii="宋体" w:hAnsi="宋体" w:cs="宋体"/>
                <w:color w:val="000000"/>
                <w:kern w:val="0"/>
                <w:szCs w:val="21"/>
                <w:lang w:bidi="ar"/>
              </w:rPr>
              <w:t>石膏板</w:t>
            </w:r>
          </w:p>
        </w:tc>
        <w:tc>
          <w:tcPr>
            <w:tcW w:w="3952" w:type="dxa"/>
            <w:noWrap w:val="0"/>
            <w:vAlign w:val="center"/>
          </w:tcPr>
          <w:p w14:paraId="1541404C">
            <w:pPr>
              <w:widowControl/>
              <w:jc w:val="left"/>
              <w:textAlignment w:val="center"/>
              <w:rPr>
                <w:rFonts w:hint="eastAsia" w:ascii="宋体" w:hAnsi="宋体" w:cs="宋体"/>
                <w:szCs w:val="21"/>
              </w:rPr>
            </w:pPr>
            <w:r>
              <w:rPr>
                <w:rFonts w:hint="eastAsia" w:ascii="宋体" w:hAnsi="宋体" w:cs="宋体"/>
                <w:color w:val="000000"/>
                <w:kern w:val="0"/>
                <w:szCs w:val="21"/>
                <w:lang w:bidi="ar"/>
              </w:rPr>
              <w:t>杰森、可耐福、北新龙牌、圣戈班·杰科</w:t>
            </w:r>
          </w:p>
        </w:tc>
        <w:tc>
          <w:tcPr>
            <w:tcW w:w="1147" w:type="dxa"/>
            <w:noWrap/>
            <w:vAlign w:val="center"/>
          </w:tcPr>
          <w:p w14:paraId="60900108">
            <w:pPr>
              <w:rPr>
                <w:rFonts w:hint="eastAsia" w:ascii="宋体" w:hAnsi="宋体" w:cs="宋体"/>
                <w:szCs w:val="21"/>
              </w:rPr>
            </w:pPr>
          </w:p>
        </w:tc>
      </w:tr>
      <w:tr w14:paraId="5A728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370DBCBD">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972" w:type="dxa"/>
            <w:noWrap w:val="0"/>
            <w:vAlign w:val="center"/>
          </w:tcPr>
          <w:p w14:paraId="003AEA00">
            <w:pPr>
              <w:widowControl/>
              <w:jc w:val="left"/>
              <w:textAlignment w:val="center"/>
              <w:rPr>
                <w:rFonts w:hint="eastAsia" w:ascii="宋体" w:hAnsi="宋体" w:cs="宋体"/>
                <w:szCs w:val="21"/>
              </w:rPr>
            </w:pPr>
            <w:r>
              <w:rPr>
                <w:rFonts w:hint="eastAsia" w:ascii="宋体" w:hAnsi="宋体" w:cs="宋体"/>
                <w:color w:val="000000"/>
                <w:szCs w:val="21"/>
              </w:rPr>
              <w:t>内墙涂料</w:t>
            </w:r>
          </w:p>
        </w:tc>
        <w:tc>
          <w:tcPr>
            <w:tcW w:w="3952" w:type="dxa"/>
            <w:noWrap w:val="0"/>
            <w:vAlign w:val="center"/>
          </w:tcPr>
          <w:p w14:paraId="6B58D264">
            <w:pPr>
              <w:jc w:val="left"/>
              <w:rPr>
                <w:rFonts w:hint="eastAsia" w:ascii="宋体" w:hAnsi="宋体" w:cs="宋体"/>
                <w:szCs w:val="21"/>
              </w:rPr>
            </w:pPr>
            <w:r>
              <w:rPr>
                <w:rFonts w:hint="eastAsia" w:ascii="宋体" w:hAnsi="宋体" w:cs="宋体"/>
                <w:color w:val="000000"/>
                <w:kern w:val="0"/>
                <w:szCs w:val="21"/>
                <w:lang w:bidi="ar"/>
              </w:rPr>
              <w:t>多乐士、立邦、嘉宝莉、美涂士</w:t>
            </w:r>
          </w:p>
        </w:tc>
        <w:tc>
          <w:tcPr>
            <w:tcW w:w="1147" w:type="dxa"/>
            <w:noWrap/>
            <w:vAlign w:val="center"/>
          </w:tcPr>
          <w:p w14:paraId="7DE965AB">
            <w:pPr>
              <w:rPr>
                <w:rFonts w:hint="eastAsia" w:ascii="宋体" w:hAnsi="宋体" w:cs="宋体"/>
                <w:szCs w:val="21"/>
              </w:rPr>
            </w:pPr>
          </w:p>
        </w:tc>
      </w:tr>
      <w:tr w14:paraId="0C310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0CC3E5E7">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1972" w:type="dxa"/>
            <w:noWrap w:val="0"/>
            <w:vAlign w:val="center"/>
          </w:tcPr>
          <w:p w14:paraId="118D8BA1">
            <w:pPr>
              <w:widowControl/>
              <w:jc w:val="left"/>
              <w:textAlignment w:val="center"/>
              <w:rPr>
                <w:rFonts w:hint="eastAsia" w:ascii="宋体" w:hAnsi="宋体" w:cs="宋体"/>
                <w:szCs w:val="21"/>
              </w:rPr>
            </w:pPr>
            <w:r>
              <w:rPr>
                <w:rFonts w:hint="eastAsia" w:ascii="宋体" w:hAnsi="宋体" w:cs="宋体"/>
                <w:color w:val="000000"/>
                <w:kern w:val="0"/>
                <w:szCs w:val="21"/>
                <w:lang w:bidi="ar"/>
              </w:rPr>
              <w:t>瓷砖</w:t>
            </w:r>
          </w:p>
        </w:tc>
        <w:tc>
          <w:tcPr>
            <w:tcW w:w="3952" w:type="dxa"/>
            <w:noWrap w:val="0"/>
            <w:vAlign w:val="center"/>
          </w:tcPr>
          <w:p w14:paraId="05B802A2">
            <w:pPr>
              <w:widowControl/>
              <w:jc w:val="left"/>
              <w:textAlignment w:val="center"/>
              <w:rPr>
                <w:rFonts w:hint="eastAsia" w:ascii="宋体" w:hAnsi="宋体" w:cs="宋体"/>
                <w:szCs w:val="21"/>
              </w:rPr>
            </w:pPr>
            <w:r>
              <w:rPr>
                <w:rFonts w:hint="eastAsia" w:ascii="宋体" w:hAnsi="宋体" w:cs="宋体"/>
                <w:color w:val="000000"/>
                <w:kern w:val="0"/>
                <w:szCs w:val="21"/>
                <w:lang w:bidi="ar"/>
              </w:rPr>
              <w:t>蒙娜丽莎、冠珠、欧神诺、诺贝尔、马可波罗、亚细亚、宏宇、简一</w:t>
            </w:r>
          </w:p>
        </w:tc>
        <w:tc>
          <w:tcPr>
            <w:tcW w:w="1147" w:type="dxa"/>
            <w:noWrap/>
            <w:vAlign w:val="center"/>
          </w:tcPr>
          <w:p w14:paraId="1472CE5A">
            <w:pPr>
              <w:rPr>
                <w:rFonts w:hint="eastAsia" w:ascii="宋体" w:hAnsi="宋体" w:cs="宋体"/>
                <w:szCs w:val="21"/>
              </w:rPr>
            </w:pPr>
          </w:p>
        </w:tc>
      </w:tr>
      <w:tr w14:paraId="795B4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79A90CAF">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6</w:t>
            </w:r>
          </w:p>
        </w:tc>
        <w:tc>
          <w:tcPr>
            <w:tcW w:w="1972" w:type="dxa"/>
            <w:noWrap w:val="0"/>
            <w:vAlign w:val="center"/>
          </w:tcPr>
          <w:p w14:paraId="124AE37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配电箱</w:t>
            </w:r>
          </w:p>
        </w:tc>
        <w:tc>
          <w:tcPr>
            <w:tcW w:w="3952" w:type="dxa"/>
            <w:noWrap w:val="0"/>
            <w:vAlign w:val="center"/>
          </w:tcPr>
          <w:p w14:paraId="2012BC0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广州白云、泰豪科技、任达、亚洲电力、顺开、泰昂、爱得威、凌祺、盛德兰、金盘电气、华通电气、盛隆、南京大全</w:t>
            </w:r>
          </w:p>
        </w:tc>
        <w:tc>
          <w:tcPr>
            <w:tcW w:w="1147" w:type="dxa"/>
            <w:noWrap/>
            <w:vAlign w:val="center"/>
          </w:tcPr>
          <w:p w14:paraId="3E089561">
            <w:pPr>
              <w:rPr>
                <w:rFonts w:hint="eastAsia" w:ascii="宋体" w:hAnsi="宋体" w:cs="宋体"/>
                <w:szCs w:val="21"/>
              </w:rPr>
            </w:pPr>
          </w:p>
        </w:tc>
      </w:tr>
      <w:tr w14:paraId="4C144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2B808B5E">
            <w:pPr>
              <w:widowControl/>
              <w:jc w:val="center"/>
              <w:textAlignment w:val="center"/>
              <w:rPr>
                <w:rFonts w:hint="eastAsia" w:ascii="宋体" w:hAnsi="宋体" w:cs="宋体"/>
                <w:szCs w:val="21"/>
              </w:rPr>
            </w:pPr>
            <w:r>
              <w:rPr>
                <w:rFonts w:hint="eastAsia" w:ascii="宋体" w:hAnsi="宋体" w:cs="宋体"/>
                <w:kern w:val="0"/>
                <w:szCs w:val="21"/>
                <w:lang w:bidi="ar"/>
              </w:rPr>
              <w:t>7</w:t>
            </w:r>
          </w:p>
        </w:tc>
        <w:tc>
          <w:tcPr>
            <w:tcW w:w="1972" w:type="dxa"/>
            <w:noWrap w:val="0"/>
            <w:vAlign w:val="center"/>
          </w:tcPr>
          <w:p w14:paraId="299B3658">
            <w:pPr>
              <w:widowControl/>
              <w:jc w:val="left"/>
              <w:textAlignment w:val="center"/>
              <w:rPr>
                <w:rFonts w:hint="eastAsia" w:ascii="宋体" w:hAnsi="宋体" w:cs="宋体"/>
                <w:szCs w:val="21"/>
              </w:rPr>
            </w:pPr>
            <w:r>
              <w:rPr>
                <w:rFonts w:hint="eastAsia" w:ascii="宋体" w:hAnsi="宋体" w:cs="宋体"/>
                <w:szCs w:val="21"/>
              </w:rPr>
              <w:t>电线</w:t>
            </w:r>
          </w:p>
        </w:tc>
        <w:tc>
          <w:tcPr>
            <w:tcW w:w="3952" w:type="dxa"/>
            <w:noWrap w:val="0"/>
            <w:vAlign w:val="center"/>
          </w:tcPr>
          <w:p w14:paraId="0E7D3319">
            <w:pPr>
              <w:widowControl/>
              <w:jc w:val="left"/>
              <w:textAlignment w:val="center"/>
              <w:rPr>
                <w:rFonts w:hint="eastAsia" w:ascii="宋体" w:hAnsi="宋体" w:cs="宋体"/>
                <w:szCs w:val="21"/>
              </w:rPr>
            </w:pPr>
            <w:r>
              <w:rPr>
                <w:rFonts w:hint="eastAsia" w:ascii="宋体" w:hAnsi="宋体" w:cs="宋体"/>
                <w:kern w:val="0"/>
                <w:szCs w:val="21"/>
                <w:lang w:bidi="ar"/>
              </w:rPr>
              <w:t>亨通光电、金龙羽、新威讯、奔达康、东佳信、金环宇、成天泰、环市、广东长江(南光牌)、双菱</w:t>
            </w:r>
          </w:p>
        </w:tc>
        <w:tc>
          <w:tcPr>
            <w:tcW w:w="1147" w:type="dxa"/>
            <w:noWrap w:val="0"/>
            <w:vAlign w:val="center"/>
          </w:tcPr>
          <w:p w14:paraId="7D0AD72C">
            <w:pPr>
              <w:widowControl/>
              <w:jc w:val="left"/>
              <w:textAlignment w:val="center"/>
              <w:rPr>
                <w:rFonts w:hint="eastAsia" w:ascii="宋体" w:hAnsi="宋体" w:cs="宋体"/>
                <w:szCs w:val="21"/>
              </w:rPr>
            </w:pPr>
          </w:p>
        </w:tc>
      </w:tr>
      <w:tr w14:paraId="68D8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3087876C">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1972" w:type="dxa"/>
            <w:noWrap w:val="0"/>
            <w:vAlign w:val="center"/>
          </w:tcPr>
          <w:p w14:paraId="315C89A8">
            <w:pPr>
              <w:widowControl/>
              <w:jc w:val="left"/>
              <w:textAlignment w:val="center"/>
              <w:rPr>
                <w:rFonts w:hint="eastAsia" w:ascii="宋体" w:hAnsi="宋体" w:cs="宋体"/>
                <w:szCs w:val="21"/>
              </w:rPr>
            </w:pPr>
            <w:r>
              <w:rPr>
                <w:rFonts w:hint="eastAsia" w:ascii="宋体" w:hAnsi="宋体" w:cs="宋体"/>
                <w:kern w:val="0"/>
                <w:szCs w:val="21"/>
                <w:lang w:bidi="ar"/>
              </w:rPr>
              <w:t>室内照明灯具</w:t>
            </w:r>
          </w:p>
        </w:tc>
        <w:tc>
          <w:tcPr>
            <w:tcW w:w="3952" w:type="dxa"/>
            <w:noWrap w:val="0"/>
            <w:vAlign w:val="center"/>
          </w:tcPr>
          <w:p w14:paraId="12C04032">
            <w:pPr>
              <w:widowControl/>
              <w:jc w:val="left"/>
              <w:textAlignment w:val="center"/>
              <w:rPr>
                <w:rFonts w:hint="eastAsia" w:ascii="宋体" w:hAnsi="宋体" w:cs="宋体"/>
                <w:szCs w:val="21"/>
              </w:rPr>
            </w:pPr>
            <w:r>
              <w:rPr>
                <w:rFonts w:hint="eastAsia" w:ascii="宋体" w:hAnsi="宋体" w:cs="宋体"/>
                <w:kern w:val="0"/>
                <w:szCs w:val="21"/>
                <w:lang w:bidi="ar"/>
              </w:rPr>
              <w:t>飞利浦、松下、索恩、Simon（西蒙）</w:t>
            </w:r>
          </w:p>
        </w:tc>
        <w:tc>
          <w:tcPr>
            <w:tcW w:w="1147" w:type="dxa"/>
            <w:noWrap/>
            <w:vAlign w:val="center"/>
          </w:tcPr>
          <w:p w14:paraId="720E8BF7">
            <w:pPr>
              <w:rPr>
                <w:rFonts w:hint="eastAsia" w:ascii="宋体" w:hAnsi="宋体" w:cs="宋体"/>
                <w:szCs w:val="21"/>
              </w:rPr>
            </w:pPr>
          </w:p>
        </w:tc>
      </w:tr>
      <w:tr w14:paraId="72D83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51CC3B15">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1972" w:type="dxa"/>
            <w:noWrap w:val="0"/>
            <w:vAlign w:val="center"/>
          </w:tcPr>
          <w:p w14:paraId="6D67E574">
            <w:pPr>
              <w:widowControl/>
              <w:jc w:val="left"/>
              <w:textAlignment w:val="center"/>
              <w:rPr>
                <w:rFonts w:hint="eastAsia" w:ascii="宋体" w:hAnsi="宋体" w:cs="宋体"/>
                <w:szCs w:val="21"/>
              </w:rPr>
            </w:pPr>
            <w:r>
              <w:rPr>
                <w:rFonts w:hint="eastAsia" w:ascii="宋体" w:hAnsi="宋体" w:cs="宋体"/>
                <w:kern w:val="0"/>
                <w:szCs w:val="21"/>
                <w:lang w:bidi="ar"/>
              </w:rPr>
              <w:t>开关插座</w:t>
            </w:r>
          </w:p>
        </w:tc>
        <w:tc>
          <w:tcPr>
            <w:tcW w:w="3952" w:type="dxa"/>
            <w:noWrap w:val="0"/>
            <w:vAlign w:val="center"/>
          </w:tcPr>
          <w:p w14:paraId="0A50BCE1">
            <w:pPr>
              <w:widowControl/>
              <w:jc w:val="left"/>
              <w:textAlignment w:val="center"/>
              <w:rPr>
                <w:rFonts w:hint="eastAsia" w:ascii="宋体" w:hAnsi="宋体" w:cs="宋体"/>
                <w:szCs w:val="21"/>
              </w:rPr>
            </w:pPr>
            <w:r>
              <w:rPr>
                <w:rFonts w:hint="eastAsia" w:ascii="宋体" w:hAnsi="宋体" w:cs="宋体"/>
                <w:kern w:val="0"/>
                <w:szCs w:val="21"/>
                <w:lang w:bidi="ar"/>
              </w:rPr>
              <w:t>施耐德、西蒙、西门子、ABB</w:t>
            </w:r>
          </w:p>
        </w:tc>
        <w:tc>
          <w:tcPr>
            <w:tcW w:w="1147" w:type="dxa"/>
            <w:noWrap w:val="0"/>
            <w:vAlign w:val="center"/>
          </w:tcPr>
          <w:p w14:paraId="473CE5D4">
            <w:pPr>
              <w:widowControl/>
              <w:jc w:val="left"/>
              <w:textAlignment w:val="center"/>
              <w:rPr>
                <w:rFonts w:hint="eastAsia" w:ascii="宋体" w:hAnsi="宋体" w:cs="宋体"/>
                <w:szCs w:val="21"/>
              </w:rPr>
            </w:pPr>
          </w:p>
        </w:tc>
      </w:tr>
      <w:tr w14:paraId="6B68B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583CD621">
            <w:pPr>
              <w:widowControl/>
              <w:jc w:val="center"/>
              <w:textAlignment w:val="center"/>
              <w:rPr>
                <w:rFonts w:ascii="宋体" w:hAnsi="宋体" w:cs="宋体"/>
                <w:szCs w:val="21"/>
              </w:rPr>
            </w:pPr>
            <w:r>
              <w:rPr>
                <w:rFonts w:hint="eastAsia" w:ascii="宋体" w:hAnsi="宋体" w:cs="宋体"/>
                <w:kern w:val="0"/>
                <w:szCs w:val="21"/>
                <w:lang w:bidi="ar"/>
              </w:rPr>
              <w:t>10</w:t>
            </w:r>
          </w:p>
        </w:tc>
        <w:tc>
          <w:tcPr>
            <w:tcW w:w="1972" w:type="dxa"/>
            <w:noWrap/>
            <w:vAlign w:val="center"/>
          </w:tcPr>
          <w:p w14:paraId="7EB08ECF">
            <w:pPr>
              <w:widowControl/>
              <w:jc w:val="left"/>
              <w:textAlignment w:val="center"/>
              <w:rPr>
                <w:rFonts w:ascii="宋体" w:hAnsi="宋体" w:cs="宋体"/>
                <w:szCs w:val="21"/>
              </w:rPr>
            </w:pPr>
            <w:r>
              <w:rPr>
                <w:rFonts w:hint="eastAsia" w:ascii="宋体" w:hAnsi="宋体" w:cs="宋体"/>
                <w:szCs w:val="21"/>
              </w:rPr>
              <w:t>多联机空调（含新风机）</w:t>
            </w:r>
          </w:p>
        </w:tc>
        <w:tc>
          <w:tcPr>
            <w:tcW w:w="3952" w:type="dxa"/>
            <w:noWrap w:val="0"/>
            <w:vAlign w:val="center"/>
          </w:tcPr>
          <w:p w14:paraId="792A4D51">
            <w:pPr>
              <w:widowControl/>
              <w:jc w:val="left"/>
              <w:textAlignment w:val="center"/>
              <w:rPr>
                <w:rFonts w:ascii="宋体" w:hAnsi="宋体" w:cs="宋体"/>
                <w:szCs w:val="21"/>
              </w:rPr>
            </w:pPr>
            <w:r>
              <w:rPr>
                <w:rFonts w:hint="eastAsia" w:ascii="宋体" w:hAnsi="宋体" w:cs="宋体"/>
                <w:szCs w:val="21"/>
              </w:rPr>
              <w:t>格力、美的、海信日立</w:t>
            </w:r>
          </w:p>
        </w:tc>
        <w:tc>
          <w:tcPr>
            <w:tcW w:w="1147" w:type="dxa"/>
            <w:noWrap/>
            <w:vAlign w:val="center"/>
          </w:tcPr>
          <w:p w14:paraId="07407401">
            <w:pPr>
              <w:rPr>
                <w:rFonts w:hint="eastAsia" w:ascii="宋体" w:hAnsi="宋体" w:cs="宋体"/>
                <w:szCs w:val="21"/>
              </w:rPr>
            </w:pPr>
          </w:p>
        </w:tc>
      </w:tr>
    </w:tbl>
    <w:p w14:paraId="1CEF7297">
      <w:pPr>
        <w:spacing w:line="360" w:lineRule="auto"/>
        <w:ind w:firstLine="420" w:firstLineChars="200"/>
        <w:rPr>
          <w:u w:val="single"/>
        </w:rPr>
      </w:pPr>
      <w:r>
        <w:rPr>
          <w:rFonts w:hint="eastAsia"/>
          <w:u w:val="single"/>
        </w:rPr>
        <w:t>2、乙购非关键设备（材料）管理要求</w:t>
      </w:r>
    </w:p>
    <w:p w14:paraId="751BAEF3">
      <w:pPr>
        <w:spacing w:line="360" w:lineRule="auto"/>
        <w:ind w:firstLine="420" w:firstLineChars="200"/>
        <w:rPr>
          <w:u w:val="single"/>
        </w:rPr>
      </w:pPr>
      <w:r>
        <w:rPr>
          <w:rFonts w:hint="eastAsia"/>
          <w:u w:val="single"/>
        </w:rPr>
        <w:t>乙购非关键设备（材料）即除乙购关键设备（材料）清单及参考品牌附表中以外的乙购设备（材料），承包人在设备、材料采购前及合同签订后30日历天内，在满足本合同乙购设备（材料）技术规格书、施工图纸的前提下，梳理乙购非关键设备（材料）品牌或厂家（每种设备（材料）品牌或厂家不得少于三家），报监理人、设计人、发包人审批，审批后方可采购，施工进场报验通过后，方可实施，施工过程中不得随意更换。</w:t>
      </w:r>
    </w:p>
    <w:p w14:paraId="4679F7E2">
      <w:pPr>
        <w:spacing w:line="360" w:lineRule="auto"/>
        <w:ind w:firstLine="420" w:firstLineChars="200"/>
      </w:pPr>
      <w:r>
        <w:rPr>
          <w:rFonts w:hint="eastAsia"/>
          <w:u w:val="single"/>
        </w:rPr>
        <w:t>监理人、设计人、发包人在审批承包人报审的设备（材料）品牌时，有权提出对设备（材料）生产制造地进行实地考察，有权提出驻场监造或出厂前检验，为此而进行的实地考察、驻场监造、出厂检验所发生的交通费、住宿费、餐饮费等由承包人承担，该费用已包含在投标报价中，发包人不再另行支付。</w:t>
      </w:r>
    </w:p>
    <w:p w14:paraId="1B20F034">
      <w:pPr>
        <w:spacing w:line="360" w:lineRule="auto"/>
        <w:ind w:firstLine="420" w:firstLineChars="200"/>
      </w:pPr>
      <w:r>
        <w:rPr>
          <w:rFonts w:hint="eastAsia"/>
        </w:rPr>
        <w:t>3、乙购设备（材料）采购其他要求</w:t>
      </w:r>
    </w:p>
    <w:p w14:paraId="636466DD">
      <w:pPr>
        <w:spacing w:line="360" w:lineRule="auto"/>
        <w:ind w:firstLine="420" w:firstLineChars="200"/>
        <w:rPr>
          <w:u w:val="single"/>
        </w:rPr>
      </w:pPr>
      <w:r>
        <w:rPr>
          <w:rFonts w:hint="eastAsia"/>
          <w:u w:val="single"/>
        </w:rPr>
        <w:t>3.1承包人采购设备材料时应当充分考虑既有设备系统的兼容性，采购设备材料时必须保证兼容要求，如因承包人采购设备材料出现兼容性问题，需要重新采购安装产生所有费用由承包人承担。</w:t>
      </w:r>
    </w:p>
    <w:p w14:paraId="05D60F28">
      <w:pPr>
        <w:spacing w:line="360" w:lineRule="auto"/>
        <w:ind w:firstLine="465"/>
        <w:rPr>
          <w:u w:val="single"/>
        </w:rPr>
      </w:pPr>
      <w:r>
        <w:rPr>
          <w:rFonts w:hint="eastAsia"/>
          <w:u w:val="single"/>
        </w:rPr>
        <w:t>3.2承包人选定实施品牌并报批时，应附上该品牌相关技术资料、验收报告等以及选型技术参数、数量与招标文件技术参数、数量对比表、计划进场时间、样品等。</w:t>
      </w:r>
    </w:p>
    <w:p w14:paraId="44460E01">
      <w:pPr>
        <w:spacing w:line="360" w:lineRule="auto"/>
        <w:ind w:firstLine="465"/>
        <w:rPr>
          <w:u w:val="single"/>
        </w:rPr>
      </w:pPr>
      <w:r>
        <w:rPr>
          <w:rFonts w:hint="eastAsia"/>
          <w:u w:val="single"/>
        </w:rPr>
        <w:t>3.3承包人选定实施品牌应具有同等规模及以上项目的供货业绩。</w:t>
      </w:r>
    </w:p>
    <w:p w14:paraId="3E7A0654">
      <w:pPr>
        <w:spacing w:line="360" w:lineRule="auto"/>
        <w:ind w:firstLine="420" w:firstLineChars="200"/>
        <w:rPr>
          <w:u w:val="single"/>
        </w:rPr>
      </w:pPr>
      <w:r>
        <w:rPr>
          <w:rFonts w:hint="eastAsia"/>
          <w:u w:val="single"/>
        </w:rPr>
        <w:t>3.4承包人在进行品牌报审时，应同步提供配套样品（大型设备除外），发包人认为需确认样品的，由监理人、设计人、发包人共同封样后，承包人方可采购，设备（材料）封样的样品作为设备（材料）进场验收依据之一；</w:t>
      </w:r>
    </w:p>
    <w:p w14:paraId="09ECF6B7">
      <w:pPr>
        <w:spacing w:line="360" w:lineRule="auto"/>
        <w:ind w:firstLine="420" w:firstLineChars="200"/>
        <w:rPr>
          <w:u w:val="single"/>
        </w:rPr>
      </w:pPr>
      <w:r>
        <w:rPr>
          <w:rFonts w:hint="eastAsia"/>
          <w:u w:val="single"/>
        </w:rPr>
        <w:t>3.5发包人有权根据物业运管部门对项目整体功能定位的要求，或发包人（组织社会专家专题评审）对承包人报批品牌的产品质量和社会评价等最新市场调查情况，否决承包人申报的本品牌库内设备材料采购要求。承包人依据前述3.1~3.4项要求申报乙购设备材料采购申请被发包人否决时，承包人应重新申报直至发包人批准为止。</w:t>
      </w:r>
    </w:p>
    <w:p w14:paraId="307DEBA6">
      <w:pPr>
        <w:spacing w:line="360" w:lineRule="auto"/>
        <w:ind w:firstLine="420" w:firstLineChars="200"/>
        <w:rPr>
          <w:u w:val="single"/>
        </w:rPr>
      </w:pPr>
      <w:r>
        <w:rPr>
          <w:rFonts w:hint="eastAsia"/>
          <w:u w:val="single"/>
        </w:rPr>
        <w:t>3.6发包人有权提出对设备（材料）进行驻场监造、出厂检验，驻场监造的设备（材料）项目、出厂检验的要求在实施工程中进行确定，承包人必须配合并执行。</w:t>
      </w:r>
    </w:p>
    <w:p w14:paraId="77D84FA7">
      <w:pPr>
        <w:adjustRightInd w:val="0"/>
        <w:snapToGrid w:val="0"/>
        <w:spacing w:line="360" w:lineRule="auto"/>
        <w:ind w:firstLine="420" w:firstLineChars="200"/>
      </w:pPr>
      <w:r>
        <w:rPr>
          <w:rFonts w:hint="eastAsia"/>
        </w:rPr>
        <w:t>3.7其它注意事项：</w:t>
      </w:r>
    </w:p>
    <w:p w14:paraId="3A7D7C1D">
      <w:pPr>
        <w:spacing w:line="360" w:lineRule="auto"/>
        <w:ind w:firstLine="465"/>
        <w:rPr>
          <w:u w:val="single"/>
        </w:rPr>
      </w:pPr>
      <w:r>
        <w:rPr>
          <w:rFonts w:hint="eastAsia"/>
          <w:u w:val="single"/>
        </w:rPr>
        <w:t>（1）承包人不得与材料设备供应商签订阴阳合同；</w:t>
      </w:r>
    </w:p>
    <w:p w14:paraId="528FE8A8">
      <w:pPr>
        <w:spacing w:line="360" w:lineRule="auto"/>
        <w:ind w:firstLine="465"/>
        <w:rPr>
          <w:u w:val="single"/>
        </w:rPr>
      </w:pPr>
      <w:r>
        <w:rPr>
          <w:rFonts w:hint="eastAsia"/>
          <w:u w:val="single"/>
        </w:rPr>
        <w:t>（2）承包人不得要求供应商供货定制不符合招标文件要求的材料设备；</w:t>
      </w:r>
    </w:p>
    <w:p w14:paraId="3BB0AF18">
      <w:pPr>
        <w:spacing w:line="360" w:lineRule="auto"/>
        <w:ind w:firstLine="465"/>
        <w:rPr>
          <w:u w:val="single"/>
        </w:rPr>
      </w:pPr>
      <w:r>
        <w:rPr>
          <w:rFonts w:hint="eastAsia"/>
          <w:u w:val="single"/>
        </w:rPr>
        <w:t>（3）承包人不得以投标报价偏低为由，要求材料设备供应商低于正常的市场价格供货；</w:t>
      </w:r>
    </w:p>
    <w:p w14:paraId="44CC0565">
      <w:pPr>
        <w:spacing w:line="360" w:lineRule="auto"/>
        <w:ind w:firstLine="465"/>
        <w:rPr>
          <w:u w:val="single"/>
        </w:rPr>
      </w:pPr>
      <w:r>
        <w:rPr>
          <w:rFonts w:hint="eastAsia"/>
          <w:u w:val="single"/>
        </w:rPr>
        <w:t>（4）承包人采购相关人员不得收受材料设备供应商的回扣、“红包”、有价证券等财物，或向材料设备供应商报销应由个人支付的费用，不得参与商业贿赂行为。</w:t>
      </w:r>
    </w:p>
    <w:p w14:paraId="7FFA535C">
      <w:pPr>
        <w:spacing w:line="360" w:lineRule="auto"/>
        <w:ind w:firstLine="465"/>
        <w:rPr>
          <w:u w:val="single"/>
        </w:rPr>
      </w:pPr>
      <w:r>
        <w:rPr>
          <w:rFonts w:hint="eastAsia"/>
          <w:u w:val="single"/>
        </w:rPr>
        <w:t>（5）承包人不得以各种理由拖延时间采购参考品牌的材料设备，因承包人原因未及时采购材料设备导致工期延误的，不得要求发包人批准更换品牌。对此，发包人保留对承包人工期索赔的权利。</w:t>
      </w:r>
    </w:p>
    <w:p w14:paraId="11B2D58D">
      <w:pPr>
        <w:spacing w:line="360" w:lineRule="auto"/>
        <w:ind w:firstLine="420" w:firstLineChars="200"/>
        <w:rPr>
          <w:u w:val="single"/>
        </w:rPr>
      </w:pPr>
      <w:r>
        <w:rPr>
          <w:rFonts w:hint="eastAsia"/>
          <w:u w:val="single"/>
        </w:rPr>
        <w:t>（6）如承包人不按招标文件要求采购材料设备，对工程质量、进度造成不良影响的，发包人将根据情节轻重记录其不良行为，直至处于停标的处罚。</w:t>
      </w:r>
    </w:p>
    <w:p w14:paraId="73E8F339">
      <w:pPr>
        <w:spacing w:line="360" w:lineRule="auto"/>
        <w:ind w:firstLine="420" w:firstLineChars="200"/>
        <w:rPr>
          <w:u w:val="single"/>
        </w:rPr>
      </w:pPr>
      <w:r>
        <w:rPr>
          <w:rFonts w:hint="eastAsia"/>
          <w:u w:val="single"/>
        </w:rPr>
        <w:t>（7）凡由承包人采购的用于本工程的材料、构配件和设备必须按规定向监理工程师报送拟进场的材料、构配件和设备报审表。监理工程师将对进场的用于本工程的材料、构配件和设备的质量证明资料进行审核并签署意见，进场后监理工程师将对进场的实物按照有关工程质量管理文件规定的比例采用平行检验或见证取样方式进行抽检。</w:t>
      </w:r>
    </w:p>
    <w:p w14:paraId="35425529">
      <w:pPr>
        <w:spacing w:line="360" w:lineRule="auto"/>
        <w:ind w:firstLine="420" w:firstLineChars="200"/>
        <w:rPr>
          <w:rFonts w:hint="eastAsia"/>
          <w:u w:val="single"/>
        </w:rPr>
      </w:pPr>
      <w:r>
        <w:rPr>
          <w:rFonts w:hint="eastAsia"/>
          <w:u w:val="single"/>
        </w:rPr>
        <w:t>（8）只有经发包人和监理工程师审核签证认可并且检验合格的工程材料、构配件和设备才能用于工程。对于未经发包人认可或监理工程师未签证认可的或实验检验不合格的，一律不准用于本工程。</w:t>
      </w:r>
    </w:p>
    <w:p w14:paraId="5CA3AA4D">
      <w:pPr>
        <w:spacing w:line="360" w:lineRule="auto"/>
        <w:ind w:firstLine="420" w:firstLineChars="200"/>
        <w:rPr>
          <w:rFonts w:hint="eastAsia"/>
          <w:u w:val="single"/>
        </w:rPr>
      </w:pPr>
      <w:r>
        <w:rPr>
          <w:rFonts w:hint="eastAsia"/>
          <w:u w:val="single"/>
        </w:rPr>
        <w:t>（9）承包人不能选用或者向发包人推荐使用任何可能造成发包人侵犯第三人知识产权、技术秘密的产品或者技术，否则由此而引起的一切法律责任均由承包人承担，与发包人无关。若造成发包人损失的，还应当赔偿发包人的一切直接或者间接损失。</w:t>
      </w:r>
    </w:p>
    <w:p w14:paraId="197F84DF">
      <w:pPr>
        <w:pStyle w:val="2"/>
        <w:rPr>
          <w:rFonts w:hint="eastAsia"/>
        </w:rPr>
      </w:pPr>
    </w:p>
    <w:p w14:paraId="0BB3E49A">
      <w:pPr>
        <w:jc w:val="center"/>
        <w:rPr>
          <w:rFonts w:hint="eastAsia" w:ascii="宋体" w:hAnsi="宋体"/>
          <w:b w:val="0"/>
          <w:bCs w:val="0"/>
          <w:color w:val="auto"/>
          <w:sz w:val="24"/>
          <w:szCs w:val="24"/>
          <w:highlight w:val="none"/>
          <w:lang w:val="en-US" w:eastAsia="zh-CN"/>
        </w:rPr>
        <w:sectPr>
          <w:headerReference r:id="rId10" w:type="default"/>
          <w:footerReference r:id="rId11" w:type="default"/>
          <w:pgSz w:w="11906" w:h="16838"/>
          <w:pgMar w:top="1276" w:right="1351" w:bottom="1135" w:left="1414" w:header="851" w:footer="992" w:gutter="0"/>
          <w:cols w:space="720" w:num="1"/>
          <w:docGrid w:type="lines" w:linePitch="312" w:charSpace="0"/>
        </w:sectPr>
      </w:pPr>
      <w:r>
        <w:rPr>
          <w:rFonts w:hint="eastAsia" w:ascii="宋体" w:hAnsi="宋体"/>
          <w:b/>
          <w:bCs/>
          <w:color w:val="auto"/>
          <w:highlight w:val="none"/>
          <w:lang w:val="en-US" w:eastAsia="zh-CN"/>
        </w:rPr>
        <w:t xml:space="preserve">                                                        </w:t>
      </w:r>
      <w:r>
        <w:rPr>
          <w:rFonts w:hint="eastAsia" w:ascii="宋体" w:hAnsi="宋体"/>
          <w:b w:val="0"/>
          <w:bCs w:val="0"/>
          <w:color w:val="auto"/>
          <w:sz w:val="24"/>
          <w:szCs w:val="24"/>
          <w:highlight w:val="none"/>
          <w:lang w:val="en-US" w:eastAsia="zh-CN"/>
        </w:rPr>
        <w:t xml:space="preserve"> </w:t>
      </w:r>
    </w:p>
    <w:p w14:paraId="457D3D85">
      <w:pPr>
        <w:jc w:val="center"/>
        <w:rPr>
          <w:b/>
          <w:sz w:val="36"/>
          <w:szCs w:val="36"/>
        </w:rPr>
      </w:pPr>
      <w:r>
        <w:rPr>
          <w:rFonts w:hint="eastAsia"/>
          <w:b/>
          <w:sz w:val="36"/>
          <w:szCs w:val="36"/>
        </w:rPr>
        <w:t>第四章  投标文件格式</w:t>
      </w:r>
      <w:bookmarkEnd w:id="22"/>
    </w:p>
    <w:p w14:paraId="05A96F08"/>
    <w:p w14:paraId="59951102">
      <w:pPr>
        <w:spacing w:after="312" w:afterLines="100" w:line="360" w:lineRule="auto"/>
        <w:jc w:val="center"/>
        <w:rPr>
          <w:rFonts w:ascii="宋体" w:hAnsi="宋体"/>
          <w:b/>
          <w:sz w:val="48"/>
          <w:szCs w:val="48"/>
        </w:rPr>
      </w:pPr>
      <w:r>
        <w:rPr>
          <w:rFonts w:ascii="宋体" w:hAnsi="宋体"/>
          <w:szCs w:val="21"/>
        </w:rPr>
        <w:br w:type="page"/>
      </w:r>
    </w:p>
    <w:p w14:paraId="793F146F">
      <w:pPr>
        <w:pStyle w:val="2"/>
        <w:ind w:firstLine="840"/>
      </w:pPr>
    </w:p>
    <w:p w14:paraId="0A8F6044">
      <w:pPr>
        <w:spacing w:before="156" w:beforeLines="50" w:after="312" w:afterLines="100" w:line="360" w:lineRule="auto"/>
        <w:jc w:val="center"/>
        <w:rPr>
          <w:rFonts w:hint="eastAsia" w:ascii="宋体" w:hAnsi="宋体"/>
          <w:b/>
          <w:sz w:val="44"/>
          <w:szCs w:val="44"/>
          <w:lang w:eastAsia="zh-CN"/>
        </w:rPr>
      </w:pPr>
      <w:r>
        <w:rPr>
          <w:rFonts w:hint="eastAsia" w:ascii="宋体" w:hAnsi="宋体"/>
          <w:b/>
          <w:sz w:val="44"/>
          <w:szCs w:val="44"/>
          <w:lang w:eastAsia="zh-CN"/>
        </w:rPr>
        <w:t>智慧家园项目物业管理用房装修工程施工</w:t>
      </w:r>
    </w:p>
    <w:p w14:paraId="69483F91">
      <w:pPr>
        <w:spacing w:before="156" w:beforeLines="50" w:after="312" w:afterLines="100" w:line="360" w:lineRule="auto"/>
        <w:jc w:val="center"/>
        <w:rPr>
          <w:rFonts w:ascii="宋体" w:hAnsi="宋体"/>
          <w:b/>
          <w:sz w:val="44"/>
          <w:szCs w:val="44"/>
        </w:rPr>
      </w:pPr>
      <w:r>
        <w:rPr>
          <w:rFonts w:hint="eastAsia" w:ascii="宋体" w:hAnsi="宋体"/>
          <w:b/>
          <w:sz w:val="44"/>
          <w:szCs w:val="44"/>
        </w:rPr>
        <w:t>投标文件</w:t>
      </w:r>
    </w:p>
    <w:p w14:paraId="4A42E822">
      <w:pPr>
        <w:spacing w:line="360" w:lineRule="auto"/>
        <w:jc w:val="center"/>
        <w:rPr>
          <w:rFonts w:ascii="宋体" w:hAnsi="宋体"/>
          <w:b/>
          <w:sz w:val="52"/>
          <w:szCs w:val="52"/>
        </w:rPr>
      </w:pPr>
    </w:p>
    <w:p w14:paraId="2A878546">
      <w:pPr>
        <w:spacing w:line="360" w:lineRule="auto"/>
        <w:rPr>
          <w:rFonts w:ascii="宋体" w:hAnsi="宋体"/>
          <w:b/>
          <w:sz w:val="32"/>
          <w:szCs w:val="32"/>
        </w:rPr>
      </w:pPr>
    </w:p>
    <w:p w14:paraId="522DE732">
      <w:pPr>
        <w:spacing w:line="360" w:lineRule="auto"/>
        <w:rPr>
          <w:rFonts w:ascii="宋体" w:hAnsi="宋体"/>
          <w:b/>
          <w:sz w:val="32"/>
          <w:szCs w:val="32"/>
        </w:rPr>
      </w:pPr>
    </w:p>
    <w:p w14:paraId="437D64FA">
      <w:pPr>
        <w:spacing w:line="360" w:lineRule="auto"/>
        <w:ind w:firstLine="840" w:firstLineChars="300"/>
        <w:rPr>
          <w:rFonts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（全称）（盖章）</w:t>
      </w:r>
    </w:p>
    <w:p w14:paraId="37E10382">
      <w:pPr>
        <w:spacing w:line="360" w:lineRule="auto"/>
        <w:ind w:firstLine="840" w:firstLineChars="300"/>
        <w:rPr>
          <w:rFonts w:ascii="宋体" w:hAnsi="宋体"/>
          <w:sz w:val="28"/>
          <w:szCs w:val="28"/>
        </w:rPr>
      </w:pPr>
    </w:p>
    <w:p w14:paraId="52905C5B">
      <w:pPr>
        <w:spacing w:line="360" w:lineRule="auto"/>
        <w:ind w:firstLine="840" w:firstLineChars="300"/>
        <w:rPr>
          <w:rFonts w:ascii="宋体" w:hAnsi="宋体"/>
          <w:sz w:val="28"/>
          <w:szCs w:val="28"/>
        </w:rPr>
      </w:pPr>
      <w:r>
        <w:rPr>
          <w:rFonts w:hint="eastAsia" w:ascii="宋体" w:hAnsi="宋体"/>
          <w:sz w:val="28"/>
          <w:szCs w:val="28"/>
        </w:rPr>
        <w:t>法定代表人或授权代理人：</w:t>
      </w:r>
      <w:r>
        <w:rPr>
          <w:rFonts w:hint="eastAsia" w:ascii="宋体" w:hAnsi="宋体"/>
          <w:sz w:val="28"/>
          <w:szCs w:val="28"/>
          <w:u w:val="single"/>
        </w:rPr>
        <w:t xml:space="preserve">                       </w:t>
      </w:r>
      <w:r>
        <w:rPr>
          <w:rFonts w:hint="eastAsia" w:ascii="宋体" w:hAnsi="宋体"/>
          <w:sz w:val="28"/>
          <w:szCs w:val="28"/>
        </w:rPr>
        <w:t>（签字）</w:t>
      </w:r>
    </w:p>
    <w:p w14:paraId="49D3E661">
      <w:pPr>
        <w:spacing w:line="360" w:lineRule="auto"/>
        <w:ind w:firstLine="840" w:firstLineChars="300"/>
        <w:rPr>
          <w:rFonts w:ascii="宋体" w:hAnsi="宋体"/>
          <w:sz w:val="28"/>
          <w:szCs w:val="28"/>
        </w:rPr>
      </w:pPr>
    </w:p>
    <w:p w14:paraId="1036E62D">
      <w:pPr>
        <w:spacing w:line="360" w:lineRule="auto"/>
        <w:ind w:firstLine="840" w:firstLineChars="300"/>
        <w:rPr>
          <w:rFonts w:ascii="宋体" w:hAnsi="宋体"/>
          <w:sz w:val="28"/>
          <w:szCs w:val="28"/>
        </w:rPr>
      </w:pPr>
      <w:r>
        <w:rPr>
          <w:rFonts w:hint="eastAsia" w:ascii="宋体" w:hAnsi="宋体"/>
          <w:sz w:val="28"/>
          <w:szCs w:val="28"/>
        </w:rPr>
        <w:t>日        期：</w:t>
      </w:r>
      <w:r>
        <w:rPr>
          <w:rFonts w:hint="eastAsia" w:ascii="宋体" w:hAnsi="宋体"/>
          <w:sz w:val="28"/>
          <w:szCs w:val="28"/>
          <w:u w:val="single"/>
        </w:rPr>
        <w:t>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BB14D5E">
      <w:pPr>
        <w:rPr>
          <w:rFonts w:ascii="宋体" w:hAnsi="宋体"/>
          <w:sz w:val="28"/>
          <w:szCs w:val="28"/>
        </w:rPr>
      </w:pPr>
      <w:r>
        <w:rPr>
          <w:rFonts w:hint="eastAsia" w:ascii="宋体" w:hAnsi="宋体"/>
          <w:sz w:val="28"/>
          <w:szCs w:val="28"/>
        </w:rPr>
        <w:br w:type="page"/>
      </w:r>
    </w:p>
    <w:p w14:paraId="7EE4367D">
      <w:pPr>
        <w:pStyle w:val="2"/>
        <w:spacing w:line="520" w:lineRule="exact"/>
        <w:ind w:firstLine="0" w:firstLineChars="0"/>
        <w:jc w:val="center"/>
        <w:rPr>
          <w:sz w:val="36"/>
          <w:szCs w:val="36"/>
        </w:rPr>
      </w:pPr>
      <w:bookmarkStart w:id="30" w:name="_Toc306716063"/>
      <w:bookmarkStart w:id="31" w:name="_Toc306716065"/>
      <w:bookmarkStart w:id="32" w:name="_Toc509669700"/>
      <w:r>
        <w:rPr>
          <w:rFonts w:hint="eastAsia"/>
          <w:sz w:val="36"/>
          <w:szCs w:val="36"/>
        </w:rPr>
        <w:t>投标承诺函</w:t>
      </w:r>
    </w:p>
    <w:p w14:paraId="5C5F49A9">
      <w:pPr>
        <w:spacing w:line="540" w:lineRule="exact"/>
        <w:ind w:right="960"/>
        <w:rPr>
          <w:rFonts w:hint="eastAsia" w:hAnsi="宋体" w:eastAsia="宋体"/>
          <w:bCs/>
          <w:sz w:val="24"/>
          <w:szCs w:val="24"/>
          <w:u w:val="single"/>
          <w:lang w:eastAsia="zh-CN"/>
        </w:rPr>
      </w:pPr>
      <w:r>
        <w:rPr>
          <w:rFonts w:hint="eastAsia" w:hAnsi="宋体"/>
          <w:bCs/>
          <w:sz w:val="24"/>
          <w:szCs w:val="24"/>
        </w:rPr>
        <w:t>致招标人:</w:t>
      </w:r>
      <w:r>
        <w:rPr>
          <w:rFonts w:hint="eastAsia" w:hAnsi="宋体"/>
          <w:sz w:val="24"/>
          <w:szCs w:val="24"/>
          <w:u w:val="single"/>
        </w:rPr>
        <w:t xml:space="preserve"> </w:t>
      </w:r>
      <w:r>
        <w:rPr>
          <w:rFonts w:hint="eastAsia" w:hAnsi="宋体"/>
          <w:sz w:val="24"/>
          <w:szCs w:val="24"/>
          <w:u w:val="single"/>
          <w:lang w:eastAsia="zh-CN"/>
        </w:rPr>
        <w:t>深圳市龙岗区城市建投投资集团有限公司</w:t>
      </w:r>
    </w:p>
    <w:p w14:paraId="3FD6C90F">
      <w:pPr>
        <w:pStyle w:val="2"/>
        <w:spacing w:line="520" w:lineRule="exact"/>
        <w:ind w:left="0" w:leftChars="0" w:firstLine="480" w:firstLineChars="200"/>
      </w:pPr>
      <w:r>
        <w:rPr>
          <w:rFonts w:hint="eastAsia"/>
          <w:sz w:val="24"/>
          <w:szCs w:val="24"/>
        </w:rPr>
        <w:t>为了确保本工程相关工作顺利进行，我方将严格执行建设工程招标投标管理的法律法规，并完全接受</w:t>
      </w:r>
      <w:r>
        <w:rPr>
          <w:rFonts w:hint="eastAsia"/>
          <w:sz w:val="24"/>
          <w:szCs w:val="24"/>
          <w:u w:val="single"/>
        </w:rPr>
        <w:t xml:space="preserve"> 智慧家园项目物业管理用房装修工程施工</w:t>
      </w:r>
      <w:r>
        <w:rPr>
          <w:rFonts w:hint="eastAsia"/>
          <w:sz w:val="24"/>
          <w:szCs w:val="24"/>
          <w:u w:val="single"/>
          <w:lang w:val="en-US" w:eastAsia="zh-CN"/>
        </w:rPr>
        <w:t xml:space="preserve"> </w:t>
      </w:r>
      <w:r>
        <w:rPr>
          <w:rFonts w:hint="eastAsia" w:ascii="Calibri"/>
          <w:sz w:val="24"/>
          <w:szCs w:val="24"/>
        </w:rPr>
        <w:t>的</w:t>
      </w:r>
      <w:r>
        <w:rPr>
          <w:rFonts w:hint="eastAsia"/>
          <w:sz w:val="24"/>
          <w:szCs w:val="24"/>
        </w:rPr>
        <w:t>招标文件所有内容，为此作出如下承诺</w:t>
      </w:r>
      <w:r>
        <w:rPr>
          <w:rFonts w:hint="eastAsia"/>
        </w:rPr>
        <w:t>：</w:t>
      </w:r>
    </w:p>
    <w:p w14:paraId="04AC7423">
      <w:pPr>
        <w:pStyle w:val="2"/>
        <w:spacing w:line="520" w:lineRule="exact"/>
        <w:ind w:firstLine="480" w:firstLineChars="200"/>
        <w:rPr>
          <w:sz w:val="24"/>
          <w:szCs w:val="24"/>
          <w:u w:val="single"/>
        </w:rPr>
      </w:pPr>
      <w:r>
        <w:rPr>
          <w:rFonts w:hint="eastAsia"/>
          <w:bCs/>
          <w:sz w:val="24"/>
          <w:szCs w:val="24"/>
          <w:u w:val="single"/>
        </w:rPr>
        <w:t>1、根</w:t>
      </w:r>
      <w:r>
        <w:rPr>
          <w:rFonts w:hint="eastAsia"/>
          <w:sz w:val="24"/>
          <w:szCs w:val="24"/>
          <w:u w:val="single"/>
        </w:rPr>
        <w:t xml:space="preserve">据企业自身情况，理性报价，不会以低于成本的报价竞标，报价金额      元。按招标文件要求承包本项目 </w:t>
      </w:r>
      <w:r>
        <w:rPr>
          <w:rFonts w:hint="eastAsia"/>
          <w:sz w:val="24"/>
          <w:szCs w:val="24"/>
          <w:u w:val="single"/>
          <w:lang w:val="en-US" w:eastAsia="zh-CN"/>
        </w:rPr>
        <w:t>施工 工作</w:t>
      </w:r>
      <w:r>
        <w:rPr>
          <w:rFonts w:hint="eastAsia" w:ascii="Calibri"/>
          <w:b/>
          <w:bCs/>
          <w:sz w:val="24"/>
          <w:szCs w:val="24"/>
          <w:u w:val="single"/>
        </w:rPr>
        <w:t xml:space="preserve"> </w:t>
      </w:r>
      <w:r>
        <w:rPr>
          <w:rFonts w:hint="eastAsia"/>
          <w:sz w:val="24"/>
          <w:szCs w:val="24"/>
          <w:u w:val="single"/>
        </w:rPr>
        <w:t>。否则，我方愿意承担任何风险。（投标人填写）</w:t>
      </w:r>
    </w:p>
    <w:p w14:paraId="25BA3846">
      <w:pPr>
        <w:spacing w:line="360" w:lineRule="auto"/>
        <w:ind w:firstLine="480" w:firstLineChars="200"/>
        <w:rPr>
          <w:rFonts w:ascii="宋体" w:hAnsi="宋体"/>
          <w:sz w:val="24"/>
          <w:szCs w:val="24"/>
        </w:rPr>
      </w:pPr>
      <w:r>
        <w:rPr>
          <w:rFonts w:hint="eastAsia" w:ascii="宋体" w:hAnsi="宋体"/>
          <w:bCs/>
          <w:sz w:val="24"/>
          <w:szCs w:val="24"/>
        </w:rPr>
        <w:t>2、</w:t>
      </w:r>
      <w:r>
        <w:rPr>
          <w:rFonts w:hint="eastAsia" w:ascii="宋体" w:hAnsi="宋体"/>
          <w:sz w:val="24"/>
          <w:szCs w:val="24"/>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672CC735">
      <w:pPr>
        <w:pStyle w:val="2"/>
        <w:spacing w:line="520" w:lineRule="exact"/>
        <w:ind w:firstLine="480" w:firstLineChars="200"/>
        <w:rPr>
          <w:bCs/>
          <w:sz w:val="24"/>
          <w:szCs w:val="24"/>
        </w:rPr>
      </w:pPr>
      <w:r>
        <w:rPr>
          <w:rFonts w:hint="eastAsia"/>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3F1B9FA2">
      <w:pPr>
        <w:spacing w:line="360" w:lineRule="auto"/>
        <w:ind w:firstLine="480" w:firstLineChars="200"/>
        <w:rPr>
          <w:rFonts w:ascii="宋体" w:hAnsi="宋体" w:cs="Courier New"/>
          <w:bCs/>
          <w:sz w:val="24"/>
          <w:szCs w:val="24"/>
        </w:rPr>
      </w:pPr>
      <w:r>
        <w:rPr>
          <w:rFonts w:hint="eastAsia" w:ascii="宋体" w:hAnsi="宋体" w:cs="Courier New"/>
          <w:bCs/>
          <w:sz w:val="24"/>
          <w:szCs w:val="24"/>
        </w:rPr>
        <w:t>4、一旦我方中标，将保证在收到委托函后</w:t>
      </w:r>
      <w:r>
        <w:rPr>
          <w:rFonts w:hint="eastAsia" w:ascii="宋体" w:hAnsi="宋体"/>
          <w:bCs/>
          <w:sz w:val="24"/>
          <w:szCs w:val="24"/>
          <w:u w:val="single"/>
        </w:rPr>
        <w:t xml:space="preserve"> 30 </w:t>
      </w:r>
      <w:r>
        <w:rPr>
          <w:rFonts w:hint="eastAsia" w:ascii="宋体" w:hAnsi="宋体" w:cs="Courier New"/>
          <w:bCs/>
          <w:sz w:val="24"/>
          <w:szCs w:val="24"/>
        </w:rPr>
        <w:t>日内，与贵方按招标文件、委托函中的内容签订合同文件，否则，视为我方自愿放弃中标资格。</w:t>
      </w:r>
    </w:p>
    <w:p w14:paraId="764CF7AF">
      <w:pPr>
        <w:spacing w:line="360" w:lineRule="auto"/>
        <w:ind w:firstLine="480" w:firstLineChars="200"/>
        <w:rPr>
          <w:rFonts w:ascii="宋体" w:hAnsi="宋体" w:cs="Courier New"/>
          <w:bCs/>
          <w:sz w:val="24"/>
          <w:szCs w:val="24"/>
        </w:rPr>
      </w:pPr>
      <w:r>
        <w:rPr>
          <w:rFonts w:hint="eastAsia" w:ascii="宋体" w:hAnsi="宋体"/>
          <w:sz w:val="24"/>
          <w:szCs w:val="24"/>
        </w:rPr>
        <w:t>5、除非另外达成协议并生效，贵方的委托函和本投标文件将成为约束双方的合同文件的组成部分。</w:t>
      </w:r>
    </w:p>
    <w:p w14:paraId="7430FFF4">
      <w:pPr>
        <w:adjustRightInd w:val="0"/>
        <w:snapToGrid w:val="0"/>
        <w:spacing w:line="560" w:lineRule="exact"/>
        <w:ind w:firstLine="480" w:firstLineChars="200"/>
        <w:rPr>
          <w:rFonts w:ascii="宋体" w:hAnsi="宋体"/>
          <w:bCs/>
          <w:sz w:val="24"/>
          <w:szCs w:val="24"/>
        </w:rPr>
      </w:pPr>
      <w:r>
        <w:rPr>
          <w:rFonts w:hint="eastAsia" w:ascii="宋体" w:hAnsi="宋体"/>
          <w:bCs/>
          <w:sz w:val="24"/>
          <w:szCs w:val="24"/>
        </w:rPr>
        <w:t>6、按规定完成本项目工程</w:t>
      </w:r>
      <w:r>
        <w:rPr>
          <w:rFonts w:hint="eastAsia" w:hAnsi="宋体"/>
          <w:sz w:val="24"/>
          <w:szCs w:val="24"/>
          <w:u w:val="single"/>
          <w:lang w:val="en-US" w:eastAsia="zh-CN"/>
        </w:rPr>
        <w:t>施工</w:t>
      </w:r>
      <w:r>
        <w:rPr>
          <w:rFonts w:hint="eastAsia" w:ascii="宋体" w:hAnsi="宋体"/>
          <w:bCs/>
          <w:sz w:val="24"/>
          <w:szCs w:val="24"/>
        </w:rPr>
        <w:t>工作，质量达到合格标准的要求，质量目标为合格。</w:t>
      </w:r>
    </w:p>
    <w:p w14:paraId="2160DBBB">
      <w:pPr>
        <w:pStyle w:val="2"/>
        <w:spacing w:line="520" w:lineRule="exact"/>
        <w:ind w:firstLine="480" w:firstLineChars="200"/>
        <w:rPr>
          <w:sz w:val="24"/>
          <w:szCs w:val="24"/>
        </w:rPr>
      </w:pPr>
      <w:r>
        <w:rPr>
          <w:rFonts w:hint="eastAsia"/>
          <w:sz w:val="24"/>
          <w:szCs w:val="24"/>
        </w:rPr>
        <w:t>7、如果违反本承诺书中任何条款，我方愿意接受：</w:t>
      </w:r>
    </w:p>
    <w:p w14:paraId="314A6DA3">
      <w:pPr>
        <w:pStyle w:val="2"/>
        <w:spacing w:line="520" w:lineRule="exact"/>
        <w:ind w:firstLine="480" w:firstLineChars="200"/>
        <w:rPr>
          <w:sz w:val="24"/>
          <w:szCs w:val="24"/>
        </w:rPr>
      </w:pPr>
      <w:r>
        <w:rPr>
          <w:rFonts w:hint="eastAsia"/>
          <w:sz w:val="24"/>
          <w:szCs w:val="24"/>
        </w:rPr>
        <w:t>（1）视作我方单方面违约，并按照合同规定向贵方支付违约金或解除合同；</w:t>
      </w:r>
    </w:p>
    <w:p w14:paraId="14CC32D3">
      <w:pPr>
        <w:pStyle w:val="2"/>
        <w:spacing w:line="520" w:lineRule="exact"/>
        <w:ind w:firstLine="480" w:firstLineChars="200"/>
        <w:rPr>
          <w:sz w:val="24"/>
          <w:szCs w:val="24"/>
        </w:rPr>
      </w:pPr>
      <w:r>
        <w:rPr>
          <w:rFonts w:hint="eastAsia"/>
          <w:sz w:val="24"/>
          <w:szCs w:val="24"/>
        </w:rPr>
        <w:t>（2）履约评价评定为合格及以下；</w:t>
      </w:r>
    </w:p>
    <w:p w14:paraId="2EB2F806">
      <w:pPr>
        <w:pStyle w:val="2"/>
        <w:spacing w:line="520" w:lineRule="exact"/>
        <w:ind w:firstLine="480" w:firstLineChars="200"/>
        <w:rPr>
          <w:sz w:val="24"/>
          <w:szCs w:val="24"/>
        </w:rPr>
      </w:pPr>
      <w:r>
        <w:rPr>
          <w:rFonts w:hint="eastAsia"/>
          <w:sz w:val="24"/>
          <w:szCs w:val="24"/>
        </w:rPr>
        <w:t>（3）招标人今后可拒绝我方参与投标；</w:t>
      </w:r>
    </w:p>
    <w:p w14:paraId="225D5B01">
      <w:pPr>
        <w:pStyle w:val="2"/>
        <w:spacing w:line="520" w:lineRule="exact"/>
        <w:ind w:firstLine="480" w:firstLineChars="200"/>
        <w:rPr>
          <w:sz w:val="24"/>
          <w:szCs w:val="24"/>
        </w:rPr>
      </w:pPr>
      <w:r>
        <w:rPr>
          <w:rFonts w:hint="eastAsia"/>
          <w:sz w:val="24"/>
          <w:szCs w:val="24"/>
        </w:rPr>
        <w:t>（4）建设行政主管部门或相关主管部门的不良行为记录、行政处罚。</w:t>
      </w:r>
    </w:p>
    <w:p w14:paraId="03E16AAF">
      <w:pPr>
        <w:spacing w:line="360" w:lineRule="auto"/>
        <w:rPr>
          <w:rFonts w:ascii="宋体" w:hAnsi="宋体"/>
          <w:sz w:val="24"/>
        </w:rPr>
      </w:pPr>
      <w:r>
        <w:rPr>
          <w:rFonts w:hint="eastAsia" w:ascii="宋体" w:hAnsi="宋体"/>
          <w:sz w:val="24"/>
        </w:rPr>
        <w:t>投标人（单位公章）：</w:t>
      </w:r>
    </w:p>
    <w:p w14:paraId="51F59327">
      <w:pPr>
        <w:spacing w:line="360" w:lineRule="auto"/>
        <w:rPr>
          <w:rFonts w:ascii="宋体" w:hAnsi="宋体"/>
          <w:sz w:val="24"/>
        </w:rPr>
      </w:pPr>
      <w:r>
        <w:rPr>
          <w:rFonts w:hint="eastAsia" w:ascii="宋体" w:hAnsi="宋体"/>
          <w:sz w:val="24"/>
        </w:rPr>
        <w:t>单位地址：</w:t>
      </w:r>
    </w:p>
    <w:p w14:paraId="162DA473">
      <w:pPr>
        <w:spacing w:line="360" w:lineRule="auto"/>
        <w:rPr>
          <w:rFonts w:hint="eastAsia" w:hAnsi="宋体"/>
          <w:bCs/>
          <w:sz w:val="24"/>
        </w:rPr>
      </w:pPr>
      <w:r>
        <w:rPr>
          <w:rFonts w:hint="eastAsia" w:ascii="宋体" w:hAnsi="宋体"/>
          <w:sz w:val="24"/>
        </w:rPr>
        <w:t xml:space="preserve">邮政编码：电话： 传真：                                  </w:t>
      </w:r>
      <w:r>
        <w:rPr>
          <w:rFonts w:hint="eastAsia" w:hAnsi="宋体"/>
          <w:bCs/>
          <w:sz w:val="24"/>
        </w:rPr>
        <w:t>年   月   日</w:t>
      </w:r>
    </w:p>
    <w:p w14:paraId="7D766F9F">
      <w:pPr>
        <w:pStyle w:val="51"/>
        <w:rPr>
          <w:rFonts w:hint="eastAsia" w:hAnsi="宋体"/>
          <w:bCs/>
          <w:sz w:val="24"/>
        </w:rPr>
      </w:pPr>
    </w:p>
    <w:p w14:paraId="01D209F7">
      <w:pPr>
        <w:pStyle w:val="51"/>
        <w:ind w:left="0" w:leftChars="0" w:firstLine="0" w:firstLineChars="0"/>
        <w:rPr>
          <w:rFonts w:hint="eastAsia" w:hAnsi="宋体"/>
          <w:bCs/>
          <w:sz w:val="24"/>
        </w:rPr>
      </w:pPr>
    </w:p>
    <w:p w14:paraId="2B9D83A6">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报 </w:t>
      </w:r>
      <w:r>
        <w:rPr>
          <w:rFonts w:hint="eastAsia" w:ascii="方正小标宋简体" w:hAnsi="方正小标宋简体" w:eastAsia="方正小标宋简体" w:cs="方正小标宋简体"/>
          <w:sz w:val="44"/>
          <w:szCs w:val="44"/>
          <w:lang w:eastAsia="zh-CN"/>
        </w:rPr>
        <w:t>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表</w:t>
      </w:r>
    </w:p>
    <w:p w14:paraId="7813C8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25BE4A36">
      <w:pPr>
        <w:spacing w:line="360" w:lineRule="auto"/>
        <w:ind w:firstLine="240" w:firstLineChars="100"/>
        <w:rPr>
          <w:rFonts w:hint="default" w:ascii="宋体" w:hAnsi="宋体" w:eastAsia="宋体"/>
          <w:sz w:val="24"/>
          <w:highlight w:val="none"/>
          <w:lang w:val="en-US" w:eastAsia="zh-CN"/>
        </w:rPr>
      </w:pPr>
      <w:r>
        <w:rPr>
          <w:rFonts w:hint="eastAsia" w:ascii="宋体" w:hAnsi="宋体"/>
          <w:sz w:val="24"/>
          <w:highlight w:val="none"/>
          <w:lang w:val="en-US" w:eastAsia="zh-CN"/>
        </w:rPr>
        <w:t>详见附件：智慧家园项目物业管理用房装修工程-工程量清单</w:t>
      </w:r>
    </w:p>
    <w:p w14:paraId="61433533">
      <w:pPr>
        <w:spacing w:line="360" w:lineRule="auto"/>
        <w:ind w:firstLine="240" w:firstLineChars="100"/>
        <w:rPr>
          <w:rFonts w:hint="eastAsia" w:ascii="宋体" w:hAnsi="宋体"/>
          <w:sz w:val="24"/>
          <w:highlight w:val="none"/>
        </w:rPr>
      </w:pPr>
    </w:p>
    <w:p w14:paraId="6E783747">
      <w:pPr>
        <w:spacing w:line="360" w:lineRule="auto"/>
        <w:ind w:firstLine="240" w:firstLineChars="100"/>
        <w:rPr>
          <w:rFonts w:hint="eastAsia" w:ascii="宋体" w:hAnsi="宋体"/>
          <w:sz w:val="24"/>
          <w:highlight w:val="none"/>
        </w:rPr>
      </w:pPr>
    </w:p>
    <w:p w14:paraId="320756F3">
      <w:pPr>
        <w:pStyle w:val="2"/>
        <w:spacing w:line="520" w:lineRule="exact"/>
        <w:ind w:firstLine="0" w:firstLineChars="0"/>
        <w:jc w:val="left"/>
        <w:rPr>
          <w:rStyle w:val="149"/>
          <w:rFonts w:hint="default" w:ascii="宋体" w:hAnsi="宋体" w:eastAsia="宋体" w:cs="宋体"/>
          <w:b/>
          <w:bCs/>
          <w:color w:val="auto"/>
          <w:sz w:val="32"/>
          <w:szCs w:val="32"/>
          <w:lang w:val="en-US" w:eastAsia="zh-CN"/>
        </w:rPr>
      </w:pPr>
      <w:r>
        <w:rPr>
          <w:rStyle w:val="149"/>
          <w:rFonts w:hint="eastAsia" w:hAnsi="宋体" w:cs="宋体"/>
          <w:b/>
          <w:bCs/>
          <w:color w:val="auto"/>
          <w:sz w:val="32"/>
          <w:szCs w:val="32"/>
          <w:lang w:val="en-US" w:eastAsia="zh-CN"/>
        </w:rPr>
        <w:t>备注：报价书需加盖公章</w:t>
      </w:r>
    </w:p>
    <w:bookmarkEnd w:id="30"/>
    <w:bookmarkEnd w:id="31"/>
    <w:bookmarkEnd w:id="32"/>
    <w:p w14:paraId="6E75CEF6">
      <w:pPr>
        <w:rPr>
          <w:sz w:val="44"/>
          <w:szCs w:val="44"/>
        </w:rPr>
      </w:pPr>
    </w:p>
    <w:sectPr>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CD8EC6-13BB-461D-BD18-02F945BF5E12}"/>
  </w:font>
  <w:font w:name="Courier New">
    <w:panose1 w:val="02070309020205020404"/>
    <w:charset w:val="01"/>
    <w:family w:val="modern"/>
    <w:pitch w:val="default"/>
    <w:sig w:usb0="E0002EFF" w:usb1="C0007843" w:usb2="00000009" w:usb3="00000000" w:csb0="400001FF" w:csb1="FFFF0000"/>
    <w:embedRegular r:id="rId2" w:fontKey="{59CEAD98-B944-4AC6-AF95-CC9C944617D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B1275E7-9F2E-44BB-B0BC-208C13425A11}"/>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00000000000000000"/>
    <w:charset w:val="86"/>
    <w:family w:val="swiss"/>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40001" w:csb1="00000000"/>
    <w:embedRegular r:id="rId4" w:fontKey="{46FFFD0E-8AC3-47E2-B7AB-1A35B561D759}"/>
  </w:font>
  <w:font w:name="仿宋_GB2312">
    <w:panose1 w:val="02010609030101010101"/>
    <w:charset w:val="86"/>
    <w:family w:val="modern"/>
    <w:pitch w:val="default"/>
    <w:sig w:usb0="00000001" w:usb1="080E0000" w:usb2="00000000" w:usb3="00000000" w:csb0="00040000" w:csb1="00000000"/>
    <w:embedRegular r:id="rId5" w:fontKey="{4E3A5FF5-5D10-46A5-9ECF-1D5047D3CEEB}"/>
  </w:font>
  <w:font w:name="仿宋">
    <w:panose1 w:val="02010609060101010101"/>
    <w:charset w:val="86"/>
    <w:family w:val="modern"/>
    <w:pitch w:val="default"/>
    <w:sig w:usb0="800002BF" w:usb1="38CF7CFA" w:usb2="00000016" w:usb3="00000000" w:csb0="00040001" w:csb1="00000000"/>
    <w:embedRegular r:id="rId6" w:fontKey="{B8408BAA-85CB-4480-AEFB-34CB0C721825}"/>
  </w:font>
  <w:font w:name="方正小标宋简体">
    <w:panose1 w:val="03000509000000000000"/>
    <w:charset w:val="86"/>
    <w:family w:val="auto"/>
    <w:pitch w:val="default"/>
    <w:sig w:usb0="00000001" w:usb1="080E0000" w:usb2="00000000" w:usb3="00000000" w:csb0="00040000" w:csb1="00000000"/>
    <w:embedRegular r:id="rId7" w:fontKey="{2FCE74B0-533E-4EFC-8BDC-FB93AE6AD6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539D">
    <w:pPr>
      <w:pStyle w:val="35"/>
      <w:jc w:val="center"/>
    </w:pPr>
  </w:p>
  <w:p w14:paraId="415FA2DF">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C9CDE">
    <w:pPr>
      <w:pStyle w:val="3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7DBFC9">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57DBFC9">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0B4C134D">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CD933">
    <w:pPr>
      <w:pStyle w:val="35"/>
      <w:jc w:val="center"/>
    </w:pPr>
    <w:r>
      <w:fldChar w:fldCharType="begin"/>
    </w:r>
    <w:r>
      <w:instrText xml:space="preserve">PAGE   \* MERGEFORMAT</w:instrText>
    </w:r>
    <w:r>
      <w:fldChar w:fldCharType="separate"/>
    </w:r>
    <w:r>
      <w:rPr>
        <w:lang w:val="zh-CN"/>
      </w:rPr>
      <w:t>１０１</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B608">
    <w:pPr>
      <w:pStyle w:val="35"/>
      <w:tabs>
        <w:tab w:val="left" w:pos="4716"/>
        <w:tab w:val="right" w:pos="8426"/>
      </w:tabs>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516F9A">
                          <w:pPr>
                            <w:tabs>
                              <w:tab w:val="center" w:pos="4153"/>
                              <w:tab w:val="left" w:pos="4716"/>
                              <w:tab w:val="right" w:pos="8306"/>
                              <w:tab w:val="right" w:pos="8426"/>
                            </w:tabs>
                            <w:jc w:val="right"/>
                          </w:pPr>
                        </w:p>
                        <w:p w14:paraId="67546F3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8516F9A">
                    <w:pPr>
                      <w:tabs>
                        <w:tab w:val="center" w:pos="4153"/>
                        <w:tab w:val="left" w:pos="4716"/>
                        <w:tab w:val="right" w:pos="8306"/>
                        <w:tab w:val="right" w:pos="8426"/>
                      </w:tabs>
                      <w:jc w:val="right"/>
                    </w:pPr>
                  </w:p>
                  <w:p w14:paraId="67546F37"/>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1A9C0A">
                          <w:pPr>
                            <w:tabs>
                              <w:tab w:val="center" w:pos="4153"/>
                              <w:tab w:val="left" w:pos="4716"/>
                              <w:tab w:val="right" w:pos="8306"/>
                              <w:tab w:val="right" w:pos="8426"/>
                            </w:tabs>
                            <w:jc w:val="right"/>
                          </w:pPr>
                        </w:p>
                        <w:p w14:paraId="1921405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21A9C0A">
                    <w:pPr>
                      <w:tabs>
                        <w:tab w:val="center" w:pos="4153"/>
                        <w:tab w:val="left" w:pos="4716"/>
                        <w:tab w:val="right" w:pos="8306"/>
                        <w:tab w:val="right" w:pos="8426"/>
                      </w:tabs>
                      <w:jc w:val="right"/>
                    </w:pPr>
                  </w:p>
                  <w:p w14:paraId="1921405F"/>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115C1E">
                          <w:pPr>
                            <w:tabs>
                              <w:tab w:val="center" w:pos="4153"/>
                              <w:tab w:val="left" w:pos="4716"/>
                              <w:tab w:val="right" w:pos="8306"/>
                              <w:tab w:val="right" w:pos="8426"/>
                            </w:tabs>
                            <w:jc w:val="right"/>
                          </w:pPr>
                        </w:p>
                        <w:p w14:paraId="5FC120B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F115C1E">
                    <w:pPr>
                      <w:tabs>
                        <w:tab w:val="center" w:pos="4153"/>
                        <w:tab w:val="left" w:pos="4716"/>
                        <w:tab w:val="right" w:pos="8306"/>
                        <w:tab w:val="right" w:pos="8426"/>
                      </w:tabs>
                      <w:jc w:val="right"/>
                    </w:pPr>
                  </w:p>
                  <w:p w14:paraId="5FC120BF"/>
                </w:txbxContent>
              </v:textbox>
            </v:shape>
          </w:pict>
        </mc:Fallback>
      </mc:AlternateContent>
    </w:r>
  </w:p>
  <w:p w14:paraId="2C94E94B">
    <w:pPr>
      <w:pStyle w:val="35"/>
      <w:tabs>
        <w:tab w:val="left" w:pos="4761"/>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8E069">
    <w:pPr>
      <w:pStyle w:val="3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0B47D">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B0B47D">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01E754A9">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0FD47">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ABB2B">
    <w:pPr>
      <w:pStyle w:val="36"/>
      <w:pBdr>
        <w:bottom w:val="none" w:color="auto" w:sz="0" w:space="0"/>
      </w:pBdr>
    </w:pPr>
    <w:r>
      <w:pict>
        <v:shape id="PowerPlusWaterMarkObject30306" o:spid="_x0000_s4098" o:spt="136" type="#_x0000_t136" style="position:absolute;left:0pt;height:145.65pt;width:441.6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模本合同"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2E12">
    <w:pPr>
      <w:pStyle w:val="36"/>
      <w:pBdr>
        <w:bottom w:val="none" w:color="auto" w:sz="0" w:space="1"/>
      </w:pBdr>
      <w:jc w:val="left"/>
      <w:rPr>
        <w:rFonts w:ascii="仿宋_GB2312" w:hAnsi="仿宋_GB2312" w:eastAsia="仿宋_GB2312"/>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C3D5">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2EC6D"/>
    <w:multiLevelType w:val="singleLevel"/>
    <w:tmpl w:val="DDF2EC6D"/>
    <w:lvl w:ilvl="0" w:tentative="0">
      <w:start w:val="1"/>
      <w:numFmt w:val="chineseCounting"/>
      <w:suff w:val="nothing"/>
      <w:lvlText w:val="%1、"/>
      <w:lvlJc w:val="left"/>
      <w:rPr>
        <w:rFonts w:hint="eastAsia"/>
      </w:rPr>
    </w:lvl>
  </w:abstractNum>
  <w:abstractNum w:abstractNumId="1">
    <w:nsid w:val="09F3727D"/>
    <w:multiLevelType w:val="multilevel"/>
    <w:tmpl w:val="09F3727D"/>
    <w:lvl w:ilvl="0" w:tentative="0">
      <w:start w:val="1"/>
      <w:numFmt w:val="decimal"/>
      <w:pStyle w:val="106"/>
      <w:lvlText w:val="%1.0"/>
      <w:lvlJc w:val="left"/>
      <w:pPr>
        <w:tabs>
          <w:tab w:val="left" w:pos="578"/>
        </w:tabs>
        <w:ind w:left="578" w:hanging="578"/>
      </w:pPr>
      <w:rPr>
        <w:rFonts w:hint="default" w:ascii="Arial" w:hAnsi="Arial"/>
        <w:b/>
        <w:i w:val="0"/>
        <w:color w:val="auto"/>
        <w:sz w:val="32"/>
      </w:rPr>
    </w:lvl>
    <w:lvl w:ilvl="1" w:tentative="0">
      <w:start w:val="1"/>
      <w:numFmt w:val="decimal"/>
      <w:pStyle w:val="109"/>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5"/>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4Yjc5N2RjMzhmNTBlYjUzMTNjMTU1ZTliY2ExY2M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5E4"/>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6BF0"/>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236E"/>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3F66EA"/>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96168"/>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1439"/>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148C"/>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98186C"/>
    <w:rsid w:val="01AC5DF9"/>
    <w:rsid w:val="01DD41C2"/>
    <w:rsid w:val="01E345AE"/>
    <w:rsid w:val="02790092"/>
    <w:rsid w:val="02F42900"/>
    <w:rsid w:val="02FA1195"/>
    <w:rsid w:val="0302618A"/>
    <w:rsid w:val="044429C2"/>
    <w:rsid w:val="04695794"/>
    <w:rsid w:val="04810C52"/>
    <w:rsid w:val="04A05004"/>
    <w:rsid w:val="05056095"/>
    <w:rsid w:val="055B7332"/>
    <w:rsid w:val="056A3FE9"/>
    <w:rsid w:val="059F4FD1"/>
    <w:rsid w:val="05BE2B4E"/>
    <w:rsid w:val="05D070DB"/>
    <w:rsid w:val="061D0302"/>
    <w:rsid w:val="064F66A3"/>
    <w:rsid w:val="066F200F"/>
    <w:rsid w:val="067C7D80"/>
    <w:rsid w:val="06A00B12"/>
    <w:rsid w:val="06D7755B"/>
    <w:rsid w:val="06E6452A"/>
    <w:rsid w:val="0714449E"/>
    <w:rsid w:val="071A149F"/>
    <w:rsid w:val="07205F42"/>
    <w:rsid w:val="072D7269"/>
    <w:rsid w:val="074273A6"/>
    <w:rsid w:val="07B77118"/>
    <w:rsid w:val="08254790"/>
    <w:rsid w:val="089963F4"/>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E307CB"/>
    <w:rsid w:val="0C1F073A"/>
    <w:rsid w:val="0C6101CD"/>
    <w:rsid w:val="0C7C38C4"/>
    <w:rsid w:val="0C871385"/>
    <w:rsid w:val="0CC83B28"/>
    <w:rsid w:val="0CC87C49"/>
    <w:rsid w:val="0CCA3B52"/>
    <w:rsid w:val="0CE43B33"/>
    <w:rsid w:val="0D344BBB"/>
    <w:rsid w:val="0DA74227"/>
    <w:rsid w:val="0DC437DB"/>
    <w:rsid w:val="0E1C4090"/>
    <w:rsid w:val="0E1C5AFD"/>
    <w:rsid w:val="0E3E5F3C"/>
    <w:rsid w:val="0E823F28"/>
    <w:rsid w:val="0E8D6C2C"/>
    <w:rsid w:val="0EB12E2A"/>
    <w:rsid w:val="0EBE69D9"/>
    <w:rsid w:val="0ECB20BE"/>
    <w:rsid w:val="0EEB113D"/>
    <w:rsid w:val="0F0C75A2"/>
    <w:rsid w:val="0F8B77D5"/>
    <w:rsid w:val="0FBE5D9F"/>
    <w:rsid w:val="0FD36B3B"/>
    <w:rsid w:val="0FD47E3C"/>
    <w:rsid w:val="1018216D"/>
    <w:rsid w:val="102173FB"/>
    <w:rsid w:val="10256C94"/>
    <w:rsid w:val="1028597F"/>
    <w:rsid w:val="1051696C"/>
    <w:rsid w:val="107728F9"/>
    <w:rsid w:val="107C0AD5"/>
    <w:rsid w:val="10A64D73"/>
    <w:rsid w:val="10AD1231"/>
    <w:rsid w:val="10B306BD"/>
    <w:rsid w:val="10D4173C"/>
    <w:rsid w:val="10FE73BE"/>
    <w:rsid w:val="111B4AA2"/>
    <w:rsid w:val="11497A7D"/>
    <w:rsid w:val="114B1D4A"/>
    <w:rsid w:val="116D5365"/>
    <w:rsid w:val="121477AB"/>
    <w:rsid w:val="1220793F"/>
    <w:rsid w:val="1227630D"/>
    <w:rsid w:val="125D64CF"/>
    <w:rsid w:val="12B16A9E"/>
    <w:rsid w:val="13272F7A"/>
    <w:rsid w:val="13361405"/>
    <w:rsid w:val="13767A09"/>
    <w:rsid w:val="137A2F78"/>
    <w:rsid w:val="13B9577F"/>
    <w:rsid w:val="1452749D"/>
    <w:rsid w:val="14922F3A"/>
    <w:rsid w:val="14FD2A2E"/>
    <w:rsid w:val="15081429"/>
    <w:rsid w:val="1511795E"/>
    <w:rsid w:val="153D5CAE"/>
    <w:rsid w:val="158A718E"/>
    <w:rsid w:val="15EA5123"/>
    <w:rsid w:val="16313179"/>
    <w:rsid w:val="165923BB"/>
    <w:rsid w:val="16B56EA5"/>
    <w:rsid w:val="170610F8"/>
    <w:rsid w:val="17126E39"/>
    <w:rsid w:val="176A56C2"/>
    <w:rsid w:val="176D2C29"/>
    <w:rsid w:val="179C380B"/>
    <w:rsid w:val="17A57CB0"/>
    <w:rsid w:val="17AB0959"/>
    <w:rsid w:val="17B648CC"/>
    <w:rsid w:val="17DE1291"/>
    <w:rsid w:val="18AB0FDA"/>
    <w:rsid w:val="18AD553C"/>
    <w:rsid w:val="197039DA"/>
    <w:rsid w:val="197772D6"/>
    <w:rsid w:val="19A67A64"/>
    <w:rsid w:val="19BF0C31"/>
    <w:rsid w:val="19DE2198"/>
    <w:rsid w:val="19E43962"/>
    <w:rsid w:val="19E9200D"/>
    <w:rsid w:val="1A6D597B"/>
    <w:rsid w:val="1A732F49"/>
    <w:rsid w:val="1ACC2467"/>
    <w:rsid w:val="1ACE4D14"/>
    <w:rsid w:val="1AD027EB"/>
    <w:rsid w:val="1B1B5341"/>
    <w:rsid w:val="1B2C5E4B"/>
    <w:rsid w:val="1B4874D7"/>
    <w:rsid w:val="1C2844A0"/>
    <w:rsid w:val="1C525155"/>
    <w:rsid w:val="1C8E406A"/>
    <w:rsid w:val="1CF27B09"/>
    <w:rsid w:val="1CFF1026"/>
    <w:rsid w:val="1D9B7242"/>
    <w:rsid w:val="1DEA3522"/>
    <w:rsid w:val="1E053181"/>
    <w:rsid w:val="1E474BEE"/>
    <w:rsid w:val="1E7B2E90"/>
    <w:rsid w:val="1E835E6A"/>
    <w:rsid w:val="1EA705ED"/>
    <w:rsid w:val="1EB401AB"/>
    <w:rsid w:val="1EB67161"/>
    <w:rsid w:val="1ECC77C3"/>
    <w:rsid w:val="1F302C65"/>
    <w:rsid w:val="1F44792A"/>
    <w:rsid w:val="1F6670ED"/>
    <w:rsid w:val="1FE271D5"/>
    <w:rsid w:val="1FE501FD"/>
    <w:rsid w:val="1FEB5623"/>
    <w:rsid w:val="1FEF712E"/>
    <w:rsid w:val="20611216"/>
    <w:rsid w:val="20621FC3"/>
    <w:rsid w:val="20E35BE9"/>
    <w:rsid w:val="21156A1C"/>
    <w:rsid w:val="21310B1A"/>
    <w:rsid w:val="21540B6C"/>
    <w:rsid w:val="21611713"/>
    <w:rsid w:val="218A325D"/>
    <w:rsid w:val="21A41CB8"/>
    <w:rsid w:val="21F42BC1"/>
    <w:rsid w:val="22203EB3"/>
    <w:rsid w:val="22255D12"/>
    <w:rsid w:val="227605BB"/>
    <w:rsid w:val="22BD7457"/>
    <w:rsid w:val="22E36C68"/>
    <w:rsid w:val="23476928"/>
    <w:rsid w:val="23550037"/>
    <w:rsid w:val="235E3944"/>
    <w:rsid w:val="237D78D0"/>
    <w:rsid w:val="23B073D3"/>
    <w:rsid w:val="23DF5BCA"/>
    <w:rsid w:val="23E502C6"/>
    <w:rsid w:val="2422296D"/>
    <w:rsid w:val="2426102C"/>
    <w:rsid w:val="244E349E"/>
    <w:rsid w:val="24666EE4"/>
    <w:rsid w:val="24701946"/>
    <w:rsid w:val="24BA2272"/>
    <w:rsid w:val="25280AEE"/>
    <w:rsid w:val="25E42F4C"/>
    <w:rsid w:val="261074AD"/>
    <w:rsid w:val="261C46B1"/>
    <w:rsid w:val="267F4B9F"/>
    <w:rsid w:val="26F42E9C"/>
    <w:rsid w:val="27D87113"/>
    <w:rsid w:val="27E75A20"/>
    <w:rsid w:val="280D4269"/>
    <w:rsid w:val="282506AE"/>
    <w:rsid w:val="284B0B33"/>
    <w:rsid w:val="289D1723"/>
    <w:rsid w:val="2914325F"/>
    <w:rsid w:val="29520EF9"/>
    <w:rsid w:val="29613214"/>
    <w:rsid w:val="2A2B045D"/>
    <w:rsid w:val="2A2F63DF"/>
    <w:rsid w:val="2A536944"/>
    <w:rsid w:val="2A68129C"/>
    <w:rsid w:val="2A703001"/>
    <w:rsid w:val="2ACA0963"/>
    <w:rsid w:val="2ACE5E57"/>
    <w:rsid w:val="2AFE6487"/>
    <w:rsid w:val="2B277B63"/>
    <w:rsid w:val="2B670D75"/>
    <w:rsid w:val="2B874C1C"/>
    <w:rsid w:val="2C073CF8"/>
    <w:rsid w:val="2C1F3615"/>
    <w:rsid w:val="2C4F7C16"/>
    <w:rsid w:val="2C743B66"/>
    <w:rsid w:val="2CAC008E"/>
    <w:rsid w:val="2CE23E10"/>
    <w:rsid w:val="2D63682A"/>
    <w:rsid w:val="2D8F7C42"/>
    <w:rsid w:val="2DE2584A"/>
    <w:rsid w:val="2E49213C"/>
    <w:rsid w:val="2E67006F"/>
    <w:rsid w:val="2E694D3E"/>
    <w:rsid w:val="2E773C34"/>
    <w:rsid w:val="2E875C48"/>
    <w:rsid w:val="2E9824AB"/>
    <w:rsid w:val="2E9B4249"/>
    <w:rsid w:val="2E9D17EB"/>
    <w:rsid w:val="2EB56D76"/>
    <w:rsid w:val="2EB8130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1C95E5B"/>
    <w:rsid w:val="32290279"/>
    <w:rsid w:val="32527C83"/>
    <w:rsid w:val="32655415"/>
    <w:rsid w:val="3294292F"/>
    <w:rsid w:val="32C51A10"/>
    <w:rsid w:val="32F07D5C"/>
    <w:rsid w:val="33A06705"/>
    <w:rsid w:val="33D80D3F"/>
    <w:rsid w:val="33EE637D"/>
    <w:rsid w:val="344352E2"/>
    <w:rsid w:val="34624864"/>
    <w:rsid w:val="346D778B"/>
    <w:rsid w:val="34AE59AA"/>
    <w:rsid w:val="353A3B24"/>
    <w:rsid w:val="35746954"/>
    <w:rsid w:val="35B629C4"/>
    <w:rsid w:val="35F72828"/>
    <w:rsid w:val="360064F8"/>
    <w:rsid w:val="3633583B"/>
    <w:rsid w:val="363C359C"/>
    <w:rsid w:val="367B0D86"/>
    <w:rsid w:val="368802A2"/>
    <w:rsid w:val="369B06A2"/>
    <w:rsid w:val="36AB2F9F"/>
    <w:rsid w:val="36B27BFF"/>
    <w:rsid w:val="36DE2E4C"/>
    <w:rsid w:val="36F11025"/>
    <w:rsid w:val="37247CD6"/>
    <w:rsid w:val="3747417A"/>
    <w:rsid w:val="37B85CE3"/>
    <w:rsid w:val="37C125AD"/>
    <w:rsid w:val="37CB0B6E"/>
    <w:rsid w:val="37FB2519"/>
    <w:rsid w:val="37FD2567"/>
    <w:rsid w:val="3860698D"/>
    <w:rsid w:val="386F51CA"/>
    <w:rsid w:val="387F08C5"/>
    <w:rsid w:val="390943B3"/>
    <w:rsid w:val="391D76E1"/>
    <w:rsid w:val="39C2411A"/>
    <w:rsid w:val="39F111DE"/>
    <w:rsid w:val="3A1D3D59"/>
    <w:rsid w:val="3AA71527"/>
    <w:rsid w:val="3AE3177E"/>
    <w:rsid w:val="3B7E6C11"/>
    <w:rsid w:val="3BAA4A5F"/>
    <w:rsid w:val="3BCF3B6A"/>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E0755D2"/>
    <w:rsid w:val="3E873A58"/>
    <w:rsid w:val="3EA7555E"/>
    <w:rsid w:val="3EA826CA"/>
    <w:rsid w:val="3ECB3379"/>
    <w:rsid w:val="3EF35410"/>
    <w:rsid w:val="3EF64E80"/>
    <w:rsid w:val="3EF74D5D"/>
    <w:rsid w:val="3F6566F9"/>
    <w:rsid w:val="40095305"/>
    <w:rsid w:val="400A016F"/>
    <w:rsid w:val="401869D9"/>
    <w:rsid w:val="4073545D"/>
    <w:rsid w:val="40EA2C99"/>
    <w:rsid w:val="411E4CFA"/>
    <w:rsid w:val="422C654A"/>
    <w:rsid w:val="42474BD5"/>
    <w:rsid w:val="42847BD2"/>
    <w:rsid w:val="428739CE"/>
    <w:rsid w:val="42BC3919"/>
    <w:rsid w:val="42E0623A"/>
    <w:rsid w:val="42ED199D"/>
    <w:rsid w:val="42F830BA"/>
    <w:rsid w:val="43001D3E"/>
    <w:rsid w:val="435D7C4C"/>
    <w:rsid w:val="4373669D"/>
    <w:rsid w:val="438927DA"/>
    <w:rsid w:val="43A10AE3"/>
    <w:rsid w:val="43A24D63"/>
    <w:rsid w:val="44C21E7F"/>
    <w:rsid w:val="44D409B2"/>
    <w:rsid w:val="4508749B"/>
    <w:rsid w:val="451A1619"/>
    <w:rsid w:val="451A208F"/>
    <w:rsid w:val="4538652E"/>
    <w:rsid w:val="45446C5B"/>
    <w:rsid w:val="455A3BE0"/>
    <w:rsid w:val="4589522E"/>
    <w:rsid w:val="461D5993"/>
    <w:rsid w:val="463E3B5B"/>
    <w:rsid w:val="46A40348"/>
    <w:rsid w:val="46A42944"/>
    <w:rsid w:val="46F44C0D"/>
    <w:rsid w:val="47F10090"/>
    <w:rsid w:val="480A6EB1"/>
    <w:rsid w:val="48DB2498"/>
    <w:rsid w:val="491178F4"/>
    <w:rsid w:val="494D402D"/>
    <w:rsid w:val="49810EE2"/>
    <w:rsid w:val="4A340D7B"/>
    <w:rsid w:val="4A5F084F"/>
    <w:rsid w:val="4A754721"/>
    <w:rsid w:val="4A83134F"/>
    <w:rsid w:val="4AD621E9"/>
    <w:rsid w:val="4B04790D"/>
    <w:rsid w:val="4B1C5E3D"/>
    <w:rsid w:val="4B3D2633"/>
    <w:rsid w:val="4B513EF9"/>
    <w:rsid w:val="4B8D60C9"/>
    <w:rsid w:val="4C3463E6"/>
    <w:rsid w:val="4C795D79"/>
    <w:rsid w:val="4C804ECE"/>
    <w:rsid w:val="4CA06FAD"/>
    <w:rsid w:val="4CC01258"/>
    <w:rsid w:val="4D25209F"/>
    <w:rsid w:val="4D5F0096"/>
    <w:rsid w:val="4D692F51"/>
    <w:rsid w:val="4D823B9B"/>
    <w:rsid w:val="4DC21407"/>
    <w:rsid w:val="4E1D544D"/>
    <w:rsid w:val="4E7E543D"/>
    <w:rsid w:val="4E8F4E02"/>
    <w:rsid w:val="4E927C05"/>
    <w:rsid w:val="4EB3025E"/>
    <w:rsid w:val="4F174104"/>
    <w:rsid w:val="4F262EAE"/>
    <w:rsid w:val="4F493CE1"/>
    <w:rsid w:val="4FAA5715"/>
    <w:rsid w:val="4FB8704D"/>
    <w:rsid w:val="4FD03A76"/>
    <w:rsid w:val="4FDA6D84"/>
    <w:rsid w:val="4FDD4C36"/>
    <w:rsid w:val="50090FD4"/>
    <w:rsid w:val="503A0AC9"/>
    <w:rsid w:val="50AC1BAF"/>
    <w:rsid w:val="50DB41FF"/>
    <w:rsid w:val="512340BA"/>
    <w:rsid w:val="513F6058"/>
    <w:rsid w:val="514F1E89"/>
    <w:rsid w:val="5214061D"/>
    <w:rsid w:val="526F6D01"/>
    <w:rsid w:val="52BF6755"/>
    <w:rsid w:val="52C553E8"/>
    <w:rsid w:val="531269BE"/>
    <w:rsid w:val="532B0085"/>
    <w:rsid w:val="53417BDE"/>
    <w:rsid w:val="535E1B1A"/>
    <w:rsid w:val="538E4E0E"/>
    <w:rsid w:val="53986FA1"/>
    <w:rsid w:val="539B3D11"/>
    <w:rsid w:val="53BD7396"/>
    <w:rsid w:val="53CE4D8C"/>
    <w:rsid w:val="53FE35C2"/>
    <w:rsid w:val="540168F4"/>
    <w:rsid w:val="548430A3"/>
    <w:rsid w:val="54CD7CB9"/>
    <w:rsid w:val="55056B34"/>
    <w:rsid w:val="55684A1A"/>
    <w:rsid w:val="559521BD"/>
    <w:rsid w:val="55AD43BA"/>
    <w:rsid w:val="55C81083"/>
    <w:rsid w:val="55CA6BD2"/>
    <w:rsid w:val="56231C41"/>
    <w:rsid w:val="564163D1"/>
    <w:rsid w:val="56AC2568"/>
    <w:rsid w:val="56C41358"/>
    <w:rsid w:val="56DE70A5"/>
    <w:rsid w:val="57125BA7"/>
    <w:rsid w:val="5782519E"/>
    <w:rsid w:val="57A44EC0"/>
    <w:rsid w:val="57DC3357"/>
    <w:rsid w:val="580F7106"/>
    <w:rsid w:val="582664D1"/>
    <w:rsid w:val="58310F9B"/>
    <w:rsid w:val="58311772"/>
    <w:rsid w:val="583A6878"/>
    <w:rsid w:val="58754A86"/>
    <w:rsid w:val="58795B3D"/>
    <w:rsid w:val="587B2CDE"/>
    <w:rsid w:val="588A63B0"/>
    <w:rsid w:val="58E54DF2"/>
    <w:rsid w:val="593475CA"/>
    <w:rsid w:val="596F44BA"/>
    <w:rsid w:val="5976568E"/>
    <w:rsid w:val="59BE55DC"/>
    <w:rsid w:val="59EC5D9C"/>
    <w:rsid w:val="5A1A7162"/>
    <w:rsid w:val="5A2F0903"/>
    <w:rsid w:val="5A3508BF"/>
    <w:rsid w:val="5A753690"/>
    <w:rsid w:val="5AC35526"/>
    <w:rsid w:val="5AD230A1"/>
    <w:rsid w:val="5AE75489"/>
    <w:rsid w:val="5AFC3F58"/>
    <w:rsid w:val="5B0E4680"/>
    <w:rsid w:val="5B543D4B"/>
    <w:rsid w:val="5B9C65CF"/>
    <w:rsid w:val="5BFA2E1E"/>
    <w:rsid w:val="5C021D5C"/>
    <w:rsid w:val="5C12484B"/>
    <w:rsid w:val="5CD033D2"/>
    <w:rsid w:val="5CD746C6"/>
    <w:rsid w:val="5CEC60CF"/>
    <w:rsid w:val="5D02224E"/>
    <w:rsid w:val="5D0B433F"/>
    <w:rsid w:val="5D1F7DEB"/>
    <w:rsid w:val="5D256F17"/>
    <w:rsid w:val="5D566611"/>
    <w:rsid w:val="5D772828"/>
    <w:rsid w:val="5D7A3273"/>
    <w:rsid w:val="5D896E22"/>
    <w:rsid w:val="5E0A4A50"/>
    <w:rsid w:val="5E473C9A"/>
    <w:rsid w:val="5F2D0E8F"/>
    <w:rsid w:val="5FEB2BA4"/>
    <w:rsid w:val="609A4BC4"/>
    <w:rsid w:val="60D0211B"/>
    <w:rsid w:val="60F5158E"/>
    <w:rsid w:val="6104719B"/>
    <w:rsid w:val="61406F7C"/>
    <w:rsid w:val="6171498D"/>
    <w:rsid w:val="61EE441B"/>
    <w:rsid w:val="61F20540"/>
    <w:rsid w:val="620D3BAE"/>
    <w:rsid w:val="62483940"/>
    <w:rsid w:val="62756CD8"/>
    <w:rsid w:val="62C55526"/>
    <w:rsid w:val="62EE64CA"/>
    <w:rsid w:val="62F30E54"/>
    <w:rsid w:val="63003C41"/>
    <w:rsid w:val="63F7395E"/>
    <w:rsid w:val="64104514"/>
    <w:rsid w:val="642369C3"/>
    <w:rsid w:val="64433C52"/>
    <w:rsid w:val="645C4BBE"/>
    <w:rsid w:val="645D0573"/>
    <w:rsid w:val="64E533D4"/>
    <w:rsid w:val="65640DB5"/>
    <w:rsid w:val="65EF244B"/>
    <w:rsid w:val="66215B04"/>
    <w:rsid w:val="66266BF4"/>
    <w:rsid w:val="66342560"/>
    <w:rsid w:val="663F469F"/>
    <w:rsid w:val="667E3DD4"/>
    <w:rsid w:val="669B2A1A"/>
    <w:rsid w:val="66BA1864"/>
    <w:rsid w:val="66FD01A0"/>
    <w:rsid w:val="67893B07"/>
    <w:rsid w:val="67DD08A6"/>
    <w:rsid w:val="67F535C2"/>
    <w:rsid w:val="68A51D8F"/>
    <w:rsid w:val="68AD105E"/>
    <w:rsid w:val="68E63001"/>
    <w:rsid w:val="6902695F"/>
    <w:rsid w:val="692D337C"/>
    <w:rsid w:val="69507E77"/>
    <w:rsid w:val="69CE7367"/>
    <w:rsid w:val="6A3A435E"/>
    <w:rsid w:val="6A911D7B"/>
    <w:rsid w:val="6ABE35C7"/>
    <w:rsid w:val="6B1765A5"/>
    <w:rsid w:val="6B3C4D16"/>
    <w:rsid w:val="6C0C66AB"/>
    <w:rsid w:val="6C1D5A8D"/>
    <w:rsid w:val="6C506D05"/>
    <w:rsid w:val="6C781169"/>
    <w:rsid w:val="6CAB3449"/>
    <w:rsid w:val="6CB5299E"/>
    <w:rsid w:val="6CC91D04"/>
    <w:rsid w:val="6CD754CF"/>
    <w:rsid w:val="6CD9476D"/>
    <w:rsid w:val="6D3F6E6A"/>
    <w:rsid w:val="6E5626ED"/>
    <w:rsid w:val="6E8F7551"/>
    <w:rsid w:val="6E942999"/>
    <w:rsid w:val="6EB966E9"/>
    <w:rsid w:val="6ECA468E"/>
    <w:rsid w:val="6F241291"/>
    <w:rsid w:val="6F660A69"/>
    <w:rsid w:val="6FCC795E"/>
    <w:rsid w:val="700A4990"/>
    <w:rsid w:val="700F154C"/>
    <w:rsid w:val="7061300B"/>
    <w:rsid w:val="714C49C7"/>
    <w:rsid w:val="71EC67DB"/>
    <w:rsid w:val="72221950"/>
    <w:rsid w:val="72AD02ED"/>
    <w:rsid w:val="72F80286"/>
    <w:rsid w:val="73C21591"/>
    <w:rsid w:val="74396504"/>
    <w:rsid w:val="74B06E8E"/>
    <w:rsid w:val="74B100E6"/>
    <w:rsid w:val="74E042F3"/>
    <w:rsid w:val="75001B2D"/>
    <w:rsid w:val="751A6115"/>
    <w:rsid w:val="752F13FF"/>
    <w:rsid w:val="75CD688F"/>
    <w:rsid w:val="75CF7149"/>
    <w:rsid w:val="765242FC"/>
    <w:rsid w:val="766B1D21"/>
    <w:rsid w:val="770E5CDE"/>
    <w:rsid w:val="772D017A"/>
    <w:rsid w:val="775D7768"/>
    <w:rsid w:val="780473EC"/>
    <w:rsid w:val="780B4978"/>
    <w:rsid w:val="781B18E6"/>
    <w:rsid w:val="78732E72"/>
    <w:rsid w:val="78FF727A"/>
    <w:rsid w:val="790F0AA9"/>
    <w:rsid w:val="790F45F0"/>
    <w:rsid w:val="7919031A"/>
    <w:rsid w:val="794022C6"/>
    <w:rsid w:val="7957552B"/>
    <w:rsid w:val="79CE505D"/>
    <w:rsid w:val="7A5B19C1"/>
    <w:rsid w:val="7A5C1D7E"/>
    <w:rsid w:val="7A7B5E5C"/>
    <w:rsid w:val="7AC34054"/>
    <w:rsid w:val="7AD6524D"/>
    <w:rsid w:val="7AD71832"/>
    <w:rsid w:val="7B8F410F"/>
    <w:rsid w:val="7BF55D0D"/>
    <w:rsid w:val="7C2C1A43"/>
    <w:rsid w:val="7C2C344B"/>
    <w:rsid w:val="7CD34258"/>
    <w:rsid w:val="7D1D57F3"/>
    <w:rsid w:val="7D4A7313"/>
    <w:rsid w:val="7D62210E"/>
    <w:rsid w:val="7DA737B9"/>
    <w:rsid w:val="7DF41070"/>
    <w:rsid w:val="7E1069C4"/>
    <w:rsid w:val="7E3E5CEE"/>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77"/>
    <w:qFormat/>
    <w:uiPriority w:val="0"/>
    <w:pPr>
      <w:ind w:left="1008" w:hanging="432"/>
      <w:outlineLvl w:val="4"/>
    </w:pPr>
    <w:rPr>
      <w:rFonts w:ascii="Times New Roman" w:hAnsi="Times New Roman"/>
      <w:kern w:val="0"/>
      <w:sz w:val="20"/>
      <w:szCs w:val="20"/>
    </w:rPr>
  </w:style>
  <w:style w:type="paragraph" w:styleId="9">
    <w:name w:val="heading 6"/>
    <w:basedOn w:val="1"/>
    <w:next w:val="1"/>
    <w:link w:val="78"/>
    <w:qFormat/>
    <w:uiPriority w:val="0"/>
    <w:pPr>
      <w:ind w:left="1152" w:hanging="432"/>
      <w:outlineLvl w:val="5"/>
    </w:pPr>
    <w:rPr>
      <w:rFonts w:ascii="Times New Roman" w:hAnsi="Times New Roman"/>
      <w:kern w:val="0"/>
      <w:sz w:val="20"/>
      <w:szCs w:val="20"/>
    </w:rPr>
  </w:style>
  <w:style w:type="paragraph" w:styleId="10">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80"/>
    <w:qFormat/>
    <w:uiPriority w:val="0"/>
    <w:pPr>
      <w:ind w:left="1440" w:hanging="432"/>
      <w:outlineLvl w:val="7"/>
    </w:pPr>
    <w:rPr>
      <w:rFonts w:ascii="Times New Roman" w:hAnsi="Times New Roman"/>
      <w:kern w:val="0"/>
      <w:sz w:val="20"/>
      <w:szCs w:val="20"/>
    </w:rPr>
  </w:style>
  <w:style w:type="paragraph" w:styleId="12">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91"/>
    <w:qFormat/>
    <w:uiPriority w:val="0"/>
    <w:pPr>
      <w:spacing w:line="520" w:lineRule="exact"/>
      <w:ind w:firstLine="1285" w:firstLineChars="400"/>
      <w:jc w:val="left"/>
      <w:pPrChange w:id="0" w:author="磊 俞" w:date="2024-05-09T16:08:00Z">
        <w:pPr>
          <w:widowControl w:val="0"/>
          <w:jc w:val="both"/>
        </w:pPr>
      </w:pPrChange>
    </w:pPr>
    <w:rPr>
      <w:rFonts w:ascii="宋体" w:hAnsi="Courier New"/>
      <w:szCs w:val="21"/>
      <w:rPrChange w:id="1" w:author="磊 俞" w:date="2024-05-09T16:08:00Z">
        <w:rPr>
          <w:rFonts w:ascii="宋体" w:hAnsi="Courier New" w:eastAsia="宋体"/>
          <w:kern w:val="2"/>
          <w:sz w:val="21"/>
          <w:szCs w:val="21"/>
          <w:lang w:val="en-US" w:eastAsia="zh-CN" w:bidi="ar-SA"/>
        </w:rPr>
      </w:rPrChange>
    </w:rPr>
  </w:style>
  <w:style w:type="paragraph" w:styleId="3">
    <w:name w:val="index 8"/>
    <w:basedOn w:val="1"/>
    <w:next w:val="1"/>
    <w:qFormat/>
    <w:uiPriority w:val="0"/>
    <w:pPr>
      <w:ind w:left="1400" w:leftChars="1400"/>
    </w:pPr>
    <w:rPr>
      <w:rFonts w:ascii="Times New Roman" w:hAnsi="Times New Roman"/>
      <w:szCs w:val="24"/>
    </w:rPr>
  </w:style>
  <w:style w:type="paragraph" w:styleId="13">
    <w:name w:val="toc 7"/>
    <w:basedOn w:val="1"/>
    <w:next w:val="1"/>
    <w:unhideWhenUsed/>
    <w:qFormat/>
    <w:uiPriority w:val="0"/>
    <w:pPr>
      <w:ind w:left="2520" w:leftChars="1200"/>
    </w:pPr>
  </w:style>
  <w:style w:type="paragraph" w:styleId="14">
    <w:name w:val="Note Heading"/>
    <w:basedOn w:val="1"/>
    <w:next w:val="1"/>
    <w:link w:val="116"/>
    <w:semiHidden/>
    <w:qFormat/>
    <w:uiPriority w:val="0"/>
    <w:pPr>
      <w:jc w:val="center"/>
    </w:pPr>
    <w:rPr>
      <w:rFonts w:ascii="Times New Roman" w:hAnsi="Times New Roman"/>
      <w:szCs w:val="24"/>
    </w:rPr>
  </w:style>
  <w:style w:type="paragraph" w:styleId="15">
    <w:name w:val="E-mail Signature"/>
    <w:basedOn w:val="1"/>
    <w:link w:val="117"/>
    <w:semiHidden/>
    <w:qFormat/>
    <w:uiPriority w:val="0"/>
    <w:rPr>
      <w:rFonts w:ascii="Times New Roman" w:hAnsi="Times New Roman"/>
      <w:szCs w:val="24"/>
    </w:rPr>
  </w:style>
  <w:style w:type="paragraph" w:styleId="16">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7">
    <w:name w:val="List Bullet"/>
    <w:basedOn w:val="1"/>
    <w:semiHidden/>
    <w:qFormat/>
    <w:uiPriority w:val="0"/>
    <w:pPr>
      <w:tabs>
        <w:tab w:val="left" w:pos="360"/>
      </w:tabs>
      <w:ind w:left="360" w:hanging="360"/>
    </w:pPr>
    <w:rPr>
      <w:rFonts w:ascii="Times New Roman" w:hAnsi="Times New Roman"/>
      <w:szCs w:val="24"/>
    </w:rPr>
  </w:style>
  <w:style w:type="paragraph" w:styleId="18">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9">
    <w:name w:val="Document Map"/>
    <w:basedOn w:val="1"/>
    <w:link w:val="95"/>
    <w:unhideWhenUsed/>
    <w:qFormat/>
    <w:uiPriority w:val="0"/>
    <w:rPr>
      <w:rFonts w:ascii="宋体"/>
      <w:sz w:val="18"/>
      <w:szCs w:val="18"/>
    </w:rPr>
  </w:style>
  <w:style w:type="paragraph" w:styleId="20">
    <w:name w:val="annotation text"/>
    <w:basedOn w:val="1"/>
    <w:link w:val="87"/>
    <w:unhideWhenUsed/>
    <w:qFormat/>
    <w:uiPriority w:val="0"/>
    <w:pPr>
      <w:jc w:val="left"/>
    </w:pPr>
  </w:style>
  <w:style w:type="paragraph" w:styleId="21">
    <w:name w:val="Salutation"/>
    <w:basedOn w:val="1"/>
    <w:next w:val="1"/>
    <w:link w:val="118"/>
    <w:semiHidden/>
    <w:qFormat/>
    <w:uiPriority w:val="0"/>
    <w:rPr>
      <w:rFonts w:ascii="Times New Roman" w:hAnsi="Times New Roman"/>
      <w:szCs w:val="24"/>
    </w:rPr>
  </w:style>
  <w:style w:type="paragraph" w:styleId="22">
    <w:name w:val="Body Text 3"/>
    <w:basedOn w:val="1"/>
    <w:link w:val="119"/>
    <w:semiHidden/>
    <w:qFormat/>
    <w:uiPriority w:val="0"/>
    <w:pPr>
      <w:spacing w:after="120"/>
    </w:pPr>
    <w:rPr>
      <w:rFonts w:ascii="Times New Roman" w:hAnsi="Times New Roman"/>
      <w:sz w:val="16"/>
      <w:szCs w:val="16"/>
    </w:rPr>
  </w:style>
  <w:style w:type="paragraph" w:styleId="23">
    <w:name w:val="Closing"/>
    <w:basedOn w:val="1"/>
    <w:link w:val="120"/>
    <w:semiHidden/>
    <w:qFormat/>
    <w:uiPriority w:val="0"/>
    <w:pPr>
      <w:ind w:left="100" w:leftChars="2100"/>
    </w:pPr>
    <w:rPr>
      <w:rFonts w:ascii="Times New Roman" w:hAnsi="Times New Roman"/>
      <w:szCs w:val="24"/>
    </w:rPr>
  </w:style>
  <w:style w:type="paragraph" w:styleId="24">
    <w:name w:val="Body Text"/>
    <w:basedOn w:val="1"/>
    <w:next w:val="25"/>
    <w:link w:val="88"/>
    <w:qFormat/>
    <w:uiPriority w:val="99"/>
    <w:pPr>
      <w:spacing w:line="360" w:lineRule="auto"/>
    </w:pPr>
    <w:rPr>
      <w:rFonts w:ascii="宋体" w:hAnsi="宋体"/>
      <w:kern w:val="0"/>
      <w:sz w:val="24"/>
      <w:szCs w:val="24"/>
    </w:rPr>
  </w:style>
  <w:style w:type="paragraph" w:styleId="25">
    <w:name w:val="Title"/>
    <w:basedOn w:val="1"/>
    <w:next w:val="1"/>
    <w:link w:val="158"/>
    <w:qFormat/>
    <w:uiPriority w:val="0"/>
    <w:pPr>
      <w:spacing w:before="240" w:after="60"/>
      <w:jc w:val="center"/>
      <w:outlineLvl w:val="0"/>
    </w:pPr>
    <w:rPr>
      <w:rFonts w:ascii="Cambria" w:hAnsi="Cambria"/>
      <w:b/>
      <w:bCs/>
      <w:sz w:val="32"/>
      <w:szCs w:val="32"/>
    </w:rPr>
  </w:style>
  <w:style w:type="paragraph" w:styleId="26">
    <w:name w:val="Body Text Indent"/>
    <w:basedOn w:val="1"/>
    <w:link w:val="86"/>
    <w:unhideWhenUsed/>
    <w:qFormat/>
    <w:uiPriority w:val="99"/>
    <w:pPr>
      <w:spacing w:after="120"/>
      <w:ind w:left="420" w:leftChars="200"/>
    </w:pPr>
  </w:style>
  <w:style w:type="paragraph" w:styleId="27">
    <w:name w:val="HTML Address"/>
    <w:basedOn w:val="1"/>
    <w:link w:val="121"/>
    <w:semiHidden/>
    <w:qFormat/>
    <w:uiPriority w:val="0"/>
    <w:rPr>
      <w:rFonts w:ascii="Times New Roman" w:hAnsi="Times New Roman"/>
      <w:i/>
      <w:iCs/>
      <w:szCs w:val="24"/>
    </w:rPr>
  </w:style>
  <w:style w:type="paragraph" w:styleId="28">
    <w:name w:val="toc 5"/>
    <w:basedOn w:val="1"/>
    <w:next w:val="1"/>
    <w:unhideWhenUsed/>
    <w:qFormat/>
    <w:uiPriority w:val="0"/>
    <w:pPr>
      <w:ind w:left="1680" w:leftChars="800"/>
    </w:pPr>
  </w:style>
  <w:style w:type="paragraph" w:styleId="29">
    <w:name w:val="toc 3"/>
    <w:basedOn w:val="1"/>
    <w:next w:val="1"/>
    <w:unhideWhenUsed/>
    <w:qFormat/>
    <w:uiPriority w:val="0"/>
    <w:pPr>
      <w:ind w:left="840" w:leftChars="400"/>
    </w:pPr>
  </w:style>
  <w:style w:type="paragraph" w:styleId="30">
    <w:name w:val="toc 8"/>
    <w:basedOn w:val="1"/>
    <w:next w:val="1"/>
    <w:semiHidden/>
    <w:qFormat/>
    <w:uiPriority w:val="0"/>
    <w:pPr>
      <w:ind w:left="2940" w:leftChars="1400"/>
    </w:pPr>
  </w:style>
  <w:style w:type="paragraph" w:styleId="31">
    <w:name w:val="Date"/>
    <w:basedOn w:val="1"/>
    <w:next w:val="1"/>
    <w:link w:val="122"/>
    <w:unhideWhenUsed/>
    <w:qFormat/>
    <w:uiPriority w:val="0"/>
    <w:pPr>
      <w:ind w:left="100" w:leftChars="2500"/>
    </w:pPr>
    <w:rPr>
      <w:rFonts w:ascii="Times New Roman" w:hAnsi="Times New Roman"/>
      <w:szCs w:val="20"/>
    </w:rPr>
  </w:style>
  <w:style w:type="paragraph" w:styleId="32">
    <w:name w:val="Body Text Indent 2"/>
    <w:basedOn w:val="1"/>
    <w:link w:val="123"/>
    <w:semiHidden/>
    <w:qFormat/>
    <w:uiPriority w:val="0"/>
    <w:pPr>
      <w:spacing w:after="120" w:line="480" w:lineRule="auto"/>
      <w:ind w:left="420" w:leftChars="200"/>
    </w:pPr>
    <w:rPr>
      <w:rFonts w:ascii="Times New Roman" w:hAnsi="Times New Roman"/>
      <w:szCs w:val="24"/>
    </w:rPr>
  </w:style>
  <w:style w:type="paragraph" w:styleId="33">
    <w:name w:val="endnote text"/>
    <w:basedOn w:val="1"/>
    <w:link w:val="124"/>
    <w:semiHidden/>
    <w:qFormat/>
    <w:uiPriority w:val="0"/>
    <w:pPr>
      <w:snapToGrid w:val="0"/>
      <w:jc w:val="left"/>
    </w:pPr>
    <w:rPr>
      <w:rFonts w:ascii="Times New Roman" w:hAnsi="Times New Roman"/>
      <w:szCs w:val="24"/>
    </w:rPr>
  </w:style>
  <w:style w:type="paragraph" w:styleId="34">
    <w:name w:val="Balloon Text"/>
    <w:basedOn w:val="1"/>
    <w:link w:val="90"/>
    <w:unhideWhenUsed/>
    <w:qFormat/>
    <w:uiPriority w:val="0"/>
    <w:rPr>
      <w:kern w:val="0"/>
      <w:sz w:val="18"/>
      <w:szCs w:val="18"/>
    </w:rPr>
  </w:style>
  <w:style w:type="paragraph" w:styleId="35">
    <w:name w:val="footer"/>
    <w:basedOn w:val="1"/>
    <w:link w:val="89"/>
    <w:unhideWhenUsed/>
    <w:qFormat/>
    <w:uiPriority w:val="0"/>
    <w:pPr>
      <w:tabs>
        <w:tab w:val="center" w:pos="4153"/>
        <w:tab w:val="right" w:pos="8306"/>
      </w:tabs>
      <w:snapToGrid w:val="0"/>
      <w:jc w:val="left"/>
    </w:pPr>
    <w:rPr>
      <w:kern w:val="0"/>
      <w:sz w:val="18"/>
      <w:szCs w:val="18"/>
    </w:rPr>
  </w:style>
  <w:style w:type="paragraph" w:styleId="36">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25"/>
    <w:semiHidden/>
    <w:qFormat/>
    <w:uiPriority w:val="0"/>
    <w:pPr>
      <w:ind w:left="100" w:leftChars="2100"/>
    </w:pPr>
    <w:rPr>
      <w:rFonts w:ascii="Times New Roman" w:hAnsi="Times New Roman"/>
      <w:szCs w:val="24"/>
    </w:rPr>
  </w:style>
  <w:style w:type="paragraph" w:styleId="38">
    <w:name w:val="toc 1"/>
    <w:basedOn w:val="1"/>
    <w:next w:val="1"/>
    <w:unhideWhenUsed/>
    <w:qFormat/>
    <w:uiPriority w:val="0"/>
  </w:style>
  <w:style w:type="paragraph" w:styleId="39">
    <w:name w:val="toc 4"/>
    <w:basedOn w:val="1"/>
    <w:next w:val="1"/>
    <w:unhideWhenUsed/>
    <w:qFormat/>
    <w:uiPriority w:val="0"/>
    <w:pPr>
      <w:ind w:left="1260" w:leftChars="600"/>
    </w:pPr>
  </w:style>
  <w:style w:type="paragraph" w:styleId="40">
    <w:name w:val="Subtitle"/>
    <w:basedOn w:val="1"/>
    <w:next w:val="1"/>
    <w:link w:val="154"/>
    <w:qFormat/>
    <w:uiPriority w:val="11"/>
    <w:pPr>
      <w:spacing w:before="240" w:after="60" w:line="312" w:lineRule="auto"/>
      <w:jc w:val="center"/>
      <w:outlineLvl w:val="1"/>
    </w:pPr>
    <w:rPr>
      <w:rFonts w:ascii="Cambria" w:hAnsi="Cambria"/>
      <w:b/>
      <w:bCs/>
      <w:kern w:val="28"/>
      <w:sz w:val="32"/>
      <w:szCs w:val="32"/>
    </w:rPr>
  </w:style>
  <w:style w:type="paragraph" w:styleId="41">
    <w:name w:val="List"/>
    <w:basedOn w:val="1"/>
    <w:semiHidden/>
    <w:qFormat/>
    <w:uiPriority w:val="0"/>
    <w:pPr>
      <w:ind w:left="200" w:hanging="200" w:hangingChars="200"/>
    </w:pPr>
    <w:rPr>
      <w:rFonts w:ascii="Times New Roman" w:hAnsi="Times New Roman"/>
      <w:szCs w:val="24"/>
    </w:rPr>
  </w:style>
  <w:style w:type="paragraph" w:styleId="42">
    <w:name w:val="footnote text"/>
    <w:basedOn w:val="1"/>
    <w:link w:val="126"/>
    <w:semiHidden/>
    <w:qFormat/>
    <w:uiPriority w:val="0"/>
    <w:pPr>
      <w:snapToGrid w:val="0"/>
      <w:jc w:val="left"/>
    </w:pPr>
    <w:rPr>
      <w:rFonts w:ascii="Times New Roman" w:hAnsi="Times New Roman"/>
      <w:sz w:val="18"/>
      <w:szCs w:val="20"/>
    </w:rPr>
  </w:style>
  <w:style w:type="paragraph" w:styleId="43">
    <w:name w:val="toc 6"/>
    <w:basedOn w:val="1"/>
    <w:next w:val="1"/>
    <w:unhideWhenUsed/>
    <w:qFormat/>
    <w:uiPriority w:val="0"/>
    <w:pPr>
      <w:ind w:left="2100" w:leftChars="1000"/>
    </w:pPr>
  </w:style>
  <w:style w:type="paragraph" w:styleId="44">
    <w:name w:val="toc 2"/>
    <w:basedOn w:val="1"/>
    <w:next w:val="1"/>
    <w:unhideWhenUsed/>
    <w:qFormat/>
    <w:uiPriority w:val="0"/>
    <w:pPr>
      <w:ind w:left="420" w:leftChars="200"/>
    </w:pPr>
  </w:style>
  <w:style w:type="paragraph" w:styleId="45">
    <w:name w:val="toc 9"/>
    <w:basedOn w:val="1"/>
    <w:next w:val="1"/>
    <w:unhideWhenUsed/>
    <w:qFormat/>
    <w:uiPriority w:val="0"/>
    <w:pPr>
      <w:ind w:left="3360" w:leftChars="1600"/>
    </w:pPr>
  </w:style>
  <w:style w:type="paragraph" w:styleId="46">
    <w:name w:val="Message Header"/>
    <w:basedOn w:val="1"/>
    <w:link w:val="127"/>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7">
    <w:name w:val="HTML Preformatted"/>
    <w:basedOn w:val="1"/>
    <w:link w:val="1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9">
    <w:name w:val="index 1"/>
    <w:basedOn w:val="1"/>
    <w:next w:val="1"/>
    <w:unhideWhenUsed/>
    <w:qFormat/>
    <w:uiPriority w:val="0"/>
  </w:style>
  <w:style w:type="paragraph" w:styleId="50">
    <w:name w:val="annotation subject"/>
    <w:basedOn w:val="20"/>
    <w:next w:val="20"/>
    <w:link w:val="96"/>
    <w:unhideWhenUsed/>
    <w:qFormat/>
    <w:uiPriority w:val="0"/>
    <w:rPr>
      <w:b/>
      <w:bCs/>
    </w:rPr>
  </w:style>
  <w:style w:type="paragraph" w:styleId="51">
    <w:name w:val="Body Text First Indent"/>
    <w:basedOn w:val="24"/>
    <w:link w:val="113"/>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6"/>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Table List 4"/>
    <w:basedOn w:val="5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字符"/>
    <w:link w:val="4"/>
    <w:qFormat/>
    <w:uiPriority w:val="0"/>
    <w:rPr>
      <w:b/>
      <w:bCs/>
      <w:kern w:val="44"/>
      <w:sz w:val="44"/>
      <w:szCs w:val="44"/>
    </w:rPr>
  </w:style>
  <w:style w:type="character" w:customStyle="1" w:styleId="74">
    <w:name w:val="标题 2 字符"/>
    <w:basedOn w:val="57"/>
    <w:link w:val="5"/>
    <w:qFormat/>
    <w:uiPriority w:val="0"/>
    <w:rPr>
      <w:rFonts w:ascii="Cambria" w:hAnsi="Cambria" w:eastAsia="宋体"/>
      <w:b/>
      <w:bCs/>
      <w:kern w:val="2"/>
      <w:sz w:val="32"/>
      <w:szCs w:val="32"/>
      <w:lang w:val="en-US" w:eastAsia="zh-CN" w:bidi="ar-SA"/>
    </w:rPr>
  </w:style>
  <w:style w:type="character" w:customStyle="1" w:styleId="75">
    <w:name w:val="标题 3 字符"/>
    <w:link w:val="6"/>
    <w:qFormat/>
    <w:uiPriority w:val="0"/>
    <w:rPr>
      <w:rFonts w:ascii="Calibri" w:hAnsi="Calibri" w:eastAsia="宋体"/>
      <w:b/>
      <w:bCs/>
      <w:kern w:val="2"/>
      <w:sz w:val="32"/>
      <w:szCs w:val="32"/>
      <w:lang w:val="en-US" w:eastAsia="zh-CN" w:bidi="ar-SA"/>
    </w:rPr>
  </w:style>
  <w:style w:type="character" w:customStyle="1" w:styleId="76">
    <w:name w:val="标题 4 字符"/>
    <w:link w:val="7"/>
    <w:qFormat/>
    <w:uiPriority w:val="0"/>
    <w:rPr>
      <w:rFonts w:ascii="宋体" w:hAnsi="宋体" w:eastAsia="宋体" w:cs="宋体"/>
      <w:b/>
      <w:bCs/>
      <w:sz w:val="24"/>
      <w:szCs w:val="24"/>
      <w:lang w:val="en-US" w:eastAsia="zh-CN" w:bidi="ar-SA"/>
    </w:rPr>
  </w:style>
  <w:style w:type="character" w:customStyle="1" w:styleId="77">
    <w:name w:val="标题 5 字符"/>
    <w:basedOn w:val="57"/>
    <w:link w:val="8"/>
    <w:qFormat/>
    <w:uiPriority w:val="0"/>
    <w:rPr>
      <w:rFonts w:ascii="Times New Roman" w:hAnsi="Times New Roman"/>
    </w:rPr>
  </w:style>
  <w:style w:type="character" w:customStyle="1" w:styleId="78">
    <w:name w:val="标题 6 字符"/>
    <w:basedOn w:val="57"/>
    <w:link w:val="9"/>
    <w:qFormat/>
    <w:uiPriority w:val="0"/>
    <w:rPr>
      <w:rFonts w:ascii="Times New Roman" w:hAnsi="Times New Roman"/>
    </w:rPr>
  </w:style>
  <w:style w:type="character" w:customStyle="1" w:styleId="79">
    <w:name w:val="标题 7 字符"/>
    <w:link w:val="10"/>
    <w:qFormat/>
    <w:uiPriority w:val="0"/>
    <w:rPr>
      <w:rFonts w:ascii="Calibri" w:hAnsi="Calibri" w:eastAsia="宋体"/>
      <w:b/>
      <w:bCs/>
      <w:kern w:val="2"/>
      <w:sz w:val="24"/>
      <w:szCs w:val="24"/>
      <w:lang w:val="en-US" w:eastAsia="zh-CN" w:bidi="ar-SA"/>
    </w:rPr>
  </w:style>
  <w:style w:type="character" w:customStyle="1" w:styleId="80">
    <w:name w:val="标题 8 字符"/>
    <w:basedOn w:val="57"/>
    <w:link w:val="11"/>
    <w:qFormat/>
    <w:uiPriority w:val="0"/>
    <w:rPr>
      <w:rFonts w:ascii="Times New Roman" w:hAnsi="Times New Roman"/>
    </w:rPr>
  </w:style>
  <w:style w:type="character" w:customStyle="1" w:styleId="81">
    <w:name w:val="标题 9 字符"/>
    <w:basedOn w:val="57"/>
    <w:link w:val="12"/>
    <w:qFormat/>
    <w:uiPriority w:val="0"/>
    <w:rPr>
      <w:rFonts w:ascii="Times New Roman" w:hAnsi="Times New Roman"/>
    </w:rPr>
  </w:style>
  <w:style w:type="character" w:customStyle="1" w:styleId="82">
    <w:name w:val="页眉 字符"/>
    <w:link w:val="36"/>
    <w:qFormat/>
    <w:uiPriority w:val="0"/>
    <w:rPr>
      <w:sz w:val="18"/>
      <w:szCs w:val="18"/>
    </w:rPr>
  </w:style>
  <w:style w:type="character" w:styleId="83">
    <w:name w:val="Placeholder Text"/>
    <w:semiHidden/>
    <w:qFormat/>
    <w:uiPriority w:val="99"/>
    <w:rPr>
      <w:color w:val="808080"/>
    </w:rPr>
  </w:style>
  <w:style w:type="character" w:customStyle="1" w:styleId="84">
    <w:name w:val="标题1"/>
    <w:basedOn w:val="57"/>
    <w:qFormat/>
    <w:uiPriority w:val="0"/>
  </w:style>
  <w:style w:type="character" w:customStyle="1" w:styleId="85">
    <w:name w:val="正文文本首行缩进 2 字符"/>
    <w:basedOn w:val="86"/>
    <w:link w:val="52"/>
    <w:qFormat/>
    <w:uiPriority w:val="0"/>
  </w:style>
  <w:style w:type="character" w:customStyle="1" w:styleId="86">
    <w:name w:val="正文文本缩进 字符"/>
    <w:basedOn w:val="57"/>
    <w:link w:val="26"/>
    <w:semiHidden/>
    <w:qFormat/>
    <w:uiPriority w:val="99"/>
  </w:style>
  <w:style w:type="character" w:customStyle="1" w:styleId="87">
    <w:name w:val="批注文字 字符"/>
    <w:link w:val="20"/>
    <w:semiHidden/>
    <w:qFormat/>
    <w:uiPriority w:val="0"/>
    <w:rPr>
      <w:kern w:val="2"/>
      <w:sz w:val="21"/>
      <w:szCs w:val="22"/>
    </w:rPr>
  </w:style>
  <w:style w:type="character" w:customStyle="1" w:styleId="88">
    <w:name w:val="正文文本 字符"/>
    <w:link w:val="24"/>
    <w:qFormat/>
    <w:uiPriority w:val="99"/>
    <w:rPr>
      <w:rFonts w:ascii="宋体" w:hAnsi="宋体" w:eastAsia="宋体" w:cs="Times New Roman"/>
      <w:sz w:val="24"/>
      <w:szCs w:val="24"/>
    </w:rPr>
  </w:style>
  <w:style w:type="character" w:customStyle="1" w:styleId="89">
    <w:name w:val="页脚 字符"/>
    <w:link w:val="35"/>
    <w:qFormat/>
    <w:uiPriority w:val="0"/>
    <w:rPr>
      <w:sz w:val="18"/>
      <w:szCs w:val="18"/>
    </w:rPr>
  </w:style>
  <w:style w:type="character" w:customStyle="1" w:styleId="90">
    <w:name w:val="批注框文本 字符"/>
    <w:link w:val="34"/>
    <w:semiHidden/>
    <w:qFormat/>
    <w:uiPriority w:val="0"/>
    <w:rPr>
      <w:sz w:val="18"/>
      <w:szCs w:val="18"/>
    </w:rPr>
  </w:style>
  <w:style w:type="character" w:customStyle="1" w:styleId="91">
    <w:name w:val="纯文本 字符"/>
    <w:link w:val="2"/>
    <w:qFormat/>
    <w:uiPriority w:val="0"/>
    <w:rPr>
      <w:rFonts w:ascii="宋体" w:hAnsi="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6"/>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字符"/>
    <w:link w:val="19"/>
    <w:qFormat/>
    <w:uiPriority w:val="0"/>
    <w:rPr>
      <w:rFonts w:ascii="宋体"/>
      <w:kern w:val="2"/>
      <w:sz w:val="18"/>
      <w:szCs w:val="18"/>
    </w:rPr>
  </w:style>
  <w:style w:type="character" w:customStyle="1" w:styleId="96">
    <w:name w:val="批注主题 字符"/>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qFormat/>
    <w:uiPriority w:val="34"/>
    <w:pPr>
      <w:ind w:firstLine="420" w:firstLineChars="200"/>
    </w:pPr>
  </w:style>
  <w:style w:type="paragraph" w:customStyle="1" w:styleId="99">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p3"/>
    <w:basedOn w:val="1"/>
    <w:qFormat/>
    <w:uiPriority w:val="0"/>
    <w:pPr>
      <w:spacing w:line="30" w:lineRule="atLeast"/>
      <w:jc w:val="center"/>
    </w:pPr>
    <w:rPr>
      <w:rFonts w:hint="eastAsia" w:ascii="宋体" w:hAnsi="宋体" w:cs="宋体"/>
      <w:kern w:val="0"/>
      <w:sz w:val="36"/>
      <w:szCs w:val="36"/>
    </w:rPr>
  </w:style>
  <w:style w:type="paragraph" w:customStyle="1" w:styleId="101">
    <w:name w:val="Report 1.1.1"/>
    <w:basedOn w:val="102"/>
    <w:qFormat/>
    <w:uiPriority w:val="0"/>
    <w:pPr>
      <w:tabs>
        <w:tab w:val="left" w:pos="720"/>
      </w:tabs>
    </w:pPr>
    <w:rPr>
      <w:rFonts w:hAnsi="华文细黑" w:eastAsia="华文细黑" w:cs="Arial"/>
      <w:lang w:eastAsia="zh-CN"/>
    </w:rPr>
  </w:style>
  <w:style w:type="paragraph" w:customStyle="1" w:styleId="102">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3">
    <w:name w:val="Char Char Char1 Char"/>
    <w:basedOn w:val="36"/>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4">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5">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6">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7">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8">
    <w:name w:val="样式3"/>
    <w:basedOn w:val="24"/>
    <w:qFormat/>
    <w:uiPriority w:val="0"/>
    <w:pPr>
      <w:spacing w:after="120"/>
    </w:pPr>
    <w:rPr>
      <w:rFonts w:hAnsi="Times New Roman"/>
      <w:sz w:val="21"/>
    </w:rPr>
  </w:style>
  <w:style w:type="paragraph" w:customStyle="1" w:styleId="109">
    <w:name w:val="DTZ Heading 2"/>
    <w:basedOn w:val="106"/>
    <w:next w:val="1"/>
    <w:qFormat/>
    <w:uiPriority w:val="0"/>
    <w:pPr>
      <w:numPr>
        <w:ilvl w:val="1"/>
      </w:numPr>
      <w:spacing w:after="0" w:line="340" w:lineRule="exact"/>
    </w:pPr>
    <w:rPr>
      <w:sz w:val="28"/>
    </w:rPr>
  </w:style>
  <w:style w:type="paragraph" w:customStyle="1" w:styleId="110">
    <w:name w:val="保留正文"/>
    <w:basedOn w:val="24"/>
    <w:qFormat/>
    <w:uiPriority w:val="0"/>
    <w:pPr>
      <w:keepNext/>
      <w:spacing w:after="160" w:line="240" w:lineRule="auto"/>
    </w:pPr>
    <w:rPr>
      <w:rFonts w:ascii="Times New Roman" w:hAnsi="Times New Roman"/>
      <w:sz w:val="21"/>
    </w:rPr>
  </w:style>
  <w:style w:type="paragraph" w:customStyle="1" w:styleId="111">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2">
    <w:name w:val="一、"/>
    <w:basedOn w:val="1"/>
    <w:qFormat/>
    <w:uiPriority w:val="0"/>
    <w:pPr>
      <w:tabs>
        <w:tab w:val="left" w:pos="720"/>
      </w:tabs>
      <w:spacing w:line="740" w:lineRule="exact"/>
    </w:pPr>
    <w:rPr>
      <w:sz w:val="28"/>
      <w:szCs w:val="24"/>
    </w:rPr>
  </w:style>
  <w:style w:type="character" w:customStyle="1" w:styleId="113">
    <w:name w:val="正文文本首行缩进 字符"/>
    <w:basedOn w:val="88"/>
    <w:link w:val="51"/>
    <w:semiHidden/>
    <w:qFormat/>
    <w:uiPriority w:val="0"/>
    <w:rPr>
      <w:rFonts w:ascii="宋体" w:hAnsi="宋体" w:eastAsia="宋体" w:cs="Times New Roman"/>
      <w:kern w:val="2"/>
      <w:sz w:val="21"/>
      <w:szCs w:val="22"/>
    </w:rPr>
  </w:style>
  <w:style w:type="paragraph" w:customStyle="1" w:styleId="114">
    <w:name w:val="_Style 2"/>
    <w:basedOn w:val="1"/>
    <w:qFormat/>
    <w:uiPriority w:val="99"/>
    <w:pPr>
      <w:ind w:firstLine="420" w:firstLineChars="200"/>
    </w:pPr>
  </w:style>
  <w:style w:type="paragraph" w:customStyle="1" w:styleId="115">
    <w:name w:val="UserStyle_0"/>
    <w:basedOn w:val="1"/>
    <w:qFormat/>
    <w:uiPriority w:val="0"/>
    <w:pPr>
      <w:spacing w:before="15"/>
      <w:ind w:left="120"/>
    </w:pPr>
    <w:rPr>
      <w:rFonts w:ascii="Arial Unicode MS" w:hAnsi="Arial Unicode MS" w:eastAsia="Arial Unicode MS"/>
      <w:sz w:val="32"/>
      <w:szCs w:val="32"/>
    </w:rPr>
  </w:style>
  <w:style w:type="character" w:customStyle="1" w:styleId="116">
    <w:name w:val="注释标题 字符"/>
    <w:basedOn w:val="57"/>
    <w:link w:val="14"/>
    <w:semiHidden/>
    <w:qFormat/>
    <w:uiPriority w:val="0"/>
    <w:rPr>
      <w:rFonts w:ascii="Times New Roman" w:hAnsi="Times New Roman"/>
      <w:kern w:val="2"/>
      <w:sz w:val="21"/>
      <w:szCs w:val="24"/>
    </w:rPr>
  </w:style>
  <w:style w:type="character" w:customStyle="1" w:styleId="117">
    <w:name w:val="电子邮件签名 字符"/>
    <w:basedOn w:val="57"/>
    <w:link w:val="15"/>
    <w:semiHidden/>
    <w:qFormat/>
    <w:uiPriority w:val="0"/>
    <w:rPr>
      <w:rFonts w:ascii="Times New Roman" w:hAnsi="Times New Roman"/>
      <w:kern w:val="2"/>
      <w:sz w:val="21"/>
      <w:szCs w:val="24"/>
    </w:rPr>
  </w:style>
  <w:style w:type="character" w:customStyle="1" w:styleId="118">
    <w:name w:val="称呼 字符"/>
    <w:basedOn w:val="57"/>
    <w:link w:val="21"/>
    <w:semiHidden/>
    <w:qFormat/>
    <w:uiPriority w:val="0"/>
    <w:rPr>
      <w:rFonts w:ascii="Times New Roman" w:hAnsi="Times New Roman"/>
      <w:kern w:val="2"/>
      <w:sz w:val="21"/>
      <w:szCs w:val="24"/>
    </w:rPr>
  </w:style>
  <w:style w:type="character" w:customStyle="1" w:styleId="119">
    <w:name w:val="正文文本 3 字符"/>
    <w:basedOn w:val="57"/>
    <w:link w:val="22"/>
    <w:semiHidden/>
    <w:qFormat/>
    <w:uiPriority w:val="0"/>
    <w:rPr>
      <w:rFonts w:ascii="Times New Roman" w:hAnsi="Times New Roman"/>
      <w:kern w:val="2"/>
      <w:sz w:val="16"/>
      <w:szCs w:val="16"/>
    </w:rPr>
  </w:style>
  <w:style w:type="character" w:customStyle="1" w:styleId="120">
    <w:name w:val="结束语 字符"/>
    <w:basedOn w:val="57"/>
    <w:link w:val="23"/>
    <w:semiHidden/>
    <w:qFormat/>
    <w:uiPriority w:val="0"/>
    <w:rPr>
      <w:rFonts w:ascii="Times New Roman" w:hAnsi="Times New Roman"/>
      <w:kern w:val="2"/>
      <w:sz w:val="21"/>
      <w:szCs w:val="24"/>
    </w:rPr>
  </w:style>
  <w:style w:type="character" w:customStyle="1" w:styleId="121">
    <w:name w:val="HTML 地址 字符"/>
    <w:basedOn w:val="57"/>
    <w:link w:val="27"/>
    <w:semiHidden/>
    <w:qFormat/>
    <w:uiPriority w:val="0"/>
    <w:rPr>
      <w:rFonts w:ascii="Times New Roman" w:hAnsi="Times New Roman"/>
      <w:i/>
      <w:iCs/>
      <w:kern w:val="2"/>
      <w:sz w:val="21"/>
      <w:szCs w:val="24"/>
    </w:rPr>
  </w:style>
  <w:style w:type="character" w:customStyle="1" w:styleId="122">
    <w:name w:val="日期 字符"/>
    <w:basedOn w:val="57"/>
    <w:link w:val="31"/>
    <w:qFormat/>
    <w:uiPriority w:val="0"/>
    <w:rPr>
      <w:rFonts w:ascii="Times New Roman" w:hAnsi="Times New Roman"/>
      <w:kern w:val="2"/>
      <w:sz w:val="21"/>
    </w:rPr>
  </w:style>
  <w:style w:type="character" w:customStyle="1" w:styleId="123">
    <w:name w:val="正文文本缩进 2 字符"/>
    <w:basedOn w:val="57"/>
    <w:link w:val="32"/>
    <w:semiHidden/>
    <w:qFormat/>
    <w:uiPriority w:val="0"/>
    <w:rPr>
      <w:rFonts w:ascii="Times New Roman" w:hAnsi="Times New Roman"/>
      <w:kern w:val="2"/>
      <w:sz w:val="21"/>
      <w:szCs w:val="24"/>
    </w:rPr>
  </w:style>
  <w:style w:type="character" w:customStyle="1" w:styleId="124">
    <w:name w:val="尾注文本 字符"/>
    <w:basedOn w:val="57"/>
    <w:link w:val="33"/>
    <w:semiHidden/>
    <w:qFormat/>
    <w:uiPriority w:val="0"/>
    <w:rPr>
      <w:rFonts w:ascii="Times New Roman" w:hAnsi="Times New Roman"/>
      <w:kern w:val="2"/>
      <w:sz w:val="21"/>
      <w:szCs w:val="24"/>
    </w:rPr>
  </w:style>
  <w:style w:type="character" w:customStyle="1" w:styleId="125">
    <w:name w:val="签名 字符"/>
    <w:basedOn w:val="57"/>
    <w:link w:val="37"/>
    <w:semiHidden/>
    <w:qFormat/>
    <w:uiPriority w:val="0"/>
    <w:rPr>
      <w:rFonts w:ascii="Times New Roman" w:hAnsi="Times New Roman"/>
      <w:kern w:val="2"/>
      <w:sz w:val="21"/>
      <w:szCs w:val="24"/>
    </w:rPr>
  </w:style>
  <w:style w:type="character" w:customStyle="1" w:styleId="126">
    <w:name w:val="脚注文本 字符"/>
    <w:basedOn w:val="57"/>
    <w:link w:val="42"/>
    <w:semiHidden/>
    <w:qFormat/>
    <w:uiPriority w:val="0"/>
    <w:rPr>
      <w:rFonts w:ascii="Times New Roman" w:hAnsi="Times New Roman"/>
      <w:kern w:val="2"/>
      <w:sz w:val="18"/>
    </w:rPr>
  </w:style>
  <w:style w:type="character" w:customStyle="1" w:styleId="127">
    <w:name w:val="信息标题 字符"/>
    <w:basedOn w:val="57"/>
    <w:link w:val="46"/>
    <w:semiHidden/>
    <w:qFormat/>
    <w:uiPriority w:val="0"/>
    <w:rPr>
      <w:rFonts w:ascii="Arial" w:hAnsi="Arial" w:cs="Arial"/>
      <w:kern w:val="2"/>
      <w:sz w:val="24"/>
      <w:szCs w:val="24"/>
      <w:shd w:val="pct20" w:color="auto" w:fill="auto"/>
    </w:rPr>
  </w:style>
  <w:style w:type="character" w:customStyle="1" w:styleId="128">
    <w:name w:val="HTML 预设格式 字符"/>
    <w:basedOn w:val="57"/>
    <w:link w:val="47"/>
    <w:semiHidden/>
    <w:qFormat/>
    <w:uiPriority w:val="0"/>
    <w:rPr>
      <w:rFonts w:ascii="宋体" w:hAnsi="宋体" w:cs="宋体"/>
      <w:color w:val="000000"/>
      <w:sz w:val="24"/>
      <w:szCs w:val="24"/>
    </w:rPr>
  </w:style>
  <w:style w:type="character" w:customStyle="1" w:styleId="129">
    <w:name w:val="unnamed211"/>
    <w:semiHidden/>
    <w:qFormat/>
    <w:uiPriority w:val="0"/>
    <w:rPr>
      <w:sz w:val="23"/>
      <w:szCs w:val="23"/>
    </w:rPr>
  </w:style>
  <w:style w:type="character" w:customStyle="1" w:styleId="130">
    <w:name w:val="ss1"/>
    <w:semiHidden/>
    <w:qFormat/>
    <w:uiPriority w:val="0"/>
    <w:rPr>
      <w:rFonts w:hint="default" w:ascii="ˎ̥" w:hAnsi="ˎ̥"/>
      <w:color w:val="000000"/>
      <w:sz w:val="18"/>
      <w:szCs w:val="18"/>
      <w:u w:val="none"/>
    </w:rPr>
  </w:style>
  <w:style w:type="character" w:customStyle="1" w:styleId="131">
    <w:name w:val="f142"/>
    <w:semiHidden/>
    <w:qFormat/>
    <w:uiPriority w:val="0"/>
    <w:rPr>
      <w:sz w:val="21"/>
      <w:szCs w:val="21"/>
    </w:rPr>
  </w:style>
  <w:style w:type="character" w:customStyle="1" w:styleId="132">
    <w:name w:val="f14b1"/>
    <w:semiHidden/>
    <w:qFormat/>
    <w:uiPriority w:val="0"/>
    <w:rPr>
      <w:b/>
      <w:bCs/>
      <w:sz w:val="21"/>
      <w:szCs w:val="21"/>
    </w:rPr>
  </w:style>
  <w:style w:type="character" w:customStyle="1" w:styleId="133">
    <w:name w:val="ca-41"/>
    <w:qFormat/>
    <w:uiPriority w:val="0"/>
    <w:rPr>
      <w:rFonts w:hint="eastAsia" w:ascii="黑体" w:eastAsia="黑体"/>
      <w:b/>
      <w:bCs/>
      <w:spacing w:val="-20"/>
      <w:sz w:val="30"/>
      <w:szCs w:val="30"/>
    </w:rPr>
  </w:style>
  <w:style w:type="character" w:customStyle="1" w:styleId="134">
    <w:name w:val="签名 Char1"/>
    <w:basedOn w:val="57"/>
    <w:semiHidden/>
    <w:qFormat/>
    <w:uiPriority w:val="99"/>
    <w:rPr>
      <w:rFonts w:ascii="Times New Roman" w:hAnsi="Times New Roman" w:eastAsia="宋体" w:cs="Times New Roman"/>
      <w:szCs w:val="20"/>
    </w:rPr>
  </w:style>
  <w:style w:type="character" w:customStyle="1" w:styleId="135">
    <w:name w:val="正文文本缩进 2 Char1"/>
    <w:basedOn w:val="57"/>
    <w:semiHidden/>
    <w:qFormat/>
    <w:uiPriority w:val="99"/>
    <w:rPr>
      <w:rFonts w:ascii="Times New Roman" w:hAnsi="Times New Roman" w:eastAsia="宋体" w:cs="Times New Roman"/>
      <w:szCs w:val="20"/>
    </w:rPr>
  </w:style>
  <w:style w:type="paragraph" w:customStyle="1" w:styleId="136">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纯文本 Char1"/>
    <w:qFormat/>
    <w:uiPriority w:val="0"/>
    <w:rPr>
      <w:rFonts w:ascii="宋体" w:hAnsi="Courier New" w:cs="Courier New"/>
      <w:kern w:val="2"/>
      <w:sz w:val="21"/>
      <w:szCs w:val="21"/>
    </w:rPr>
  </w:style>
  <w:style w:type="character" w:customStyle="1" w:styleId="138">
    <w:name w:val="Char Char23"/>
    <w:semiHidden/>
    <w:qFormat/>
    <w:uiPriority w:val="0"/>
    <w:rPr>
      <w:rFonts w:ascii="Times New Roman" w:hAnsi="Times New Roman" w:eastAsia="宋体" w:cs="Times New Roman"/>
      <w:b/>
      <w:bCs/>
      <w:szCs w:val="24"/>
    </w:rPr>
  </w:style>
  <w:style w:type="paragraph" w:customStyle="1" w:styleId="139">
    <w:name w:val="z-窗体顶端1"/>
    <w:basedOn w:val="1"/>
    <w:next w:val="1"/>
    <w:link w:val="140"/>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z-窗体顶端 Char"/>
    <w:basedOn w:val="57"/>
    <w:link w:val="139"/>
    <w:qFormat/>
    <w:uiPriority w:val="99"/>
    <w:rPr>
      <w:rFonts w:ascii="Arial" w:hAnsi="Arial"/>
      <w:vanish/>
      <w:sz w:val="16"/>
      <w:szCs w:val="16"/>
    </w:rPr>
  </w:style>
  <w:style w:type="paragraph" w:customStyle="1" w:styleId="141">
    <w:name w:val="z-窗体底端1"/>
    <w:basedOn w:val="1"/>
    <w:next w:val="1"/>
    <w:link w:val="142"/>
    <w:unhideWhenUsed/>
    <w:qFormat/>
    <w:uiPriority w:val="99"/>
    <w:pPr>
      <w:widowControl/>
      <w:pBdr>
        <w:top w:val="single" w:color="auto" w:sz="6" w:space="1"/>
      </w:pBdr>
      <w:jc w:val="center"/>
    </w:pPr>
    <w:rPr>
      <w:rFonts w:ascii="Arial" w:hAnsi="Arial"/>
      <w:vanish/>
      <w:kern w:val="0"/>
      <w:sz w:val="16"/>
      <w:szCs w:val="16"/>
    </w:rPr>
  </w:style>
  <w:style w:type="character" w:customStyle="1" w:styleId="142">
    <w:name w:val="z-窗体底端 Char"/>
    <w:basedOn w:val="57"/>
    <w:link w:val="141"/>
    <w:qFormat/>
    <w:uiPriority w:val="99"/>
    <w:rPr>
      <w:rFonts w:ascii="Arial" w:hAnsi="Arial"/>
      <w:vanish/>
      <w:sz w:val="16"/>
      <w:szCs w:val="16"/>
    </w:rPr>
  </w:style>
  <w:style w:type="paragraph" w:customStyle="1" w:styleId="143">
    <w:name w:val="_Style 10"/>
    <w:qFormat/>
    <w:uiPriority w:val="0"/>
    <w:rPr>
      <w:rFonts w:ascii="Calibri" w:hAnsi="Calibri" w:eastAsia="宋体" w:cs="Times New Roman"/>
      <w:kern w:val="2"/>
      <w:sz w:val="21"/>
      <w:szCs w:val="22"/>
      <w:lang w:val="en-US" w:eastAsia="zh-CN" w:bidi="ar-SA"/>
    </w:rPr>
  </w:style>
  <w:style w:type="paragraph" w:customStyle="1" w:styleId="144">
    <w:name w:val="列出段落1"/>
    <w:basedOn w:val="1"/>
    <w:qFormat/>
    <w:uiPriority w:val="34"/>
    <w:pPr>
      <w:ind w:firstLine="420" w:firstLineChars="200"/>
    </w:pPr>
  </w:style>
  <w:style w:type="paragraph" w:customStyle="1" w:styleId="145">
    <w:name w:val="列出段落2"/>
    <w:basedOn w:val="146"/>
    <w:qFormat/>
    <w:uiPriority w:val="34"/>
    <w:pPr>
      <w:ind w:firstLine="420" w:firstLineChars="200"/>
    </w:pPr>
  </w:style>
  <w:style w:type="paragraph" w:customStyle="1" w:styleId="146">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146"/>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字符"/>
    <w:link w:val="40"/>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qFormat/>
    <w:uiPriority w:val="0"/>
    <w:rPr>
      <w:rFonts w:ascii="Cambria" w:hAnsi="Cambria"/>
      <w:b/>
      <w:bCs/>
      <w:kern w:val="2"/>
      <w:sz w:val="32"/>
      <w:szCs w:val="32"/>
    </w:rPr>
  </w:style>
  <w:style w:type="character" w:customStyle="1" w:styleId="158">
    <w:name w:val="标题 字符"/>
    <w:basedOn w:val="57"/>
    <w:link w:val="25"/>
    <w:qFormat/>
    <w:uiPriority w:val="10"/>
    <w:rPr>
      <w:rFonts w:asciiTheme="majorHAnsi" w:hAnsiTheme="majorHAnsi" w:cstheme="majorBidi"/>
      <w:b/>
      <w:bCs/>
      <w:kern w:val="2"/>
      <w:sz w:val="32"/>
      <w:szCs w:val="32"/>
    </w:rPr>
  </w:style>
  <w:style w:type="character" w:customStyle="1" w:styleId="159">
    <w:name w:val="副标题 Char1"/>
    <w:basedOn w:val="57"/>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5"/>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167">
    <w:name w:val="列出段落"/>
    <w:basedOn w:val="1"/>
    <w:qFormat/>
    <w:uiPriority w:val="34"/>
    <w:pPr>
      <w:ind w:firstLine="420" w:firstLineChars="200"/>
    </w:pPr>
  </w:style>
  <w:style w:type="paragraph" w:customStyle="1" w:styleId="168">
    <w:name w:val="样式1"/>
    <w:basedOn w:val="36"/>
    <w:qFormat/>
    <w:uiPriority w:val="0"/>
    <w:pPr>
      <w:pBdr>
        <w:bottom w:val="thinThickSmallGap" w:color="auto" w:sz="24" w:space="1"/>
      </w:pBdr>
    </w:pPr>
    <w:rPr>
      <w:rFonts w:ascii="黑体" w:hAnsi="Times New Roman" w:eastAsia="黑体"/>
      <w:b/>
      <w:sz w:val="21"/>
      <w:szCs w:val="20"/>
    </w:rPr>
  </w:style>
  <w:style w:type="paragraph" w:customStyle="1" w:styleId="169">
    <w:name w:val="正文缩进1"/>
    <w:basedOn w:val="1"/>
    <w:qFormat/>
    <w:uiPriority w:val="0"/>
    <w:pPr>
      <w:ind w:firstLine="420" w:firstLineChars="200"/>
    </w:pPr>
  </w:style>
  <w:style w:type="paragraph" w:customStyle="1" w:styleId="170">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171">
    <w:name w:val="c-正文"/>
    <w:basedOn w:val="172"/>
    <w:qFormat/>
    <w:uiPriority w:val="0"/>
    <w:pPr>
      <w:spacing w:line="312" w:lineRule="auto"/>
      <w:ind w:firstLine="200" w:firstLineChars="200"/>
    </w:pPr>
    <w:rPr>
      <w:rFonts w:ascii="宋体" w:hAnsi="宋体" w:eastAsia="宋体"/>
      <w:color w:val="000000"/>
      <w:sz w:val="24"/>
      <w:szCs w:val="24"/>
    </w:rPr>
  </w:style>
  <w:style w:type="paragraph" w:customStyle="1" w:styleId="172">
    <w:name w:val="标准正文"/>
    <w:basedOn w:val="1"/>
    <w:qFormat/>
    <w:uiPriority w:val="0"/>
    <w:rPr>
      <w:rFonts w:eastAsia="仿宋_GB2312"/>
      <w:szCs w:val="20"/>
    </w:rPr>
  </w:style>
  <w:style w:type="paragraph" w:customStyle="1" w:styleId="173">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74">
    <w:name w:val="日期1"/>
    <w:basedOn w:val="1"/>
    <w:next w:val="1"/>
    <w:qFormat/>
    <w:uiPriority w:val="0"/>
    <w:pPr>
      <w:adjustRightInd w:val="0"/>
      <w:spacing w:line="400" w:lineRule="exact"/>
      <w:jc w:val="right"/>
      <w:textAlignment w:val="baseline"/>
    </w:pPr>
    <w:rPr>
      <w:rFonts w:ascii="Times New Roman" w:hAnsi="Times New Roman" w:eastAsia="宋体" w:cs="Times New Roman"/>
      <w:kern w:val="0"/>
      <w:sz w:val="36"/>
      <w:szCs w:val="20"/>
    </w:rPr>
  </w:style>
  <w:style w:type="paragraph" w:customStyle="1" w:styleId="175">
    <w:name w:val="p0"/>
    <w:basedOn w:val="1"/>
    <w:qFormat/>
    <w:uiPriority w:val="0"/>
    <w:pPr>
      <w:widowControl/>
      <w:spacing w:after="200" w:line="360" w:lineRule="auto"/>
      <w:ind w:firstLine="420"/>
      <w:jc w:val="left"/>
    </w:pPr>
    <w:rPr>
      <w:rFonts w:ascii="Calibri" w:hAnsi="Calibri" w:eastAsia="宋体" w:cs="宋体"/>
      <w:kern w:val="0"/>
      <w:sz w:val="24"/>
      <w:szCs w:val="24"/>
    </w:rPr>
  </w:style>
  <w:style w:type="paragraph" w:customStyle="1" w:styleId="17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Normal_14"/>
    <w:qFormat/>
    <w:uiPriority w:val="0"/>
    <w:pPr>
      <w:spacing w:before="120" w:after="240"/>
      <w:jc w:val="both"/>
    </w:pPr>
    <w:rPr>
      <w:rFonts w:ascii="Times New Roman" w:hAnsi="Times New Roman" w:eastAsia="Calibri" w:cs="Times New Roman"/>
      <w:kern w:val="0"/>
      <w:sz w:val="22"/>
      <w:szCs w:val="22"/>
      <w:lang w:val="ru-RU" w:eastAsia="en-US" w:bidi="ar-SA"/>
    </w:rPr>
  </w:style>
  <w:style w:type="paragraph" w:customStyle="1" w:styleId="179">
    <w:name w:val="Table Text"/>
    <w:basedOn w:val="1"/>
    <w:semiHidden/>
    <w:qFormat/>
    <w:uiPriority w:val="0"/>
    <w:rPr>
      <w:rFonts w:ascii="宋体" w:hAnsi="宋体" w:eastAsia="宋体" w:cs="宋体"/>
      <w:sz w:val="13"/>
      <w:szCs w:val="13"/>
      <w:lang w:val="en-US" w:eastAsia="en-US" w:bidi="ar-SA"/>
    </w:rPr>
  </w:style>
  <w:style w:type="character" w:customStyle="1" w:styleId="180">
    <w:name w:val="font01"/>
    <w:basedOn w:val="57"/>
    <w:qFormat/>
    <w:uiPriority w:val="0"/>
    <w:rPr>
      <w:rFonts w:hint="eastAsia" w:ascii="宋体" w:hAnsi="宋体" w:eastAsia="宋体" w:cs="宋体"/>
      <w:color w:val="000000"/>
      <w:sz w:val="22"/>
      <w:szCs w:val="22"/>
      <w:u w:val="none"/>
    </w:rPr>
  </w:style>
  <w:style w:type="character" w:customStyle="1" w:styleId="181">
    <w:name w:val="font31"/>
    <w:basedOn w:val="57"/>
    <w:qFormat/>
    <w:uiPriority w:val="0"/>
    <w:rPr>
      <w:rFonts w:hint="eastAsia" w:ascii="宋体" w:hAnsi="宋体" w:eastAsia="宋体" w:cs="宋体"/>
      <w:b/>
      <w:bCs/>
      <w:color w:val="C00000"/>
      <w:sz w:val="22"/>
      <w:szCs w:val="22"/>
      <w:u w:val="none"/>
    </w:rPr>
  </w:style>
  <w:style w:type="character" w:customStyle="1" w:styleId="182">
    <w:name w:val="font21"/>
    <w:basedOn w:val="5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10193</Words>
  <Characters>10842</Characters>
  <Lines>247</Lines>
  <Paragraphs>69</Paragraphs>
  <TotalTime>11</TotalTime>
  <ScaleCrop>false</ScaleCrop>
  <LinksUpToDate>false</LinksUpToDate>
  <CharactersWithSpaces>11184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2024-05-09T08:17:00Z</dcterms:created>
  <dc:creator>微软用户</dc:creator>
  <cp:lastModifiedBy>實誠</cp:lastModifiedBy>
  <cp:lastPrinted>2019-11-20T08:55:00Z</cp:lastPrinted>
  <dcterms:modified xsi:type="dcterms:W3CDTF">2025-05-15T04:17:47Z</dcterms:modified>
  <dc:title>工程编号：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BE5A300BD7F748368D561837BEA53372</vt:lpwstr>
  </property>
  <property fmtid="{D5CDD505-2E9C-101B-9397-08002B2CF9AE}" pid="4" name="KSOTemplateDocerSaveRecord">
    <vt:lpwstr>eyJoZGlkIjoiZjYxZTUyYjc1MzQwNWRmNjlmMWQyYmQ2NmM1M2U4MmMiLCJ1c2VySWQiOiI2OTk3NTA5NDAifQ==</vt:lpwstr>
  </property>
</Properties>
</file>