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hint="eastAsia" w:eastAsia="PingFang SC Regular"/>
          <w:sz w:val="36"/>
          <w:szCs w:val="36"/>
          <w:u w:color="000000"/>
          <w:lang w:val="en-US" w:eastAsia="zh-CN"/>
        </w:rPr>
      </w:pPr>
      <w:r>
        <w:rPr>
          <w:rFonts w:hint="eastAsia" w:eastAsia="宋体"/>
          <w:b/>
          <w:bCs/>
          <w:sz w:val="36"/>
          <w:szCs w:val="36"/>
          <w:u w:color="000000"/>
          <w:lang w:val="zh-CN" w:eastAsia="zh-CN"/>
        </w:rPr>
        <w:t>物业财产一切险</w:t>
      </w:r>
      <w:r>
        <w:rPr>
          <w:rFonts w:hint="eastAsia" w:eastAsia="PingFang SC Regular"/>
          <w:b/>
          <w:bCs/>
          <w:sz w:val="36"/>
          <w:szCs w:val="36"/>
          <w:u w:color="000000"/>
          <w:lang w:val="zh-CN" w:eastAsia="zh-CN"/>
        </w:rPr>
        <w:t>采购项目</w:t>
      </w:r>
      <w:r>
        <w:rPr>
          <w:rFonts w:hint="eastAsia" w:eastAsia="PingFang SC Regular"/>
          <w:b/>
          <w:bCs/>
          <w:sz w:val="36"/>
          <w:szCs w:val="36"/>
          <w:u w:color="000000"/>
          <w:lang w:val="en-US" w:eastAsia="zh-CN"/>
        </w:rPr>
        <w:t xml:space="preserve"> </w:t>
      </w:r>
      <w:r>
        <w:rPr>
          <w:rFonts w:hint="eastAsia" w:eastAsia="PingFang SC Regular"/>
          <w:sz w:val="36"/>
          <w:szCs w:val="36"/>
          <w:u w:color="000000"/>
          <w:lang w:val="en-US" w:eastAsia="zh-CN"/>
        </w:rPr>
        <w:t xml:space="preserve">                   </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hint="default" w:eastAsia="PingFang SC Regular"/>
          <w:kern w:val="2"/>
          <w:sz w:val="36"/>
          <w:szCs w:val="36"/>
          <w:u w:color="000000"/>
        </w:rPr>
      </w:pPr>
      <w:r>
        <w:rPr>
          <w:rFonts w:eastAsia="PingFang SC Regular"/>
          <w:kern w:val="2"/>
          <w:sz w:val="36"/>
          <w:szCs w:val="36"/>
          <w:u w:color="000000"/>
        </w:rPr>
        <w:t>综合评分表</w:t>
      </w:r>
    </w:p>
    <w:tbl>
      <w:tblPr>
        <w:tblStyle w:val="5"/>
        <w:tblW w:w="917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1068"/>
        <w:gridCol w:w="795"/>
        <w:gridCol w:w="4632"/>
        <w:gridCol w:w="1515"/>
        <w:gridCol w:w="116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620" w:hRule="atLeast"/>
          <w:tblHeader/>
          <w:jc w:val="center"/>
        </w:trPr>
        <w:tc>
          <w:tcPr>
            <w:tcW w:w="1068" w:type="dxa"/>
            <w:tcBorders>
              <w:top w:val="single" w:color="000000" w:sz="12" w:space="0"/>
              <w:left w:val="single" w:color="000000" w:sz="12" w:space="0"/>
              <w:bottom w:val="single" w:color="000000" w:sz="4" w:space="0"/>
              <w:right w:val="single" w:color="000000" w:sz="4" w:space="0"/>
            </w:tcBorders>
            <w:shd w:val="clear" w:color="auto" w:fill="DEEAF6"/>
            <w:tcMar>
              <w:top w:w="80" w:type="dxa"/>
              <w:left w:w="80" w:type="dxa"/>
              <w:bottom w:w="80" w:type="dxa"/>
              <w:right w:w="80" w:type="dxa"/>
            </w:tcMar>
            <w:vAlign w:val="center"/>
          </w:tcPr>
          <w:p>
            <w:pPr>
              <w:tabs>
                <w:tab w:val="left" w:pos="42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序号</w:t>
            </w:r>
          </w:p>
        </w:tc>
        <w:tc>
          <w:tcPr>
            <w:tcW w:w="795"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pPr>
              <w:tabs>
                <w:tab w:val="left" w:pos="420"/>
              </w:tabs>
              <w:spacing w:before="0" w:line="20" w:lineRule="atLeast"/>
              <w:jc w:val="center"/>
              <w:rPr>
                <w:rFonts w:hint="eastAsia" w:ascii="仿宋" w:hAnsi="仿宋" w:eastAsia="仿宋" w:cs="仿宋"/>
                <w:b/>
                <w:bCs/>
                <w:kern w:val="2"/>
                <w:sz w:val="21"/>
                <w:szCs w:val="21"/>
                <w:u w:color="000000"/>
              </w:rPr>
            </w:pPr>
            <w:r>
              <w:rPr>
                <w:rFonts w:ascii="仿宋" w:hAnsi="仿宋" w:eastAsia="仿宋" w:cs="仿宋"/>
                <w:b/>
                <w:bCs/>
                <w:kern w:val="2"/>
                <w:sz w:val="21"/>
                <w:szCs w:val="21"/>
                <w:u w:color="000000"/>
              </w:rPr>
              <w:t>评审</w:t>
            </w:r>
          </w:p>
          <w:p>
            <w:pPr>
              <w:tabs>
                <w:tab w:val="left" w:pos="42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项目</w:t>
            </w:r>
          </w:p>
        </w:tc>
        <w:tc>
          <w:tcPr>
            <w:tcW w:w="4632"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评审标准</w:t>
            </w:r>
          </w:p>
        </w:tc>
        <w:tc>
          <w:tcPr>
            <w:tcW w:w="1515"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pPr>
              <w:tabs>
                <w:tab w:val="left" w:pos="420"/>
                <w:tab w:val="left" w:pos="840"/>
                <w:tab w:val="left" w:pos="126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证明材料</w:t>
            </w:r>
          </w:p>
        </w:tc>
        <w:tc>
          <w:tcPr>
            <w:tcW w:w="1167"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pPr>
              <w:tabs>
                <w:tab w:val="left" w:pos="42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分值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30" w:hRule="atLeast"/>
          <w:jc w:val="center"/>
        </w:trPr>
        <w:tc>
          <w:tcPr>
            <w:tcW w:w="1068"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eastAsia" w:ascii="仿宋" w:hAnsi="仿宋" w:eastAsia="仿宋" w:cs="仿宋"/>
                <w:kern w:val="2"/>
                <w:sz w:val="21"/>
                <w:szCs w:val="21"/>
                <w:u w:color="000000"/>
                <w:lang w:val="en-US"/>
              </w:rPr>
            </w:pPr>
            <w:r>
              <w:rPr>
                <w:rFonts w:ascii="仿宋" w:hAnsi="仿宋" w:eastAsia="仿宋" w:cs="仿宋"/>
                <w:kern w:val="2"/>
                <w:sz w:val="21"/>
                <w:szCs w:val="21"/>
                <w:u w:color="000000"/>
                <w:lang w:val="en-US"/>
              </w:rPr>
              <w:t>报价</w:t>
            </w:r>
          </w:p>
          <w:p>
            <w:pPr>
              <w:widowControl w:val="0"/>
              <w:tabs>
                <w:tab w:val="left" w:pos="420"/>
              </w:tabs>
              <w:spacing w:before="0" w:line="20" w:lineRule="atLeast"/>
              <w:jc w:val="center"/>
              <w:rPr>
                <w:rFonts w:hint="eastAsia" w:ascii="仿宋" w:hAnsi="仿宋" w:eastAsia="仿宋" w:cs="仿宋"/>
                <w:color w:val="000000"/>
                <w:kern w:val="2"/>
                <w:sz w:val="21"/>
                <w:szCs w:val="21"/>
                <w:u w:color="000000"/>
                <w:lang w:val="en-US" w:eastAsia="zh-CN" w:bidi="ar-SA"/>
              </w:rPr>
            </w:pPr>
            <w:r>
              <w:rPr>
                <w:rFonts w:ascii="仿宋" w:hAnsi="仿宋" w:eastAsia="仿宋" w:cs="仿宋"/>
                <w:kern w:val="2"/>
                <w:sz w:val="21"/>
                <w:szCs w:val="21"/>
                <w:u w:color="000000"/>
                <w:lang w:val="en-US"/>
              </w:rPr>
              <w:t>得分</w:t>
            </w:r>
          </w:p>
        </w:tc>
        <w:tc>
          <w:tcPr>
            <w:tcW w:w="4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rPr>
            </w:pPr>
            <w:r>
              <w:rPr>
                <w:rFonts w:ascii="仿宋" w:hAnsi="仿宋" w:eastAsia="仿宋" w:cs="仿宋"/>
                <w:kern w:val="2"/>
                <w:sz w:val="21"/>
                <w:szCs w:val="21"/>
                <w:u w:color="000000"/>
                <w:lang w:val="en-US"/>
              </w:rPr>
              <w:t>符合要求且最低的响应报价为基准价，其价格分为满分。</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color w:val="000000"/>
                <w:kern w:val="2"/>
                <w:sz w:val="21"/>
                <w:szCs w:val="21"/>
                <w:u w:color="000000"/>
                <w:lang w:val="en-US" w:eastAsia="zh-CN" w:bidi="ar-SA"/>
              </w:rPr>
            </w:pPr>
            <w:r>
              <w:rPr>
                <w:rFonts w:ascii="仿宋" w:hAnsi="仿宋" w:eastAsia="仿宋" w:cs="仿宋"/>
                <w:kern w:val="2"/>
                <w:sz w:val="21"/>
                <w:szCs w:val="21"/>
                <w:u w:color="000000"/>
                <w:lang w:val="en-US"/>
              </w:rPr>
              <w:t>其他响应</w:t>
            </w:r>
            <w:r>
              <w:rPr>
                <w:rFonts w:hint="eastAsia" w:ascii="仿宋" w:hAnsi="仿宋" w:eastAsia="仿宋" w:cs="仿宋"/>
                <w:kern w:val="2"/>
                <w:sz w:val="21"/>
                <w:szCs w:val="21"/>
                <w:u w:color="000000"/>
                <w:lang w:val="en-US" w:eastAsia="zh-CN"/>
              </w:rPr>
              <w:t>单位</w:t>
            </w:r>
            <w:r>
              <w:rPr>
                <w:rFonts w:ascii="仿宋" w:hAnsi="仿宋" w:eastAsia="仿宋" w:cs="仿宋"/>
                <w:kern w:val="2"/>
                <w:sz w:val="21"/>
                <w:szCs w:val="21"/>
                <w:u w:color="000000"/>
                <w:lang w:val="en-US"/>
              </w:rPr>
              <w:t>的价格分统一按照报价得分=(基准价/响应报价)×</w:t>
            </w:r>
            <w:r>
              <w:rPr>
                <w:rFonts w:hint="eastAsia" w:ascii="仿宋" w:hAnsi="仿宋" w:eastAsia="仿宋" w:cs="仿宋"/>
                <w:kern w:val="2"/>
                <w:sz w:val="21"/>
                <w:szCs w:val="21"/>
                <w:u w:color="000000"/>
                <w:lang w:val="en-US" w:eastAsia="zh-CN"/>
              </w:rPr>
              <w:t>20分</w:t>
            </w:r>
            <w:r>
              <w:rPr>
                <w:rFonts w:ascii="仿宋" w:hAnsi="仿宋" w:eastAsia="仿宋" w:cs="仿宋"/>
                <w:kern w:val="2"/>
                <w:sz w:val="21"/>
                <w:szCs w:val="21"/>
                <w:u w:color="000000"/>
                <w:lang w:val="en-US"/>
              </w:rPr>
              <w:t>计算。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color w:val="000000"/>
                <w:sz w:val="21"/>
                <w:szCs w:val="21"/>
                <w:lang w:val="en-US" w:eastAsia="zh-CN" w:bidi="ar-SA"/>
              </w:rPr>
            </w:pPr>
            <w:r>
              <w:rPr>
                <w:rFonts w:ascii="仿宋" w:hAnsi="仿宋" w:eastAsia="仿宋" w:cs="仿宋"/>
                <w:kern w:val="2"/>
                <w:sz w:val="21"/>
                <w:szCs w:val="21"/>
                <w:u w:color="000000"/>
              </w:rPr>
              <w:t>提供响应报价，并加盖公章</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eastAsia" w:ascii="仿宋" w:hAnsi="仿宋" w:eastAsia="仿宋" w:cs="仿宋"/>
                <w:color w:val="000000"/>
                <w:sz w:val="21"/>
                <w:szCs w:val="21"/>
                <w:lang w:val="en-US" w:eastAsia="zh-CN" w:bidi="ar-SA"/>
              </w:rPr>
            </w:pPr>
            <w:r>
              <w:rPr>
                <w:rFonts w:hint="eastAsia" w:ascii="仿宋" w:hAnsi="仿宋" w:eastAsia="仿宋" w:cs="仿宋"/>
                <w:kern w:val="2"/>
                <w:sz w:val="21"/>
                <w:szCs w:val="21"/>
                <w:u w:color="000000"/>
                <w:lang w:val="en-US" w:eastAsia="zh-CN"/>
              </w:rPr>
              <w:t>20</w:t>
            </w:r>
            <w:r>
              <w:rPr>
                <w:rFonts w:ascii="仿宋" w:hAnsi="仿宋" w:eastAsia="仿宋" w:cs="仿宋"/>
                <w:kern w:val="2"/>
                <w:sz w:val="21"/>
                <w:szCs w:val="21"/>
                <w:u w:color="000000"/>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45" w:hRule="atLeast"/>
          <w:jc w:val="center"/>
        </w:trPr>
        <w:tc>
          <w:tcPr>
            <w:tcW w:w="1068"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adjustRightInd w:val="0"/>
              <w:snapToGrid w:val="0"/>
              <w:spacing w:line="400" w:lineRule="exact"/>
              <w:jc w:val="center"/>
              <w:rPr>
                <w:rFonts w:ascii="仿宋" w:hAnsi="仿宋" w:eastAsia="仿宋" w:cs="仿宋"/>
                <w:color w:val="auto"/>
                <w:kern w:val="0"/>
                <w:sz w:val="21"/>
                <w:szCs w:val="21"/>
              </w:rPr>
            </w:pPr>
            <w:r>
              <w:rPr>
                <w:rFonts w:hint="eastAsia" w:ascii="仿宋" w:hAnsi="仿宋" w:eastAsia="仿宋" w:cs="仿宋"/>
                <w:color w:val="auto"/>
                <w:kern w:val="0"/>
                <w:sz w:val="21"/>
                <w:szCs w:val="21"/>
              </w:rPr>
              <w:t>国际评级</w:t>
            </w:r>
          </w:p>
          <w:p>
            <w:pPr>
              <w:widowControl w:val="0"/>
              <w:tabs>
                <w:tab w:val="left" w:pos="420"/>
              </w:tabs>
              <w:spacing w:before="0" w:line="20" w:lineRule="atLeast"/>
              <w:jc w:val="center"/>
              <w:rPr>
                <w:rFonts w:hint="eastAsia" w:ascii="仿宋" w:hAnsi="仿宋" w:eastAsia="仿宋" w:cs="仿宋"/>
                <w:kern w:val="2"/>
                <w:sz w:val="21"/>
                <w:szCs w:val="21"/>
                <w:u w:color="000000"/>
                <w:lang w:val="en-US" w:eastAsia="zh-CN"/>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jc w:val="left"/>
              <w:rPr>
                <w:rFonts w:ascii="仿宋" w:hAnsi="仿宋" w:eastAsia="仿宋" w:cs="仿宋"/>
                <w:sz w:val="21"/>
                <w:szCs w:val="21"/>
              </w:rPr>
            </w:pPr>
            <w:r>
              <w:rPr>
                <w:rFonts w:hint="eastAsia" w:ascii="仿宋" w:hAnsi="仿宋" w:eastAsia="仿宋" w:cs="仿宋"/>
                <w:sz w:val="21"/>
                <w:szCs w:val="21"/>
              </w:rPr>
              <w:t>根据供应商提供的国际三大</w:t>
            </w:r>
            <w:r>
              <w:rPr>
                <w:rFonts w:ascii="仿宋" w:hAnsi="仿宋" w:eastAsia="仿宋" w:cs="仿宋"/>
                <w:sz w:val="21"/>
                <w:szCs w:val="21"/>
              </w:rPr>
              <w:t>评级</w:t>
            </w:r>
            <w:r>
              <w:rPr>
                <w:rFonts w:hint="eastAsia" w:ascii="仿宋" w:hAnsi="仿宋" w:eastAsia="仿宋" w:cs="仿宋"/>
                <w:sz w:val="21"/>
                <w:szCs w:val="21"/>
              </w:rPr>
              <w:t>机构（标准</w:t>
            </w:r>
            <w:r>
              <w:rPr>
                <w:rFonts w:ascii="仿宋" w:hAnsi="仿宋" w:eastAsia="仿宋" w:cs="仿宋"/>
                <w:sz w:val="21"/>
                <w:szCs w:val="21"/>
              </w:rPr>
              <w:t>普尔、穆迪、惠誉国际</w:t>
            </w:r>
            <w:r>
              <w:rPr>
                <w:rFonts w:hint="eastAsia" w:ascii="仿宋" w:hAnsi="仿宋" w:eastAsia="仿宋" w:cs="仿宋"/>
                <w:sz w:val="21"/>
                <w:szCs w:val="21"/>
              </w:rPr>
              <w:t>）</w:t>
            </w:r>
            <w:r>
              <w:rPr>
                <w:rFonts w:ascii="仿宋" w:hAnsi="仿宋" w:eastAsia="仿宋" w:cs="仿宋"/>
                <w:sz w:val="21"/>
                <w:szCs w:val="21"/>
              </w:rPr>
              <w:t>出具</w:t>
            </w:r>
            <w:r>
              <w:rPr>
                <w:rFonts w:hint="eastAsia" w:ascii="仿宋" w:hAnsi="仿宋" w:eastAsia="仿宋" w:cs="仿宋"/>
                <w:sz w:val="21"/>
                <w:szCs w:val="21"/>
              </w:rPr>
              <w:t>的评级报告，202</w:t>
            </w:r>
            <w:r>
              <w:rPr>
                <w:rFonts w:hint="eastAsia" w:ascii="仿宋" w:hAnsi="仿宋" w:eastAsia="仿宋" w:cs="仿宋"/>
                <w:sz w:val="21"/>
                <w:szCs w:val="21"/>
                <w:lang w:val="en-US" w:eastAsia="zh-CN"/>
              </w:rPr>
              <w:t>4</w:t>
            </w:r>
            <w:r>
              <w:rPr>
                <w:rFonts w:hint="eastAsia" w:ascii="仿宋" w:hAnsi="仿宋" w:eastAsia="仿宋" w:cs="仿宋"/>
                <w:sz w:val="21"/>
                <w:szCs w:val="21"/>
              </w:rPr>
              <w:t>年度的</w:t>
            </w:r>
            <w:r>
              <w:rPr>
                <w:rFonts w:hint="eastAsia" w:ascii="仿宋" w:hAnsi="仿宋" w:eastAsia="仿宋" w:cs="仿宋"/>
                <w:kern w:val="0"/>
                <w:sz w:val="21"/>
                <w:szCs w:val="21"/>
              </w:rPr>
              <w:t>国际评级</w:t>
            </w:r>
            <w:r>
              <w:rPr>
                <w:rFonts w:hint="eastAsia" w:ascii="仿宋" w:hAnsi="仿宋" w:eastAsia="仿宋" w:cs="仿宋"/>
                <w:sz w:val="21"/>
                <w:szCs w:val="21"/>
              </w:rPr>
              <w:t>进行评审：</w:t>
            </w:r>
          </w:p>
          <w:p>
            <w:pPr>
              <w:adjustRightInd w:val="0"/>
              <w:snapToGrid w:val="0"/>
              <w:spacing w:line="300" w:lineRule="exact"/>
              <w:jc w:val="left"/>
              <w:rPr>
                <w:rFonts w:ascii="仿宋" w:hAnsi="仿宋" w:eastAsia="仿宋" w:cs="仿宋"/>
                <w:kern w:val="0"/>
                <w:sz w:val="21"/>
                <w:szCs w:val="21"/>
              </w:rPr>
            </w:pPr>
            <w:r>
              <w:rPr>
                <w:rFonts w:hint="eastAsia" w:ascii="仿宋" w:hAnsi="仿宋" w:eastAsia="仿宋" w:cs="仿宋"/>
                <w:kern w:val="0"/>
                <w:sz w:val="21"/>
                <w:szCs w:val="21"/>
              </w:rPr>
              <w:t>（1）供应商在评级中获得</w:t>
            </w:r>
            <w:r>
              <w:rPr>
                <w:rFonts w:ascii="仿宋" w:hAnsi="仿宋" w:eastAsia="仿宋" w:cs="仿宋"/>
                <w:kern w:val="0"/>
                <w:sz w:val="21"/>
                <w:szCs w:val="21"/>
              </w:rPr>
              <w:t>A级</w:t>
            </w:r>
            <w:r>
              <w:rPr>
                <w:rFonts w:hint="eastAsia" w:ascii="仿宋" w:hAnsi="仿宋" w:eastAsia="仿宋" w:cs="仿宋"/>
                <w:kern w:val="0"/>
                <w:sz w:val="21"/>
                <w:szCs w:val="21"/>
              </w:rPr>
              <w:t>及A级</w:t>
            </w:r>
            <w:r>
              <w:rPr>
                <w:rFonts w:ascii="仿宋" w:hAnsi="仿宋" w:eastAsia="仿宋" w:cs="仿宋"/>
                <w:kern w:val="0"/>
                <w:sz w:val="21"/>
                <w:szCs w:val="21"/>
              </w:rPr>
              <w:t>以上</w:t>
            </w:r>
            <w:r>
              <w:rPr>
                <w:rFonts w:hint="eastAsia" w:ascii="仿宋" w:hAnsi="仿宋" w:eastAsia="仿宋" w:cs="仿宋"/>
                <w:kern w:val="0"/>
                <w:sz w:val="21"/>
                <w:szCs w:val="21"/>
              </w:rPr>
              <w:t>评价的，得</w:t>
            </w:r>
            <w:r>
              <w:rPr>
                <w:rFonts w:hint="eastAsia" w:ascii="仿宋" w:hAnsi="仿宋" w:eastAsia="仿宋" w:cs="仿宋"/>
                <w:kern w:val="0"/>
                <w:sz w:val="21"/>
                <w:szCs w:val="21"/>
                <w:lang w:val="en-US" w:eastAsia="zh-CN"/>
              </w:rPr>
              <w:t>5</w:t>
            </w:r>
            <w:r>
              <w:rPr>
                <w:rFonts w:ascii="仿宋" w:hAnsi="仿宋" w:eastAsia="仿宋" w:cs="仿宋"/>
                <w:kern w:val="0"/>
                <w:sz w:val="21"/>
                <w:szCs w:val="21"/>
              </w:rPr>
              <w:t>分</w:t>
            </w:r>
          </w:p>
          <w:p>
            <w:pPr>
              <w:adjustRightInd w:val="0"/>
              <w:snapToGrid w:val="0"/>
              <w:spacing w:line="300" w:lineRule="exact"/>
              <w:jc w:val="left"/>
              <w:rPr>
                <w:rFonts w:ascii="仿宋" w:hAnsi="仿宋" w:eastAsia="仿宋" w:cs="仿宋"/>
                <w:kern w:val="0"/>
                <w:sz w:val="21"/>
                <w:szCs w:val="21"/>
              </w:rPr>
            </w:pPr>
            <w:r>
              <w:rPr>
                <w:rFonts w:hint="eastAsia" w:ascii="仿宋" w:hAnsi="仿宋" w:eastAsia="仿宋" w:cs="仿宋"/>
                <w:kern w:val="0"/>
                <w:sz w:val="21"/>
                <w:szCs w:val="21"/>
              </w:rPr>
              <w:t>（2）供应商在风险综合评级中获得</w:t>
            </w:r>
            <w:r>
              <w:rPr>
                <w:rFonts w:ascii="仿宋" w:hAnsi="仿宋" w:eastAsia="仿宋" w:cs="仿宋"/>
                <w:kern w:val="0"/>
                <w:sz w:val="21"/>
                <w:szCs w:val="21"/>
              </w:rPr>
              <w:t>B</w:t>
            </w:r>
            <w:r>
              <w:rPr>
                <w:rFonts w:hint="eastAsia" w:ascii="仿宋" w:hAnsi="仿宋" w:eastAsia="仿宋" w:cs="仿宋"/>
                <w:kern w:val="0"/>
                <w:sz w:val="21"/>
                <w:szCs w:val="21"/>
              </w:rPr>
              <w:t>级评价的，得</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分；</w:t>
            </w:r>
          </w:p>
          <w:p>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0"/>
                <w:sz w:val="21"/>
                <w:szCs w:val="21"/>
              </w:rPr>
              <w:t>（3）其他情况或未提供证明文件者不得分。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提供信用评级证书或其他证明文件的复印件加盖投标人公章。未按要求提供或资料不清晰导致专家无法判定的不得分。</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5分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31" w:hRule="atLeast"/>
          <w:jc w:val="center"/>
        </w:trPr>
        <w:tc>
          <w:tcPr>
            <w:tcW w:w="1068"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保险业绩</w:t>
            </w:r>
          </w:p>
        </w:tc>
        <w:tc>
          <w:tcPr>
            <w:tcW w:w="4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left"/>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eastAsia="zh-CN"/>
              </w:rPr>
              <w:t>近</w:t>
            </w:r>
            <w:r>
              <w:rPr>
                <w:rFonts w:hint="eastAsia" w:ascii="仿宋" w:hAnsi="仿宋" w:eastAsia="仿宋" w:cs="仿宋"/>
                <w:kern w:val="2"/>
                <w:sz w:val="21"/>
                <w:szCs w:val="21"/>
                <w:u w:color="000000"/>
                <w:lang w:val="en-US" w:eastAsia="zh-CN"/>
              </w:rPr>
              <w:t>三</w:t>
            </w:r>
            <w:r>
              <w:rPr>
                <w:rFonts w:hint="eastAsia" w:ascii="仿宋" w:hAnsi="仿宋" w:eastAsia="仿宋" w:cs="仿宋"/>
                <w:kern w:val="2"/>
                <w:sz w:val="21"/>
                <w:szCs w:val="21"/>
                <w:u w:color="000000"/>
                <w:lang w:eastAsia="zh-CN"/>
              </w:rPr>
              <w:t>年（合同公告日倒算）响应单位的物业财产保险中，单一保单保额大于</w:t>
            </w:r>
            <w:r>
              <w:rPr>
                <w:rFonts w:hint="eastAsia" w:ascii="仿宋" w:hAnsi="仿宋" w:eastAsia="仿宋" w:cs="仿宋"/>
                <w:kern w:val="2"/>
                <w:sz w:val="21"/>
                <w:szCs w:val="21"/>
                <w:u w:color="000000"/>
                <w:lang w:val="en-US" w:eastAsia="zh-CN"/>
              </w:rPr>
              <w:t>30亿元的业绩，每有1个业绩得2分， 最高得10分。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提供保单或合同，加盖公章。</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14" w:hRule="atLeast"/>
          <w:jc w:val="center"/>
        </w:trPr>
        <w:tc>
          <w:tcPr>
            <w:tcW w:w="1068"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保险偿付能力</w:t>
            </w:r>
          </w:p>
        </w:tc>
        <w:tc>
          <w:tcPr>
            <w:tcW w:w="4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投标人（如投标人为分公司的，则以总公司的核心偿付能力充足率为准）2023年第四季度至2024年第三季度的核心偿付能力充足率情况：</w:t>
            </w:r>
          </w:p>
          <w:p>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1、核心偿付能力充足率≥200%，得15分；</w:t>
            </w:r>
          </w:p>
          <w:p>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2、170%≤核心偿付能力充足率＜200%，得9分；</w:t>
            </w:r>
          </w:p>
          <w:p>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3、100%≤核心偿付能力充足率＜170%，得6分；</w:t>
            </w:r>
          </w:p>
          <w:p>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4、其他情况不得分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提供偿付能力证明</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15分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95" w:hRule="atLeast"/>
          <w:jc w:val="center"/>
        </w:trPr>
        <w:tc>
          <w:tcPr>
            <w:tcW w:w="1068"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纳统管理</w:t>
            </w:r>
          </w:p>
        </w:tc>
        <w:tc>
          <w:tcPr>
            <w:tcW w:w="4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响应单位承诺保费纳统计入龙岗区的，得5分，其余不得分。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zh-TW" w:eastAsia="zh-TW"/>
              </w:rPr>
            </w:pPr>
            <w:r>
              <w:rPr>
                <w:rFonts w:hint="eastAsia" w:ascii="仿宋" w:hAnsi="仿宋" w:eastAsia="仿宋" w:cs="仿宋"/>
                <w:kern w:val="2"/>
                <w:sz w:val="21"/>
                <w:szCs w:val="21"/>
                <w:u w:color="000000"/>
                <w:lang w:val="en-US" w:eastAsia="zh-CN"/>
              </w:rPr>
              <w:t>出单归属龙岗区域（纳统）承诺函（格式自拟）</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5分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32" w:hRule="atLeast"/>
          <w:jc w:val="center"/>
        </w:trPr>
        <w:tc>
          <w:tcPr>
            <w:tcW w:w="1068"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保单扩展条款</w:t>
            </w:r>
          </w:p>
        </w:tc>
        <w:tc>
          <w:tcPr>
            <w:tcW w:w="4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响应单位增加有利于采购人的扩展条款，1、有扩展玻璃破碎条款、地震损失条款、自动喷淋水拓展条款、水箱及水管破损拓展条款的，得4分；</w:t>
            </w:r>
          </w:p>
          <w:p>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2、其他扩展条款由供应商自主提供，由评审人员根据响应单位拓展条款方案进行评审，优的得6分，一般得2分，差不得分。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提供拓展条款方案</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54" w:hRule="atLeast"/>
          <w:jc w:val="center"/>
        </w:trPr>
        <w:tc>
          <w:tcPr>
            <w:tcW w:w="1068"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保险理赔服务方案</w:t>
            </w:r>
          </w:p>
        </w:tc>
        <w:tc>
          <w:tcPr>
            <w:tcW w:w="4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eastAsia="zh-CN"/>
              </w:rPr>
            </w:pPr>
            <w:r>
              <w:rPr>
                <w:rFonts w:hint="eastAsia" w:ascii="仿宋" w:hAnsi="仿宋" w:eastAsia="仿宋" w:cs="仿宋"/>
                <w:kern w:val="2"/>
                <w:sz w:val="21"/>
                <w:szCs w:val="21"/>
                <w:u w:color="000000"/>
                <w:lang w:eastAsia="zh-CN"/>
              </w:rPr>
              <w:t>综合比较投标人的项目服务方案，横向对比保险理赔报案及理赔方案（含流程）、勘察定损方案（幕墙玻璃定损方案）、定损及理赔费用拨付的时效性相关承诺等进行打分：</w:t>
            </w:r>
          </w:p>
          <w:p>
            <w:pPr>
              <w:widowControl w:val="0"/>
              <w:numPr>
                <w:ilvl w:val="0"/>
                <w:numId w:val="1"/>
              </w:numPr>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eastAsia="zh-CN"/>
              </w:rPr>
              <w:t>优：方案及流程齐全，符合项目实际，可行性强，时效快的，得</w:t>
            </w:r>
            <w:r>
              <w:rPr>
                <w:rFonts w:hint="eastAsia" w:ascii="仿宋" w:hAnsi="仿宋" w:eastAsia="仿宋" w:cs="仿宋"/>
                <w:kern w:val="2"/>
                <w:sz w:val="21"/>
                <w:szCs w:val="21"/>
                <w:u w:color="000000"/>
                <w:lang w:val="en-US" w:eastAsia="zh-CN"/>
              </w:rPr>
              <w:t>9-12分；</w:t>
            </w:r>
          </w:p>
          <w:p>
            <w:pPr>
              <w:widowControl w:val="0"/>
              <w:numPr>
                <w:ilvl w:val="0"/>
                <w:numId w:val="1"/>
              </w:numPr>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eastAsia="zh-CN"/>
              </w:rPr>
              <w:t>一般：内容完整，较符合实际，可行性一般、服务一般，得</w:t>
            </w:r>
            <w:r>
              <w:rPr>
                <w:rFonts w:hint="eastAsia" w:ascii="仿宋" w:hAnsi="仿宋" w:eastAsia="仿宋" w:cs="仿宋"/>
                <w:kern w:val="2"/>
                <w:sz w:val="21"/>
                <w:szCs w:val="21"/>
                <w:u w:color="000000"/>
                <w:lang w:val="en-US" w:eastAsia="zh-CN"/>
              </w:rPr>
              <w:t>5-8分；</w:t>
            </w:r>
          </w:p>
          <w:p>
            <w:pPr>
              <w:widowControl w:val="0"/>
              <w:numPr>
                <w:ilvl w:val="0"/>
                <w:numId w:val="1"/>
              </w:numPr>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差：未提供资料或提供的内容不完整，针对性差，得0-4分；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eastAsia="zh-CN"/>
              </w:rPr>
            </w:pPr>
            <w:r>
              <w:rPr>
                <w:rFonts w:hint="eastAsia" w:ascii="仿宋" w:hAnsi="仿宋" w:eastAsia="仿宋" w:cs="仿宋"/>
                <w:kern w:val="2"/>
                <w:sz w:val="21"/>
                <w:szCs w:val="21"/>
                <w:u w:color="000000"/>
                <w:lang w:eastAsia="zh-CN"/>
              </w:rPr>
              <w:t>提供项目相关服务方案及响应承诺</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12分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849" w:hRule="atLeast"/>
          <w:jc w:val="center"/>
        </w:trPr>
        <w:tc>
          <w:tcPr>
            <w:tcW w:w="1068"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保费规模</w:t>
            </w:r>
          </w:p>
        </w:tc>
        <w:tc>
          <w:tcPr>
            <w:tcW w:w="4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eastAsia="zh-CN"/>
              </w:rPr>
              <w:t>根据响应单位202</w:t>
            </w:r>
            <w:r>
              <w:rPr>
                <w:rFonts w:hint="eastAsia" w:ascii="仿宋" w:hAnsi="仿宋" w:eastAsia="仿宋" w:cs="仿宋"/>
                <w:kern w:val="2"/>
                <w:sz w:val="21"/>
                <w:szCs w:val="21"/>
                <w:u w:color="000000"/>
                <w:lang w:val="en-US" w:eastAsia="zh-CN"/>
              </w:rPr>
              <w:t>4年度总公司整体</w:t>
            </w:r>
            <w:r>
              <w:rPr>
                <w:rFonts w:hint="eastAsia" w:ascii="仿宋" w:hAnsi="仿宋" w:eastAsia="仿宋" w:cs="仿宋"/>
                <w:kern w:val="2"/>
                <w:sz w:val="21"/>
                <w:szCs w:val="21"/>
                <w:u w:color="000000"/>
                <w:lang w:eastAsia="zh-CN"/>
              </w:rPr>
              <w:t>保费收入及非车险保费收入规模进行排名（由多至少）：</w:t>
            </w:r>
            <w:r>
              <w:rPr>
                <w:rFonts w:hint="eastAsia" w:ascii="仿宋" w:hAnsi="仿宋" w:eastAsia="仿宋" w:cs="仿宋"/>
                <w:kern w:val="2"/>
                <w:sz w:val="21"/>
                <w:szCs w:val="21"/>
                <w:u w:color="000000"/>
                <w:lang w:eastAsia="zh-CN"/>
              </w:rPr>
              <w:br w:type="textWrapping"/>
            </w:r>
            <w:r>
              <w:rPr>
                <w:rFonts w:hint="eastAsia" w:ascii="仿宋" w:hAnsi="仿宋" w:eastAsia="仿宋" w:cs="仿宋"/>
                <w:kern w:val="2"/>
                <w:sz w:val="21"/>
                <w:szCs w:val="21"/>
                <w:u w:color="000000"/>
                <w:lang w:eastAsia="zh-CN"/>
              </w:rPr>
              <w:t>整体保费收入：第一名的得</w:t>
            </w:r>
            <w:r>
              <w:rPr>
                <w:rFonts w:hint="eastAsia" w:ascii="仿宋" w:hAnsi="仿宋" w:eastAsia="仿宋" w:cs="仿宋"/>
                <w:kern w:val="2"/>
                <w:sz w:val="21"/>
                <w:szCs w:val="21"/>
                <w:u w:color="000000"/>
                <w:lang w:val="en-US" w:eastAsia="zh-CN"/>
              </w:rPr>
              <w:t>5分，第二名的得3分，第三名得1分，其他不得分。</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非车险保费收入：</w:t>
            </w:r>
            <w:r>
              <w:rPr>
                <w:rFonts w:hint="eastAsia" w:ascii="仿宋" w:hAnsi="仿宋" w:eastAsia="仿宋" w:cs="仿宋"/>
                <w:kern w:val="2"/>
                <w:sz w:val="21"/>
                <w:szCs w:val="21"/>
                <w:u w:color="000000"/>
                <w:lang w:eastAsia="zh-CN"/>
              </w:rPr>
              <w:t>第一名的得</w:t>
            </w:r>
            <w:r>
              <w:rPr>
                <w:rFonts w:hint="eastAsia" w:ascii="仿宋" w:hAnsi="仿宋" w:eastAsia="仿宋" w:cs="仿宋"/>
                <w:kern w:val="2"/>
                <w:sz w:val="21"/>
                <w:szCs w:val="21"/>
                <w:u w:color="000000"/>
                <w:lang w:val="en-US" w:eastAsia="zh-CN"/>
              </w:rPr>
              <w:t>5分，第二名的得3分，第三名得1分，其他不得分。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提供保费收入证明</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98" w:hRule="atLeast"/>
          <w:jc w:val="center"/>
        </w:trPr>
        <w:tc>
          <w:tcPr>
            <w:tcW w:w="1068"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eastAsia="zh-CN"/>
              </w:rPr>
              <w:t>免赔额</w:t>
            </w:r>
          </w:p>
        </w:tc>
        <w:tc>
          <w:tcPr>
            <w:tcW w:w="4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一、一般事故免赔额部分</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w:t>
            </w:r>
            <w:r>
              <w:rPr>
                <w:rFonts w:hint="eastAsia" w:ascii="仿宋" w:hAnsi="仿宋" w:eastAsia="仿宋" w:cs="仿宋"/>
                <w:kern w:val="2"/>
                <w:sz w:val="21"/>
                <w:szCs w:val="21"/>
                <w:u w:color="000000"/>
                <w:lang w:eastAsia="zh-CN"/>
              </w:rPr>
              <w:t>单次事故</w:t>
            </w:r>
            <w:r>
              <w:rPr>
                <w:rFonts w:hint="eastAsia" w:ascii="仿宋" w:hAnsi="仿宋" w:eastAsia="仿宋" w:cs="仿宋"/>
                <w:kern w:val="2"/>
                <w:sz w:val="21"/>
                <w:szCs w:val="21"/>
                <w:u w:color="000000"/>
                <w:lang w:val="en-US" w:eastAsia="zh-CN"/>
              </w:rPr>
              <w:t>免赔额最高</w:t>
            </w:r>
            <w:r>
              <w:rPr>
                <w:rFonts w:hint="eastAsia" w:ascii="仿宋" w:hAnsi="仿宋" w:eastAsia="仿宋" w:cs="仿宋"/>
                <w:kern w:val="2"/>
                <w:sz w:val="21"/>
                <w:szCs w:val="21"/>
                <w:u w:color="000000"/>
                <w:lang w:eastAsia="zh-CN"/>
              </w:rPr>
              <w:t>为</w:t>
            </w:r>
            <w:r>
              <w:rPr>
                <w:rFonts w:hint="eastAsia" w:ascii="仿宋" w:hAnsi="仿宋" w:eastAsia="仿宋" w:cs="仿宋"/>
                <w:kern w:val="2"/>
                <w:sz w:val="21"/>
                <w:szCs w:val="21"/>
                <w:u w:color="000000"/>
                <w:lang w:val="en-US" w:eastAsia="zh-CN"/>
              </w:rPr>
              <w:t>1000元或损失金额的5%（以较高值为准），满足该条件的，得2分，不满足该条款，不得分。</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2、无免赔额的，得4分。</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二、地震免赔额部分</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1、有地震拓展条款，且地震单次事故免赔额最高为 200000 元或损失金额的 20%，两者以高者为准，满足该条件的，得2分</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2、地震单次事故免赔额最高为100000元或损失金额的10%，两者以高者为准，满足该条件的，得4分；</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3、无地震事故免赔额的，得5分；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sz w:val="21"/>
                <w:szCs w:val="21"/>
                <w:lang w:eastAsia="zh-CN"/>
              </w:rPr>
            </w:pPr>
            <w:r>
              <w:rPr>
                <w:rFonts w:hint="eastAsia" w:ascii="仿宋" w:hAnsi="仿宋" w:eastAsia="仿宋" w:cs="仿宋"/>
                <w:sz w:val="21"/>
                <w:szCs w:val="21"/>
                <w:u w:color="000000"/>
                <w:lang w:eastAsia="zh-CN"/>
              </w:rPr>
              <w:t>提供免赔额方案</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02" w:hRule="atLeast"/>
          <w:jc w:val="center"/>
        </w:trPr>
        <w:tc>
          <w:tcPr>
            <w:tcW w:w="1068"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仿宋" w:hAnsi="仿宋" w:eastAsia="仿宋" w:cs="仿宋"/>
                <w:kern w:val="2"/>
                <w:sz w:val="21"/>
                <w:szCs w:val="21"/>
                <w:u w:color="000000"/>
                <w:lang w:eastAsia="zh-CN"/>
              </w:rPr>
            </w:pPr>
            <w:r>
              <w:rPr>
                <w:rFonts w:hint="eastAsia" w:ascii="仿宋" w:hAnsi="仿宋" w:eastAsia="仿宋" w:cs="仿宋"/>
                <w:sz w:val="21"/>
                <w:szCs w:val="21"/>
                <w:highlight w:val="none"/>
                <w:lang w:eastAsia="zh-CN"/>
              </w:rPr>
              <w:t>服务便利性</w:t>
            </w:r>
          </w:p>
        </w:tc>
        <w:tc>
          <w:tcPr>
            <w:tcW w:w="4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default" w:ascii="仿宋" w:hAnsi="仿宋" w:eastAsia="仿宋" w:cs="仿宋"/>
                <w:kern w:val="2"/>
                <w:sz w:val="21"/>
                <w:szCs w:val="21"/>
                <w:u w:color="000000"/>
                <w:lang w:val="en-US" w:eastAsia="zh-CN"/>
              </w:rPr>
            </w:pPr>
            <w:r>
              <w:rPr>
                <w:rFonts w:hint="eastAsia" w:ascii="仿宋" w:hAnsi="仿宋" w:eastAsia="仿宋" w:cs="仿宋"/>
                <w:color w:val="auto"/>
                <w:sz w:val="21"/>
                <w:szCs w:val="21"/>
                <w:highlight w:val="none"/>
                <w:lang w:eastAsia="zh-CN"/>
              </w:rPr>
              <w:t>响应单位在龙岗区范围内设立服务团队，并按照服务团队到项目的时间便利度进行评分，按照服务团队到达</w:t>
            </w:r>
            <w:r>
              <w:rPr>
                <w:rFonts w:hint="eastAsia" w:ascii="仿宋" w:hAnsi="仿宋" w:eastAsia="仿宋" w:cs="仿宋"/>
                <w:color w:val="auto"/>
                <w:sz w:val="21"/>
                <w:szCs w:val="21"/>
                <w:highlight w:val="none"/>
              </w:rPr>
              <w:t>创投大厦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智慧家园</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龙城工业园等</w:t>
            </w:r>
            <w:r>
              <w:rPr>
                <w:rFonts w:hint="eastAsia" w:ascii="仿宋" w:hAnsi="仿宋" w:eastAsia="仿宋" w:cs="仿宋"/>
                <w:color w:val="auto"/>
                <w:sz w:val="21"/>
                <w:szCs w:val="21"/>
                <w:highlight w:val="none"/>
              </w:rPr>
              <w:t>任一项目</w:t>
            </w:r>
            <w:r>
              <w:rPr>
                <w:rFonts w:hint="eastAsia" w:ascii="仿宋" w:hAnsi="仿宋" w:eastAsia="仿宋" w:cs="仿宋"/>
                <w:color w:val="auto"/>
                <w:sz w:val="21"/>
                <w:szCs w:val="21"/>
                <w:highlight w:val="none"/>
                <w:lang w:eastAsia="zh-CN"/>
              </w:rPr>
              <w:t>的时间进行横向比较，优：得</w:t>
            </w:r>
            <w:r>
              <w:rPr>
                <w:rFonts w:hint="eastAsia" w:ascii="仿宋" w:hAnsi="仿宋" w:eastAsia="仿宋" w:cs="仿宋"/>
                <w:color w:val="auto"/>
                <w:sz w:val="21"/>
                <w:szCs w:val="21"/>
                <w:highlight w:val="none"/>
                <w:lang w:val="en-US" w:eastAsia="zh-CN"/>
              </w:rPr>
              <w:t>4分；中：得2分；差：不得分。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仿宋" w:hAnsi="仿宋" w:eastAsia="仿宋" w:cs="仿宋"/>
                <w:sz w:val="21"/>
                <w:szCs w:val="21"/>
                <w:u w:color="000000"/>
                <w:lang w:eastAsia="zh-CN"/>
              </w:rPr>
            </w:pPr>
            <w:r>
              <w:rPr>
                <w:rFonts w:hint="eastAsia" w:ascii="仿宋" w:hAnsi="仿宋" w:eastAsia="仿宋" w:cs="仿宋"/>
                <w:sz w:val="21"/>
                <w:szCs w:val="21"/>
                <w:u w:color="000000"/>
                <w:lang w:eastAsia="zh-CN"/>
              </w:rPr>
              <w:t>提供服务团队人员信息及服务地址（租赁合同或凭证）</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7" w:hRule="atLeast"/>
          <w:jc w:val="center"/>
        </w:trPr>
        <w:tc>
          <w:tcPr>
            <w:tcW w:w="8010" w:type="dxa"/>
            <w:gridSpan w:val="4"/>
            <w:tcBorders>
              <w:top w:val="single" w:color="000000" w:sz="4" w:space="0"/>
              <w:left w:val="single" w:color="000000" w:sz="12"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eastAsia" w:ascii="仿宋" w:hAnsi="仿宋" w:eastAsia="仿宋" w:cs="仿宋"/>
                <w:sz w:val="21"/>
                <w:szCs w:val="21"/>
              </w:rPr>
            </w:pPr>
            <w:r>
              <w:rPr>
                <w:rFonts w:ascii="仿宋" w:hAnsi="仿宋" w:eastAsia="仿宋" w:cs="仿宋"/>
                <w:kern w:val="2"/>
                <w:sz w:val="21"/>
                <w:szCs w:val="21"/>
                <w:u w:color="000000"/>
              </w:rPr>
              <w:t>合计</w:t>
            </w:r>
          </w:p>
        </w:tc>
        <w:tc>
          <w:tcPr>
            <w:tcW w:w="1167" w:type="dxa"/>
            <w:tcBorders>
              <w:top w:val="single" w:color="000000" w:sz="4"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pPr>
              <w:tabs>
                <w:tab w:val="left" w:pos="420"/>
              </w:tabs>
              <w:spacing w:before="0" w:line="20" w:lineRule="atLeast"/>
              <w:jc w:val="center"/>
              <w:rPr>
                <w:rFonts w:hint="eastAsia" w:ascii="仿宋" w:hAnsi="仿宋" w:eastAsia="仿宋" w:cs="仿宋"/>
                <w:sz w:val="21"/>
                <w:szCs w:val="21"/>
              </w:rPr>
            </w:pPr>
            <w:r>
              <w:rPr>
                <w:rFonts w:ascii="仿宋" w:hAnsi="仿宋" w:eastAsia="仿宋" w:cs="仿宋"/>
                <w:kern w:val="2"/>
                <w:sz w:val="21"/>
                <w:szCs w:val="21"/>
                <w:u w:color="000000"/>
                <w:lang w:val="en-US"/>
              </w:rPr>
              <w:t>100</w:t>
            </w:r>
            <w:r>
              <w:rPr>
                <w:rFonts w:ascii="仿宋" w:hAnsi="仿宋" w:eastAsia="仿宋" w:cs="仿宋"/>
                <w:kern w:val="2"/>
                <w:sz w:val="21"/>
                <w:szCs w:val="21"/>
                <w:u w:color="000000"/>
              </w:rPr>
              <w:t>分</w:t>
            </w: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u w:color="000000"/>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u w:color="000000"/>
        </w:rPr>
      </w:pPr>
      <w:r>
        <w:rPr>
          <w:rFonts w:ascii="黑体" w:hAnsi="黑体" w:eastAsia="黑体" w:cs="黑体"/>
          <w:kern w:val="2"/>
          <w:sz w:val="21"/>
          <w:szCs w:val="21"/>
          <w:u w:color="000000"/>
        </w:rPr>
        <w:t>备注：</w:t>
      </w:r>
      <w:r>
        <w:rPr>
          <w:rFonts w:ascii="黑体" w:hAnsi="黑体" w:eastAsia="黑体" w:cs="黑体"/>
          <w:kern w:val="2"/>
          <w:sz w:val="21"/>
          <w:szCs w:val="21"/>
          <w:u w:color="000000"/>
          <w:lang w:val="en-US"/>
        </w:rPr>
        <w:t>1.</w:t>
      </w:r>
      <w:r>
        <w:rPr>
          <w:rFonts w:ascii="黑体" w:hAnsi="黑体" w:eastAsia="黑体" w:cs="黑体"/>
          <w:kern w:val="2"/>
          <w:sz w:val="21"/>
          <w:szCs w:val="21"/>
          <w:u w:color="000000"/>
        </w:rPr>
        <w:t>各项评审打分按照四舍五入，小数点后保留</w:t>
      </w:r>
      <w:r>
        <w:rPr>
          <w:rFonts w:ascii="黑体" w:hAnsi="黑体" w:eastAsia="黑体" w:cs="黑体"/>
          <w:kern w:val="2"/>
          <w:sz w:val="21"/>
          <w:szCs w:val="21"/>
          <w:u w:color="000000"/>
          <w:lang w:val="en-US"/>
        </w:rPr>
        <w:t>2</w:t>
      </w:r>
      <w:r>
        <w:rPr>
          <w:rFonts w:ascii="黑体" w:hAnsi="黑体" w:eastAsia="黑体" w:cs="黑体"/>
          <w:kern w:val="2"/>
          <w:sz w:val="21"/>
          <w:szCs w:val="21"/>
          <w:u w:color="000000"/>
        </w:rPr>
        <w:t>位进行计算；</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u w:color="000000"/>
          <w:lang w:val="en-US"/>
        </w:rPr>
        <w:t xml:space="preserve">          2.</w:t>
      </w:r>
      <w:r>
        <w:rPr>
          <w:rFonts w:ascii="黑体" w:hAnsi="黑体" w:eastAsia="黑体" w:cs="黑体"/>
          <w:kern w:val="2"/>
          <w:sz w:val="21"/>
          <w:szCs w:val="21"/>
          <w:u w:color="000000"/>
        </w:rPr>
        <w:t>若出现拟推荐成交候选供应商票数相同的情况，以未推荐上述单位的评审专家对并列第一的候选供应商既定打分排序作为最</w:t>
      </w:r>
      <w:bookmarkStart w:id="0" w:name="_GoBack"/>
      <w:bookmarkEnd w:id="0"/>
      <w:r>
        <w:rPr>
          <w:rFonts w:ascii="黑体" w:hAnsi="黑体" w:eastAsia="黑体" w:cs="黑体"/>
          <w:kern w:val="2"/>
          <w:sz w:val="21"/>
          <w:szCs w:val="21"/>
          <w:u w:color="000000"/>
        </w:rPr>
        <w:t>终选定依据。</w:t>
      </w:r>
    </w:p>
    <w:sectPr>
      <w:headerReference r:id="rId4" w:type="default"/>
      <w:footerReference r:id="rId5" w:type="default"/>
      <w:pgSz w:w="11906" w:h="16838"/>
      <w:pgMar w:top="1134" w:right="1134" w:bottom="1134" w:left="1134" w:header="709" w:footer="85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Helvetica Neue">
    <w:altName w:val="Arial"/>
    <w:panose1 w:val="00000000000000000000"/>
    <w:charset w:val="00"/>
    <w:family w:val="roman"/>
    <w:pitch w:val="default"/>
    <w:sig w:usb0="00000000" w:usb1="00000000" w:usb2="00000000" w:usb3="00000000" w:csb0="00000000" w:csb1="0000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E4159"/>
    <w:multiLevelType w:val="singleLevel"/>
    <w:tmpl w:val="C2CE415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kZjQ3OTQ2Zjc3NjA5ZjgwZjYwMGNhZGMzOGM4NTQifQ=="/>
  </w:docVars>
  <w:rsids>
    <w:rsidRoot w:val="00495DF8"/>
    <w:rsid w:val="00495DF8"/>
    <w:rsid w:val="00826958"/>
    <w:rsid w:val="00C74CA0"/>
    <w:rsid w:val="00F03ADC"/>
    <w:rsid w:val="00FF3EB1"/>
    <w:rsid w:val="022565C3"/>
    <w:rsid w:val="02792278"/>
    <w:rsid w:val="03303F04"/>
    <w:rsid w:val="0A4A5805"/>
    <w:rsid w:val="0B5F43AA"/>
    <w:rsid w:val="0D2722E2"/>
    <w:rsid w:val="0D554FDF"/>
    <w:rsid w:val="0F9712A6"/>
    <w:rsid w:val="116A6D7C"/>
    <w:rsid w:val="154947A3"/>
    <w:rsid w:val="173D31C8"/>
    <w:rsid w:val="18F87776"/>
    <w:rsid w:val="19E33AAB"/>
    <w:rsid w:val="1AB86343"/>
    <w:rsid w:val="1C6857BA"/>
    <w:rsid w:val="1D0E2EE1"/>
    <w:rsid w:val="1DB75F8E"/>
    <w:rsid w:val="1E8559B0"/>
    <w:rsid w:val="1EB36510"/>
    <w:rsid w:val="1F9C2EC5"/>
    <w:rsid w:val="1FE5029E"/>
    <w:rsid w:val="211540F0"/>
    <w:rsid w:val="220B0C00"/>
    <w:rsid w:val="2280797B"/>
    <w:rsid w:val="23AD493A"/>
    <w:rsid w:val="241D73C0"/>
    <w:rsid w:val="26813670"/>
    <w:rsid w:val="270218DC"/>
    <w:rsid w:val="28064B56"/>
    <w:rsid w:val="289E773E"/>
    <w:rsid w:val="29923E25"/>
    <w:rsid w:val="29964A08"/>
    <w:rsid w:val="29A602E4"/>
    <w:rsid w:val="2A4F2CEC"/>
    <w:rsid w:val="2A8C0497"/>
    <w:rsid w:val="2B981630"/>
    <w:rsid w:val="2BFA7C62"/>
    <w:rsid w:val="2C541DFF"/>
    <w:rsid w:val="2CA77070"/>
    <w:rsid w:val="2D3E50E7"/>
    <w:rsid w:val="2E082E63"/>
    <w:rsid w:val="2F03631E"/>
    <w:rsid w:val="2FB44EEF"/>
    <w:rsid w:val="308F0B1D"/>
    <w:rsid w:val="30E85FBB"/>
    <w:rsid w:val="31A3629F"/>
    <w:rsid w:val="321333C8"/>
    <w:rsid w:val="372E4027"/>
    <w:rsid w:val="37DC7428"/>
    <w:rsid w:val="39D61D1E"/>
    <w:rsid w:val="3B7F11A2"/>
    <w:rsid w:val="3BBB0933"/>
    <w:rsid w:val="3D221A9D"/>
    <w:rsid w:val="41A037AD"/>
    <w:rsid w:val="428A0583"/>
    <w:rsid w:val="42B21633"/>
    <w:rsid w:val="43372D08"/>
    <w:rsid w:val="43DF6845"/>
    <w:rsid w:val="44F01A33"/>
    <w:rsid w:val="496E2CD9"/>
    <w:rsid w:val="4A3046FF"/>
    <w:rsid w:val="4AF43D81"/>
    <w:rsid w:val="4B7C34F8"/>
    <w:rsid w:val="4D001B20"/>
    <w:rsid w:val="4E3D7492"/>
    <w:rsid w:val="50A626FC"/>
    <w:rsid w:val="51352406"/>
    <w:rsid w:val="515F0B34"/>
    <w:rsid w:val="517C662B"/>
    <w:rsid w:val="5199169B"/>
    <w:rsid w:val="53E45333"/>
    <w:rsid w:val="5430212F"/>
    <w:rsid w:val="54BF230B"/>
    <w:rsid w:val="57031AF6"/>
    <w:rsid w:val="57562C67"/>
    <w:rsid w:val="58764CCC"/>
    <w:rsid w:val="587E3787"/>
    <w:rsid w:val="58C022AF"/>
    <w:rsid w:val="5C0C162C"/>
    <w:rsid w:val="5C1A2750"/>
    <w:rsid w:val="5D5C103F"/>
    <w:rsid w:val="5E4575EA"/>
    <w:rsid w:val="5F815717"/>
    <w:rsid w:val="5FA8354E"/>
    <w:rsid w:val="61EC7774"/>
    <w:rsid w:val="652F0DE7"/>
    <w:rsid w:val="67B722A2"/>
    <w:rsid w:val="69437E1B"/>
    <w:rsid w:val="6ACA7C59"/>
    <w:rsid w:val="6B722D11"/>
    <w:rsid w:val="6C0A4F1F"/>
    <w:rsid w:val="6C3A5FCA"/>
    <w:rsid w:val="6CF05300"/>
    <w:rsid w:val="6E4B0621"/>
    <w:rsid w:val="6EF66B7F"/>
    <w:rsid w:val="71C628C1"/>
    <w:rsid w:val="73200C89"/>
    <w:rsid w:val="76400CBC"/>
    <w:rsid w:val="77164B27"/>
    <w:rsid w:val="787768D5"/>
    <w:rsid w:val="7BBE2922"/>
    <w:rsid w:val="7EDC2F6E"/>
    <w:rsid w:val="7F0E3B00"/>
    <w:rsid w:val="7F666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before="160"/>
    </w:pPr>
    <w:rPr>
      <w:rFonts w:hint="eastAsia" w:ascii="Arial Unicode MS" w:hAnsi="Arial Unicode MS" w:eastAsia="Helvetica Neue" w:cs="Arial Unicode MS"/>
      <w:color w:val="000000"/>
      <w:sz w:val="24"/>
      <w:szCs w:val="24"/>
      <w:lang w:val="zh-TW" w:eastAsia="zh-TW"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3</Pages>
  <Words>1438</Words>
  <Characters>1553</Characters>
  <Lines>6</Lines>
  <Paragraphs>1</Paragraphs>
  <TotalTime>1</TotalTime>
  <ScaleCrop>false</ScaleCrop>
  <LinksUpToDate>false</LinksUpToDate>
  <CharactersWithSpaces>1587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2020-11-30T01:41:00Z</dcterms:created>
  <dc:creator>user</dc:creator>
  <cp:lastModifiedBy>叶景</cp:lastModifiedBy>
  <dcterms:modified xsi:type="dcterms:W3CDTF">2025-04-28T05:21:15Z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DD5DC6536522414B986D83885BD1AD3D</vt:lpwstr>
  </property>
</Properties>
</file>