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1158">
      <w:pPr>
        <w:widowControl w:val="0"/>
        <w:autoSpaceDE w:val="0"/>
        <w:autoSpaceDN w:val="0"/>
        <w:adjustRightInd w:val="0"/>
        <w:snapToGrid w:val="0"/>
        <w:ind w:firstLine="0" w:firstLineChars="0"/>
        <w:jc w:val="center"/>
        <w:outlineLvl w:val="1"/>
        <w:rPr>
          <w:rFonts w:hint="eastAsia" w:ascii="宋体" w:hAnsi="宋体"/>
          <w:b/>
          <w:sz w:val="32"/>
        </w:rPr>
      </w:pPr>
      <w:r>
        <w:rPr>
          <w:rFonts w:hint="eastAsia" w:ascii="宋体" w:hAnsi="宋体"/>
          <w:b/>
          <w:sz w:val="32"/>
        </w:rPr>
        <w:t>项目需求书</w:t>
      </w:r>
    </w:p>
    <w:p w14:paraId="7E4FB8F0">
      <w:pPr>
        <w:widowControl w:val="0"/>
        <w:autoSpaceDE w:val="0"/>
        <w:autoSpaceDN w:val="0"/>
        <w:adjustRightInd w:val="0"/>
        <w:snapToGrid w:val="0"/>
        <w:ind w:firstLine="0" w:firstLineChars="0"/>
        <w:jc w:val="center"/>
        <w:rPr>
          <w:rFonts w:hint="eastAsia" w:ascii="宋体" w:hAnsi="宋体"/>
          <w:b/>
          <w:sz w:val="32"/>
        </w:rPr>
      </w:pPr>
    </w:p>
    <w:p w14:paraId="53BAE9C0">
      <w:pPr>
        <w:widowControl w:val="0"/>
        <w:autoSpaceDE w:val="0"/>
        <w:autoSpaceDN w:val="0"/>
        <w:adjustRightInd w:val="0"/>
        <w:snapToGrid w:val="0"/>
        <w:ind w:firstLine="442"/>
        <w:outlineLvl w:val="2"/>
        <w:rPr>
          <w:rFonts w:hint="eastAsia" w:ascii="宋体" w:hAnsi="宋体" w:cs="宋体"/>
          <w:b/>
          <w:bCs/>
          <w:sz w:val="22"/>
          <w:szCs w:val="22"/>
        </w:rPr>
      </w:pPr>
      <w:bookmarkStart w:id="0" w:name="_Toc406669471"/>
      <w:r>
        <w:rPr>
          <w:rFonts w:hint="eastAsia" w:ascii="宋体" w:hAnsi="宋体" w:cs="宋体"/>
          <w:b/>
          <w:bCs/>
          <w:sz w:val="22"/>
          <w:szCs w:val="22"/>
        </w:rPr>
        <w:t>一、</w:t>
      </w:r>
      <w:bookmarkEnd w:id="0"/>
      <w:r>
        <w:rPr>
          <w:rFonts w:hint="eastAsia" w:ascii="宋体" w:hAnsi="宋体" w:cs="宋体"/>
          <w:b/>
          <w:bCs/>
          <w:sz w:val="22"/>
          <w:szCs w:val="22"/>
        </w:rPr>
        <w:t>项目概况</w:t>
      </w:r>
    </w:p>
    <w:p w14:paraId="14911558">
      <w:pPr>
        <w:ind w:firstLine="482"/>
        <w:rPr>
          <w:rFonts w:hint="eastAsia" w:ascii="宋体" w:hAnsi="宋体"/>
          <w:sz w:val="24"/>
        </w:rPr>
      </w:pPr>
      <w:r>
        <w:rPr>
          <w:rFonts w:hint="eastAsia" w:ascii="宋体" w:hAnsi="宋体"/>
          <w:b/>
          <w:bCs/>
          <w:sz w:val="24"/>
        </w:rPr>
        <w:t>1、项目名称：</w:t>
      </w:r>
      <w:r>
        <w:rPr>
          <w:rFonts w:hint="eastAsia" w:ascii="宋体" w:hAnsi="宋体"/>
          <w:sz w:val="24"/>
        </w:rPr>
        <w:t>深圳（东部）人工智能产业公共服务平台运维服务项目</w:t>
      </w:r>
    </w:p>
    <w:p w14:paraId="78AC5254">
      <w:pPr>
        <w:ind w:firstLine="482"/>
        <w:rPr>
          <w:rFonts w:hint="eastAsia" w:ascii="宋体" w:hAnsi="宋体"/>
          <w:sz w:val="24"/>
        </w:rPr>
      </w:pPr>
      <w:r>
        <w:rPr>
          <w:rFonts w:hint="eastAsia" w:ascii="宋体" w:hAnsi="宋体"/>
          <w:b/>
          <w:bCs/>
          <w:sz w:val="24"/>
        </w:rPr>
        <w:t>2、合同履行期限：</w:t>
      </w:r>
      <w:r>
        <w:rPr>
          <w:rFonts w:hint="eastAsia" w:ascii="宋体" w:hAnsi="宋体"/>
          <w:sz w:val="24"/>
        </w:rPr>
        <w:t>12个月。本项目属于长期服务项目。合同履行期限最长不得超过36个月，采购人可视中标人履约服务情况，决定是否续签。合同一年一签，最多续签两次。</w:t>
      </w:r>
    </w:p>
    <w:p w14:paraId="65183E03">
      <w:pPr>
        <w:ind w:firstLine="482"/>
        <w:rPr>
          <w:rFonts w:hint="eastAsia" w:ascii="宋体" w:hAnsi="宋体"/>
          <w:sz w:val="24"/>
        </w:rPr>
      </w:pPr>
      <w:r>
        <w:rPr>
          <w:rFonts w:hint="eastAsia" w:ascii="宋体" w:hAnsi="宋体"/>
          <w:b/>
          <w:bCs/>
          <w:sz w:val="24"/>
        </w:rPr>
        <w:t>3、项目服务地点：</w:t>
      </w:r>
      <w:r>
        <w:rPr>
          <w:rFonts w:hint="eastAsia" w:ascii="宋体" w:hAnsi="宋体"/>
          <w:sz w:val="24"/>
        </w:rPr>
        <w:t>贵州省贵安新区</w:t>
      </w:r>
    </w:p>
    <w:p w14:paraId="1CA7686F">
      <w:pPr>
        <w:ind w:firstLine="482"/>
        <w:rPr>
          <w:rFonts w:hint="eastAsia" w:ascii="宋体" w:hAnsi="宋体"/>
          <w:b/>
          <w:bCs/>
          <w:sz w:val="24"/>
        </w:rPr>
      </w:pPr>
      <w:r>
        <w:rPr>
          <w:rFonts w:hint="eastAsia" w:ascii="宋体" w:hAnsi="宋体"/>
          <w:b/>
          <w:bCs/>
          <w:sz w:val="24"/>
        </w:rPr>
        <w:t>4、项目概况</w:t>
      </w:r>
    </w:p>
    <w:p w14:paraId="42CC3215">
      <w:pPr>
        <w:widowControl w:val="0"/>
        <w:autoSpaceDE w:val="0"/>
        <w:autoSpaceDN w:val="0"/>
        <w:adjustRightInd w:val="0"/>
        <w:snapToGrid w:val="0"/>
        <w:ind w:firstLine="480"/>
        <w:rPr>
          <w:rFonts w:hint="eastAsia" w:ascii="宋体" w:hAnsi="宋体" w:cs="宋体"/>
          <w:b/>
          <w:bCs/>
          <w:sz w:val="22"/>
          <w:szCs w:val="22"/>
        </w:rPr>
      </w:pPr>
      <w:r>
        <w:rPr>
          <w:rFonts w:hint="eastAsia" w:ascii="宋体" w:hAnsi="宋体" w:cs="宋体"/>
          <w:sz w:val="24"/>
        </w:rPr>
        <w:t>根据《深圳市龙岗区创建人工智能全域全时应用示范区的行动方案</w:t>
      </w:r>
      <w:r>
        <w:rPr>
          <w:rFonts w:hint="eastAsia" w:ascii="宋体" w:hAnsi="宋体" w:cs="宋体"/>
          <w:sz w:val="24"/>
          <w:lang w:eastAsia="zh-CN"/>
        </w:rPr>
        <w:t>（</w:t>
      </w:r>
      <w:r>
        <w:rPr>
          <w:rFonts w:hint="eastAsia" w:ascii="宋体" w:hAnsi="宋体" w:cs="宋体"/>
          <w:sz w:val="24"/>
        </w:rPr>
        <w:t>2024年</w:t>
      </w:r>
      <w:r>
        <w:rPr>
          <w:rFonts w:hint="eastAsia" w:ascii="宋体" w:hAnsi="宋体" w:cs="宋体"/>
          <w:sz w:val="24"/>
          <w:lang w:eastAsia="zh-CN"/>
        </w:rPr>
        <w:t>—</w:t>
      </w:r>
      <w:r>
        <w:rPr>
          <w:rFonts w:hint="eastAsia" w:ascii="宋体" w:hAnsi="宋体" w:cs="宋体"/>
          <w:sz w:val="24"/>
        </w:rPr>
        <w:t>2025年</w:t>
      </w:r>
      <w:r>
        <w:rPr>
          <w:rFonts w:hint="eastAsia" w:ascii="宋体" w:hAnsi="宋体" w:cs="宋体"/>
          <w:sz w:val="24"/>
          <w:lang w:eastAsia="zh-CN"/>
        </w:rPr>
        <w:t>）</w:t>
      </w:r>
      <w:r>
        <w:rPr>
          <w:rFonts w:hint="eastAsia" w:ascii="宋体" w:hAnsi="宋体" w:cs="宋体"/>
          <w:sz w:val="24"/>
        </w:rPr>
        <w:t>》规划</w:t>
      </w:r>
      <w:r>
        <w:rPr>
          <w:rFonts w:hint="eastAsia" w:ascii="宋体" w:hAnsi="宋体" w:cs="宋体"/>
          <w:sz w:val="24"/>
          <w:lang w:eastAsia="zh-CN"/>
        </w:rPr>
        <w:t>，</w:t>
      </w:r>
      <w:r>
        <w:rPr>
          <w:rFonts w:hint="eastAsia" w:ascii="宋体" w:hAnsi="宋体" w:cs="宋体"/>
          <w:sz w:val="24"/>
        </w:rPr>
        <w:t xml:space="preserve"> 要构建高效算力供给体系，在供给侧加强龙岗区在线算力供给保障能力，推动人工智能产业化。我司已建设了一个智能算力集群，可以满足各类型人工智能企业在不同发展阶段的算力需求，完善龙岗区算力供给体系，加速龙岗打造人工智能全域全时应用示范区。现该智算集群将投入运营，为保障集群保持良好的运行状态，满足算力租赁客户的使用需求，拟对</w:t>
      </w:r>
      <w:r>
        <w:rPr>
          <w:rFonts w:hint="eastAsia" w:ascii="宋体" w:hAnsi="宋体"/>
          <w:sz w:val="24"/>
        </w:rPr>
        <w:t>深圳（东部）人工智能产业公共服务平台的运维服务进行公开采购。</w:t>
      </w:r>
    </w:p>
    <w:p w14:paraId="28D32695">
      <w:pPr>
        <w:widowControl w:val="0"/>
        <w:autoSpaceDE w:val="0"/>
        <w:autoSpaceDN w:val="0"/>
        <w:adjustRightInd w:val="0"/>
        <w:snapToGrid w:val="0"/>
        <w:ind w:firstLine="442"/>
        <w:outlineLvl w:val="2"/>
        <w:rPr>
          <w:rFonts w:hint="eastAsia" w:ascii="宋体" w:hAnsi="宋体" w:cs="宋体"/>
          <w:b/>
          <w:bCs/>
          <w:sz w:val="22"/>
          <w:szCs w:val="22"/>
        </w:rPr>
      </w:pPr>
      <w:r>
        <w:rPr>
          <w:rFonts w:hint="eastAsia" w:ascii="宋体" w:hAnsi="宋体" w:cs="宋体"/>
          <w:b/>
          <w:bCs/>
          <w:sz w:val="22"/>
          <w:szCs w:val="22"/>
        </w:rPr>
        <w:t>二、项目服务内容</w:t>
      </w:r>
    </w:p>
    <w:p w14:paraId="33EFFAF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本次招标内容为智算集群的运维服务。主要服务内容如下：</w:t>
      </w:r>
    </w:p>
    <w:p w14:paraId="4612E839">
      <w:pPr>
        <w:widowControl w:val="0"/>
        <w:autoSpaceDE w:val="0"/>
        <w:autoSpaceDN w:val="0"/>
        <w:adjustRightInd w:val="0"/>
        <w:snapToGrid w:val="0"/>
        <w:ind w:firstLine="482"/>
        <w:rPr>
          <w:rFonts w:hint="eastAsia" w:ascii="宋体" w:hAnsi="宋体" w:cs="宋体"/>
          <w:sz w:val="24"/>
        </w:rPr>
      </w:pPr>
      <w:r>
        <w:rPr>
          <w:rFonts w:hint="eastAsia" w:ascii="宋体" w:hAnsi="宋体" w:cs="宋体"/>
          <w:b/>
          <w:bCs/>
          <w:sz w:val="24"/>
        </w:rPr>
        <w:t>1、智算集群业务支持及日常运维保障服务：</w:t>
      </w:r>
      <w:r>
        <w:rPr>
          <w:rFonts w:hint="eastAsia" w:ascii="宋体" w:hAnsi="宋体" w:cs="宋体"/>
          <w:sz w:val="24"/>
        </w:rPr>
        <w:t>提供人工智能计算集群设备（含GPU服务器、通算服务器、存储服务器、网络设备、信息安全设备）和软件平台日常驻场运维保障服务，包括智算集群日常故障处理与排查、软硬件设施更换及更新、设备和系统的安全检查及漏洞整改、算力租赁客户的技术支持等服务。</w:t>
      </w:r>
    </w:p>
    <w:p w14:paraId="50C26E18">
      <w:pPr>
        <w:widowControl w:val="0"/>
        <w:autoSpaceDE w:val="0"/>
        <w:autoSpaceDN w:val="0"/>
        <w:adjustRightInd w:val="0"/>
        <w:snapToGrid w:val="0"/>
        <w:ind w:firstLine="482"/>
        <w:rPr>
          <w:rFonts w:hint="eastAsia" w:ascii="宋体" w:hAnsi="宋体" w:cs="宋体"/>
          <w:sz w:val="24"/>
        </w:rPr>
      </w:pPr>
      <w:r>
        <w:rPr>
          <w:rFonts w:hint="eastAsia" w:ascii="宋体" w:hAnsi="宋体" w:cs="宋体"/>
          <w:b/>
          <w:bCs/>
          <w:sz w:val="24"/>
        </w:rPr>
        <w:t>2、备品备件支持服务：</w:t>
      </w:r>
      <w:r>
        <w:rPr>
          <w:rFonts w:hint="eastAsia" w:ascii="宋体" w:hAnsi="宋体" w:cs="宋体"/>
          <w:sz w:val="24"/>
        </w:rPr>
        <w:t>为满足智算集群使用客户对服务的响应要求，要求投标人对智算集群除GPU服务器以外的硬件部分提供备品备件支持服务，确保服务期间具有</w:t>
      </w:r>
      <w:r>
        <w:rPr>
          <w:rFonts w:hint="eastAsia" w:ascii="宋体" w:hAnsi="宋体" w:cs="宋体"/>
          <w:sz w:val="24"/>
          <w:lang w:val="en-US" w:eastAsia="zh-CN"/>
        </w:rPr>
        <w:t>3%～5</w:t>
      </w:r>
      <w:r>
        <w:rPr>
          <w:rFonts w:hint="eastAsia" w:ascii="宋体" w:hAnsi="宋体" w:cs="宋体"/>
          <w:sz w:val="24"/>
        </w:rPr>
        <w:t>%的备品备件可随时满足集群维修更换需求</w:t>
      </w:r>
      <w:r>
        <w:rPr>
          <w:rFonts w:hint="eastAsia" w:ascii="宋体" w:hAnsi="宋体" w:cs="宋体"/>
          <w:sz w:val="24"/>
          <w:lang w:eastAsia="zh-CN"/>
        </w:rPr>
        <w:t>（</w:t>
      </w:r>
      <w:r>
        <w:rPr>
          <w:rFonts w:hint="eastAsia" w:ascii="宋体" w:hAnsi="宋体" w:cs="宋体"/>
          <w:sz w:val="24"/>
          <w:lang w:val="en-US" w:eastAsia="zh-CN"/>
        </w:rPr>
        <w:t>具体备件比例由供应商在该范围内承诺</w:t>
      </w:r>
      <w:r>
        <w:rPr>
          <w:rFonts w:hint="eastAsia" w:ascii="宋体" w:hAnsi="宋体" w:cs="宋体"/>
          <w:sz w:val="24"/>
          <w:lang w:eastAsia="zh-CN"/>
        </w:rPr>
        <w:t>）</w:t>
      </w:r>
      <w:r>
        <w:rPr>
          <w:rFonts w:hint="eastAsia" w:ascii="宋体" w:hAnsi="宋体" w:cs="宋体"/>
          <w:sz w:val="24"/>
        </w:rPr>
        <w:t>，为智算集群的正常运转和使用提供备件保障服务。</w:t>
      </w:r>
    </w:p>
    <w:p w14:paraId="53233DEC">
      <w:pPr>
        <w:widowControl w:val="0"/>
        <w:autoSpaceDE w:val="0"/>
        <w:autoSpaceDN w:val="0"/>
        <w:adjustRightInd w:val="0"/>
        <w:snapToGrid w:val="0"/>
        <w:ind w:firstLine="482"/>
        <w:rPr>
          <w:rFonts w:hint="eastAsia" w:ascii="宋体" w:hAnsi="宋体" w:cs="宋体"/>
          <w:sz w:val="24"/>
        </w:rPr>
      </w:pPr>
      <w:r>
        <w:rPr>
          <w:rFonts w:hint="eastAsia" w:ascii="宋体" w:hAnsi="宋体" w:cs="宋体"/>
          <w:b/>
          <w:bCs/>
          <w:sz w:val="24"/>
        </w:rPr>
        <w:t>3、</w:t>
      </w:r>
      <w:bookmarkStart w:id="1" w:name="_Hlk192597914"/>
      <w:r>
        <w:rPr>
          <w:rFonts w:hint="eastAsia" w:ascii="宋体" w:hAnsi="宋体" w:cs="宋体"/>
          <w:b/>
          <w:bCs/>
          <w:sz w:val="24"/>
        </w:rPr>
        <w:t>智算集群运维管理办法</w:t>
      </w:r>
      <w:bookmarkEnd w:id="1"/>
      <w:r>
        <w:rPr>
          <w:rFonts w:hint="eastAsia" w:ascii="宋体" w:hAnsi="宋体" w:cs="宋体"/>
          <w:b/>
          <w:bCs/>
          <w:sz w:val="24"/>
        </w:rPr>
        <w:t>的制定和</w:t>
      </w:r>
      <w:bookmarkStart w:id="2" w:name="_Hlk193032110"/>
      <w:r>
        <w:rPr>
          <w:rFonts w:hint="eastAsia" w:ascii="宋体" w:hAnsi="宋体" w:cs="宋体"/>
          <w:b/>
          <w:bCs/>
          <w:sz w:val="24"/>
        </w:rPr>
        <w:t>可信AIDC能力</w:t>
      </w:r>
      <w:bookmarkEnd w:id="2"/>
      <w:r>
        <w:rPr>
          <w:rFonts w:hint="eastAsia" w:ascii="宋体" w:hAnsi="宋体" w:cs="宋体"/>
          <w:b/>
          <w:bCs/>
          <w:sz w:val="24"/>
        </w:rPr>
        <w:t>认证：</w:t>
      </w:r>
      <w:r>
        <w:rPr>
          <w:rFonts w:hint="eastAsia" w:ascii="宋体" w:hAnsi="宋体" w:cs="宋体"/>
          <w:sz w:val="24"/>
        </w:rPr>
        <w:t>结合采购人情况，</w:t>
      </w:r>
      <w:bookmarkStart w:id="3" w:name="_Hlk192585364"/>
      <w:r>
        <w:rPr>
          <w:rFonts w:hint="eastAsia" w:ascii="宋体" w:hAnsi="宋体" w:cs="宋体"/>
          <w:sz w:val="24"/>
        </w:rPr>
        <w:t>编写智算集群运维管理体系相关的系列管理办法。包括</w:t>
      </w:r>
      <w:r>
        <w:rPr>
          <w:rFonts w:hint="eastAsia" w:ascii="宋体" w:hAnsi="宋体" w:cs="宋体"/>
          <w:sz w:val="24"/>
          <w:lang w:val="en-US" w:eastAsia="zh-CN"/>
        </w:rPr>
        <w:t>但不限于</w:t>
      </w:r>
      <w:bookmarkStart w:id="4" w:name="_Hlk193113308"/>
      <w:r>
        <w:rPr>
          <w:rFonts w:hint="eastAsia" w:ascii="宋体" w:hAnsi="宋体" w:cs="宋体"/>
          <w:sz w:val="24"/>
        </w:rPr>
        <w:t>《智算集群运行维护管理办法</w:t>
      </w:r>
      <w:r>
        <w:rPr>
          <w:rFonts w:hint="eastAsia" w:ascii="宋体" w:hAnsi="宋体" w:cs="宋体"/>
          <w:sz w:val="24"/>
          <w:lang w:eastAsia="zh-CN"/>
        </w:rPr>
        <w:t>》《</w:t>
      </w:r>
      <w:r>
        <w:rPr>
          <w:rFonts w:hint="eastAsia" w:ascii="宋体" w:hAnsi="宋体" w:cs="宋体"/>
          <w:sz w:val="24"/>
        </w:rPr>
        <w:t>智算集群应急处理预案</w:t>
      </w:r>
      <w:r>
        <w:rPr>
          <w:rFonts w:hint="eastAsia" w:ascii="宋体" w:hAnsi="宋体" w:cs="宋体"/>
          <w:sz w:val="24"/>
          <w:lang w:eastAsia="zh-CN"/>
        </w:rPr>
        <w:t>》《</w:t>
      </w:r>
      <w:r>
        <w:rPr>
          <w:rFonts w:hint="eastAsia" w:ascii="宋体" w:hAnsi="宋体" w:cs="宋体"/>
          <w:sz w:val="24"/>
        </w:rPr>
        <w:t>智算集群信息安全管理办法》</w:t>
      </w:r>
      <w:bookmarkEnd w:id="3"/>
      <w:bookmarkEnd w:id="4"/>
      <w:r>
        <w:rPr>
          <w:rFonts w:hint="eastAsia" w:ascii="宋体" w:hAnsi="宋体" w:cs="宋体"/>
          <w:sz w:val="24"/>
          <w:lang w:val="en-US" w:eastAsia="zh-CN"/>
        </w:rPr>
        <w:t>等</w:t>
      </w:r>
      <w:r>
        <w:rPr>
          <w:rFonts w:hint="eastAsia" w:ascii="宋体" w:hAnsi="宋体" w:cs="宋体"/>
          <w:sz w:val="24"/>
        </w:rPr>
        <w:t>。投标人应在服务期内就本智算集群帮助采购人获得中国信息通信研究院的可信AIDC能力认证证书。</w:t>
      </w:r>
    </w:p>
    <w:p w14:paraId="5C17B786">
      <w:pPr>
        <w:widowControl w:val="0"/>
        <w:autoSpaceDE w:val="0"/>
        <w:autoSpaceDN w:val="0"/>
        <w:adjustRightInd w:val="0"/>
        <w:snapToGrid w:val="0"/>
        <w:ind w:firstLine="482"/>
        <w:rPr>
          <w:rFonts w:hint="eastAsia" w:ascii="宋体" w:hAnsi="宋体" w:cs="宋体"/>
          <w:sz w:val="24"/>
        </w:rPr>
      </w:pPr>
      <w:r>
        <w:rPr>
          <w:rFonts w:hint="eastAsia" w:ascii="宋体" w:hAnsi="宋体" w:cs="宋体"/>
          <w:b/>
          <w:bCs/>
          <w:sz w:val="24"/>
        </w:rPr>
        <w:t>4、专线服务：</w:t>
      </w:r>
      <w:r>
        <w:rPr>
          <w:rFonts w:hint="eastAsia" w:ascii="宋体" w:hAnsi="宋体" w:cs="宋体"/>
          <w:sz w:val="24"/>
        </w:rPr>
        <w:t>①提供算力集群互联网专线，带宽2 Gb/s</w:t>
      </w:r>
      <w:r>
        <w:rPr>
          <w:rFonts w:hint="eastAsia" w:ascii="宋体" w:hAnsi="宋体" w:cs="宋体"/>
          <w:sz w:val="24"/>
          <w:lang w:eastAsia="zh-CN"/>
        </w:rPr>
        <w:t>，</w:t>
      </w:r>
      <w:r>
        <w:rPr>
          <w:rFonts w:hint="eastAsia" w:ascii="宋体" w:hAnsi="宋体" w:cs="宋体"/>
          <w:sz w:val="24"/>
        </w:rPr>
        <w:t>支持线路主备冗余；提供24个独享的公网IP地址；②提供</w:t>
      </w:r>
      <w:bookmarkStart w:id="5" w:name="OLE_LINK1"/>
      <w:r>
        <w:rPr>
          <w:rFonts w:hint="eastAsia" w:ascii="宋体" w:hAnsi="宋体" w:cs="宋体"/>
          <w:sz w:val="24"/>
        </w:rPr>
        <w:t>贵安新区内两个数据中心之间300G的专线服务</w:t>
      </w:r>
      <w:bookmarkEnd w:id="5"/>
      <w:r>
        <w:rPr>
          <w:rFonts w:hint="eastAsia" w:ascii="宋体" w:hAnsi="宋体" w:cs="宋体"/>
          <w:sz w:val="24"/>
        </w:rPr>
        <w:t>（专线具体起止端信息由采购人指定）。</w:t>
      </w:r>
    </w:p>
    <w:p w14:paraId="74184F46">
      <w:pPr>
        <w:widowControl w:val="0"/>
        <w:autoSpaceDE w:val="0"/>
        <w:autoSpaceDN w:val="0"/>
        <w:adjustRightInd w:val="0"/>
        <w:snapToGrid w:val="0"/>
        <w:ind w:firstLine="482"/>
        <w:rPr>
          <w:rFonts w:hint="eastAsia" w:ascii="宋体" w:hAnsi="宋体" w:cs="宋体"/>
          <w:sz w:val="24"/>
        </w:rPr>
      </w:pPr>
      <w:r>
        <w:rPr>
          <w:rFonts w:hint="eastAsia" w:ascii="宋体" w:hAnsi="宋体" w:cs="宋体"/>
          <w:b/>
          <w:bCs/>
          <w:sz w:val="24"/>
        </w:rPr>
        <w:t>5、算力资源池监控管理大屏开发服务：</w:t>
      </w:r>
      <w:r>
        <w:rPr>
          <w:rFonts w:hint="eastAsia" w:ascii="宋体" w:hAnsi="宋体" w:cs="宋体"/>
          <w:sz w:val="24"/>
        </w:rPr>
        <w:t>负责算力资源池监控管理大屏的开发，适配采购人的管理中心大屏，与智算集群管理平台连通调取监控数据。</w:t>
      </w:r>
    </w:p>
    <w:p w14:paraId="40192131">
      <w:pPr>
        <w:widowControl w:val="0"/>
        <w:autoSpaceDE w:val="0"/>
        <w:autoSpaceDN w:val="0"/>
        <w:adjustRightInd w:val="0"/>
        <w:snapToGrid w:val="0"/>
        <w:ind w:firstLine="482"/>
        <w:rPr>
          <w:rFonts w:hint="eastAsia" w:ascii="宋体" w:hAnsi="宋体" w:cs="宋体"/>
          <w:b/>
          <w:bCs/>
          <w:sz w:val="22"/>
          <w:szCs w:val="22"/>
        </w:rPr>
      </w:pPr>
      <w:r>
        <w:rPr>
          <w:rFonts w:hint="eastAsia" w:ascii="宋体" w:hAnsi="宋体" w:cs="宋体"/>
          <w:b/>
          <w:bCs/>
          <w:sz w:val="24"/>
        </w:rPr>
        <w:t>6、</w:t>
      </w:r>
      <w:r>
        <w:rPr>
          <w:rFonts w:hint="eastAsia" w:ascii="宋体" w:hAnsi="宋体" w:cs="宋体"/>
          <w:b/>
          <w:bCs/>
          <w:sz w:val="22"/>
          <w:szCs w:val="22"/>
        </w:rPr>
        <w:t>运维软硬件清单</w:t>
      </w:r>
    </w:p>
    <w:p w14:paraId="2FD7113B">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智算集群主要运维对象包括GPU智能算力服务器、网络设备、存储服务器、通用计算服务器、信息安全设备、集群所需软件系统。详细设备和软件清单详见下表《人工智能计算集群硬件设备和软件清单》。</w:t>
      </w:r>
    </w:p>
    <w:p w14:paraId="0A9E8389">
      <w:pPr>
        <w:ind w:firstLine="402"/>
        <w:jc w:val="center"/>
        <w:rPr>
          <w:rFonts w:hint="eastAsia" w:ascii="宋体" w:hAnsi="宋体" w:cs="宋体"/>
          <w:b/>
          <w:bCs/>
          <w:sz w:val="20"/>
          <w:szCs w:val="20"/>
        </w:rPr>
      </w:pPr>
      <w:r>
        <w:rPr>
          <w:rFonts w:hint="eastAsia" w:ascii="宋体" w:hAnsi="宋体" w:cs="宋体"/>
          <w:b/>
          <w:bCs/>
          <w:sz w:val="20"/>
          <w:szCs w:val="20"/>
        </w:rPr>
        <w:t>人工智能计算集群硬件软硬件清单</w:t>
      </w:r>
    </w:p>
    <w:tbl>
      <w:tblPr>
        <w:tblStyle w:val="5"/>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97"/>
        <w:gridCol w:w="2438"/>
        <w:gridCol w:w="3823"/>
        <w:gridCol w:w="682"/>
        <w:gridCol w:w="682"/>
      </w:tblGrid>
      <w:tr w14:paraId="31348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526" w:type="pct"/>
            <w:shd w:val="clear" w:color="auto" w:fill="auto"/>
            <w:vAlign w:val="center"/>
          </w:tcPr>
          <w:p w14:paraId="73AD380E">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29" w:type="pct"/>
            <w:shd w:val="clear" w:color="auto" w:fill="auto"/>
            <w:vAlign w:val="center"/>
          </w:tcPr>
          <w:p w14:paraId="0904A881">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2241" w:type="pct"/>
            <w:shd w:val="clear" w:color="auto" w:fill="auto"/>
            <w:vAlign w:val="center"/>
          </w:tcPr>
          <w:p w14:paraId="4875F208">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产品型号</w:t>
            </w:r>
          </w:p>
        </w:tc>
        <w:tc>
          <w:tcPr>
            <w:tcW w:w="400" w:type="pct"/>
            <w:shd w:val="clear" w:color="auto" w:fill="auto"/>
            <w:vAlign w:val="center"/>
          </w:tcPr>
          <w:p w14:paraId="6EF12413">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400" w:type="pct"/>
            <w:shd w:val="clear" w:color="auto" w:fill="auto"/>
            <w:vAlign w:val="center"/>
          </w:tcPr>
          <w:p w14:paraId="39872E21">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单位</w:t>
            </w:r>
          </w:p>
        </w:tc>
      </w:tr>
      <w:tr w14:paraId="4EC2F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26" w:type="pct"/>
            <w:shd w:val="clear" w:color="auto" w:fill="auto"/>
            <w:vAlign w:val="center"/>
          </w:tcPr>
          <w:p w14:paraId="3945833A">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（一）</w:t>
            </w:r>
          </w:p>
        </w:tc>
        <w:tc>
          <w:tcPr>
            <w:tcW w:w="1429" w:type="pct"/>
            <w:shd w:val="clear" w:color="auto" w:fill="auto"/>
            <w:vAlign w:val="center"/>
          </w:tcPr>
          <w:p w14:paraId="28EE421E">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服务器</w:t>
            </w:r>
          </w:p>
        </w:tc>
        <w:tc>
          <w:tcPr>
            <w:tcW w:w="2241" w:type="pct"/>
            <w:shd w:val="clear" w:color="auto" w:fill="auto"/>
            <w:vAlign w:val="center"/>
          </w:tcPr>
          <w:p w14:paraId="52E7D2B2">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400" w:type="pct"/>
            <w:shd w:val="clear" w:color="auto" w:fill="auto"/>
            <w:vAlign w:val="center"/>
          </w:tcPr>
          <w:p w14:paraId="4D376A2A">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400" w:type="pct"/>
            <w:shd w:val="clear" w:color="auto" w:fill="auto"/>
            <w:vAlign w:val="center"/>
          </w:tcPr>
          <w:p w14:paraId="6CDD7BBF">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r>
      <w:tr w14:paraId="4C421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26" w:type="pct"/>
            <w:shd w:val="clear" w:color="auto" w:fill="auto"/>
            <w:vAlign w:val="center"/>
          </w:tcPr>
          <w:p w14:paraId="19B479D2">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429" w:type="pct"/>
            <w:shd w:val="clear" w:color="auto" w:fill="auto"/>
            <w:vAlign w:val="center"/>
          </w:tcPr>
          <w:p w14:paraId="79E32E57">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GPU服务器</w:t>
            </w:r>
          </w:p>
        </w:tc>
        <w:tc>
          <w:tcPr>
            <w:tcW w:w="2241" w:type="pct"/>
            <w:shd w:val="clear" w:color="auto" w:fill="auto"/>
            <w:vAlign w:val="center"/>
          </w:tcPr>
          <w:p w14:paraId="50B83E84">
            <w:pPr>
              <w:spacing w:line="240" w:lineRule="auto"/>
              <w:ind w:firstLine="0" w:firstLineChars="0"/>
              <w:rPr>
                <w:rFonts w:hint="eastAsia" w:ascii="宋体" w:hAnsi="宋体" w:cs="宋体"/>
                <w:color w:val="000000"/>
                <w:kern w:val="0"/>
                <w:sz w:val="18"/>
                <w:szCs w:val="18"/>
              </w:rPr>
            </w:pPr>
          </w:p>
        </w:tc>
        <w:tc>
          <w:tcPr>
            <w:tcW w:w="400" w:type="pct"/>
            <w:shd w:val="clear" w:color="auto" w:fill="auto"/>
            <w:vAlign w:val="center"/>
          </w:tcPr>
          <w:p w14:paraId="2B06495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400" w:type="pct"/>
            <w:shd w:val="clear" w:color="auto" w:fill="auto"/>
            <w:vAlign w:val="center"/>
          </w:tcPr>
          <w:p w14:paraId="2555A33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08FEE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26" w:type="pct"/>
            <w:shd w:val="clear" w:color="auto" w:fill="auto"/>
            <w:vAlign w:val="center"/>
          </w:tcPr>
          <w:p w14:paraId="41979EFD">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429" w:type="pct"/>
            <w:shd w:val="clear" w:color="auto" w:fill="auto"/>
            <w:vAlign w:val="center"/>
          </w:tcPr>
          <w:p w14:paraId="6EB75A5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并行文件存储服务器</w:t>
            </w:r>
          </w:p>
        </w:tc>
        <w:tc>
          <w:tcPr>
            <w:tcW w:w="2241" w:type="pct"/>
            <w:shd w:val="clear" w:color="auto" w:fill="auto"/>
            <w:vAlign w:val="center"/>
          </w:tcPr>
          <w:p w14:paraId="734C42AA">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浪潮/AS13000G7（inview软件）</w:t>
            </w:r>
          </w:p>
        </w:tc>
        <w:tc>
          <w:tcPr>
            <w:tcW w:w="400" w:type="pct"/>
            <w:shd w:val="clear" w:color="auto" w:fill="auto"/>
            <w:vAlign w:val="center"/>
          </w:tcPr>
          <w:p w14:paraId="1574AD6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00" w:type="pct"/>
            <w:shd w:val="clear" w:color="auto" w:fill="auto"/>
            <w:vAlign w:val="center"/>
          </w:tcPr>
          <w:p w14:paraId="0405067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53F03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26" w:type="pct"/>
            <w:shd w:val="clear" w:color="auto" w:fill="auto"/>
            <w:vAlign w:val="center"/>
          </w:tcPr>
          <w:p w14:paraId="5F0BEA42">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29" w:type="pct"/>
            <w:shd w:val="clear" w:color="auto" w:fill="auto"/>
            <w:vAlign w:val="center"/>
          </w:tcPr>
          <w:p w14:paraId="674A98DA">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对象存储服务器</w:t>
            </w:r>
          </w:p>
        </w:tc>
        <w:tc>
          <w:tcPr>
            <w:tcW w:w="2241" w:type="pct"/>
            <w:shd w:val="clear" w:color="auto" w:fill="auto"/>
            <w:vAlign w:val="center"/>
          </w:tcPr>
          <w:p w14:paraId="68618CE5">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华为/OceanStor Pacific 9540</w:t>
            </w:r>
          </w:p>
        </w:tc>
        <w:tc>
          <w:tcPr>
            <w:tcW w:w="400" w:type="pct"/>
            <w:shd w:val="clear" w:color="auto" w:fill="auto"/>
            <w:vAlign w:val="center"/>
          </w:tcPr>
          <w:p w14:paraId="3F5CCD16">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400" w:type="pct"/>
            <w:shd w:val="clear" w:color="auto" w:fill="auto"/>
            <w:vAlign w:val="center"/>
          </w:tcPr>
          <w:p w14:paraId="261C31F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534AF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26" w:type="pct"/>
            <w:shd w:val="clear" w:color="auto" w:fill="auto"/>
            <w:vAlign w:val="center"/>
          </w:tcPr>
          <w:p w14:paraId="5DEB93D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29" w:type="pct"/>
            <w:shd w:val="clear" w:color="auto" w:fill="auto"/>
            <w:vAlign w:val="center"/>
          </w:tcPr>
          <w:p w14:paraId="2BCD36A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通用计算服务器</w:t>
            </w:r>
          </w:p>
        </w:tc>
        <w:tc>
          <w:tcPr>
            <w:tcW w:w="2241" w:type="pct"/>
            <w:shd w:val="clear" w:color="auto" w:fill="auto"/>
            <w:vAlign w:val="center"/>
          </w:tcPr>
          <w:p w14:paraId="0BB1E747">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超聚变/FusionServer2288H V6</w:t>
            </w:r>
          </w:p>
        </w:tc>
        <w:tc>
          <w:tcPr>
            <w:tcW w:w="400" w:type="pct"/>
            <w:shd w:val="clear" w:color="auto" w:fill="auto"/>
            <w:vAlign w:val="center"/>
          </w:tcPr>
          <w:p w14:paraId="6754D2D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400" w:type="pct"/>
            <w:shd w:val="clear" w:color="auto" w:fill="auto"/>
            <w:vAlign w:val="center"/>
          </w:tcPr>
          <w:p w14:paraId="14EB9F77">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6213A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26" w:type="pct"/>
            <w:shd w:val="clear" w:color="auto" w:fill="auto"/>
            <w:vAlign w:val="center"/>
          </w:tcPr>
          <w:p w14:paraId="786610B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29" w:type="pct"/>
            <w:shd w:val="clear" w:color="auto" w:fill="auto"/>
            <w:vAlign w:val="center"/>
          </w:tcPr>
          <w:p w14:paraId="59A4FA71">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IB网络监控服务器</w:t>
            </w:r>
          </w:p>
        </w:tc>
        <w:tc>
          <w:tcPr>
            <w:tcW w:w="2241" w:type="pct"/>
            <w:shd w:val="clear" w:color="auto" w:fill="auto"/>
            <w:vAlign w:val="center"/>
          </w:tcPr>
          <w:p w14:paraId="48A5253C">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浪潮/NF5280M6</w:t>
            </w:r>
          </w:p>
        </w:tc>
        <w:tc>
          <w:tcPr>
            <w:tcW w:w="400" w:type="pct"/>
            <w:shd w:val="clear" w:color="auto" w:fill="auto"/>
            <w:vAlign w:val="center"/>
          </w:tcPr>
          <w:p w14:paraId="4110AD6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00" w:type="pct"/>
            <w:shd w:val="clear" w:color="auto" w:fill="auto"/>
            <w:vAlign w:val="center"/>
          </w:tcPr>
          <w:p w14:paraId="2B4BF23B">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7B34C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526" w:type="pct"/>
            <w:shd w:val="clear" w:color="auto" w:fill="auto"/>
            <w:vAlign w:val="center"/>
          </w:tcPr>
          <w:p w14:paraId="78C67155">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（二）</w:t>
            </w:r>
          </w:p>
        </w:tc>
        <w:tc>
          <w:tcPr>
            <w:tcW w:w="1429" w:type="pct"/>
            <w:shd w:val="clear" w:color="auto" w:fill="auto"/>
            <w:vAlign w:val="center"/>
          </w:tcPr>
          <w:p w14:paraId="74B18AB0">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网络设备</w:t>
            </w:r>
          </w:p>
        </w:tc>
        <w:tc>
          <w:tcPr>
            <w:tcW w:w="2241" w:type="pct"/>
            <w:shd w:val="clear" w:color="auto" w:fill="auto"/>
            <w:vAlign w:val="center"/>
          </w:tcPr>
          <w:p w14:paraId="4B12E73C">
            <w:pPr>
              <w:spacing w:line="240" w:lineRule="auto"/>
              <w:ind w:firstLine="0" w:firstLineChars="0"/>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400" w:type="pct"/>
            <w:shd w:val="clear" w:color="auto" w:fill="auto"/>
            <w:vAlign w:val="center"/>
          </w:tcPr>
          <w:p w14:paraId="599DEFC4">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400" w:type="pct"/>
            <w:shd w:val="clear" w:color="auto" w:fill="auto"/>
            <w:vAlign w:val="center"/>
          </w:tcPr>
          <w:p w14:paraId="6F99028F">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r>
      <w:tr w14:paraId="04D68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7B6FB452">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429" w:type="pct"/>
            <w:shd w:val="clear" w:color="auto" w:fill="auto"/>
            <w:vAlign w:val="center"/>
          </w:tcPr>
          <w:p w14:paraId="4CCA9A86">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IB交换机</w:t>
            </w:r>
          </w:p>
        </w:tc>
        <w:tc>
          <w:tcPr>
            <w:tcW w:w="2241" w:type="pct"/>
            <w:shd w:val="clear" w:color="auto" w:fill="auto"/>
            <w:vAlign w:val="center"/>
          </w:tcPr>
          <w:p w14:paraId="4CD5D4B7">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英伟达（mellanox）/MQM9790-NS2F</w:t>
            </w:r>
          </w:p>
        </w:tc>
        <w:tc>
          <w:tcPr>
            <w:tcW w:w="400" w:type="pct"/>
            <w:shd w:val="clear" w:color="auto" w:fill="auto"/>
            <w:vAlign w:val="center"/>
          </w:tcPr>
          <w:p w14:paraId="1FCA55E2">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400" w:type="pct"/>
            <w:shd w:val="clear" w:color="auto" w:fill="auto"/>
            <w:vAlign w:val="center"/>
          </w:tcPr>
          <w:p w14:paraId="505DB8C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75263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5510381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429" w:type="pct"/>
            <w:shd w:val="clear" w:color="auto" w:fill="auto"/>
            <w:vAlign w:val="center"/>
          </w:tcPr>
          <w:p w14:paraId="13079444">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800G光模块（多模）</w:t>
            </w:r>
          </w:p>
        </w:tc>
        <w:tc>
          <w:tcPr>
            <w:tcW w:w="2241" w:type="pct"/>
            <w:shd w:val="clear" w:color="auto" w:fill="auto"/>
            <w:vAlign w:val="center"/>
          </w:tcPr>
          <w:p w14:paraId="2103ED10">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纳多德/OSFP-800G-2xSR4H</w:t>
            </w:r>
          </w:p>
        </w:tc>
        <w:tc>
          <w:tcPr>
            <w:tcW w:w="400" w:type="pct"/>
            <w:shd w:val="clear" w:color="auto" w:fill="auto"/>
            <w:vAlign w:val="center"/>
          </w:tcPr>
          <w:p w14:paraId="64E5FE4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1704</w:t>
            </w:r>
          </w:p>
        </w:tc>
        <w:tc>
          <w:tcPr>
            <w:tcW w:w="400" w:type="pct"/>
            <w:shd w:val="clear" w:color="auto" w:fill="auto"/>
            <w:vAlign w:val="center"/>
          </w:tcPr>
          <w:p w14:paraId="3684A076">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块</w:t>
            </w:r>
          </w:p>
        </w:tc>
      </w:tr>
      <w:tr w14:paraId="68099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052460D4">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29" w:type="pct"/>
            <w:shd w:val="clear" w:color="auto" w:fill="auto"/>
            <w:vAlign w:val="center"/>
          </w:tcPr>
          <w:p w14:paraId="1A5BBCA1">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400G光模块（多模）</w:t>
            </w:r>
          </w:p>
        </w:tc>
        <w:tc>
          <w:tcPr>
            <w:tcW w:w="2241" w:type="pct"/>
            <w:shd w:val="clear" w:color="auto" w:fill="auto"/>
            <w:vAlign w:val="center"/>
          </w:tcPr>
          <w:p w14:paraId="3ACA2BDF">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纳多德/OSFP-400G-SR4H</w:t>
            </w:r>
          </w:p>
        </w:tc>
        <w:tc>
          <w:tcPr>
            <w:tcW w:w="400" w:type="pct"/>
            <w:shd w:val="clear" w:color="auto" w:fill="auto"/>
            <w:vAlign w:val="center"/>
          </w:tcPr>
          <w:p w14:paraId="52B6FB90">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1024</w:t>
            </w:r>
          </w:p>
        </w:tc>
        <w:tc>
          <w:tcPr>
            <w:tcW w:w="400" w:type="pct"/>
            <w:shd w:val="clear" w:color="auto" w:fill="auto"/>
            <w:vAlign w:val="center"/>
          </w:tcPr>
          <w:p w14:paraId="7EBBBA45">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块</w:t>
            </w:r>
          </w:p>
        </w:tc>
      </w:tr>
      <w:tr w14:paraId="24F9D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526" w:type="pct"/>
            <w:shd w:val="clear" w:color="auto" w:fill="auto"/>
            <w:vAlign w:val="center"/>
          </w:tcPr>
          <w:p w14:paraId="270C94C7">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29" w:type="pct"/>
            <w:shd w:val="clear" w:color="auto" w:fill="auto"/>
            <w:vAlign w:val="center"/>
          </w:tcPr>
          <w:p w14:paraId="084DC9DD">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400G一分二AOC（IB）</w:t>
            </w:r>
          </w:p>
        </w:tc>
        <w:tc>
          <w:tcPr>
            <w:tcW w:w="2241" w:type="pct"/>
            <w:shd w:val="clear" w:color="auto" w:fill="auto"/>
            <w:vAlign w:val="center"/>
          </w:tcPr>
          <w:p w14:paraId="48802124">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纳多德/o2q56-400g-aoch</w:t>
            </w:r>
          </w:p>
        </w:tc>
        <w:tc>
          <w:tcPr>
            <w:tcW w:w="400" w:type="pct"/>
            <w:shd w:val="clear" w:color="auto" w:fill="auto"/>
            <w:vAlign w:val="center"/>
          </w:tcPr>
          <w:p w14:paraId="7B35FC98">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142</w:t>
            </w:r>
          </w:p>
        </w:tc>
        <w:tc>
          <w:tcPr>
            <w:tcW w:w="400" w:type="pct"/>
            <w:shd w:val="clear" w:color="auto" w:fill="auto"/>
            <w:vAlign w:val="center"/>
          </w:tcPr>
          <w:p w14:paraId="0CEBB04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条</w:t>
            </w:r>
          </w:p>
        </w:tc>
      </w:tr>
      <w:tr w14:paraId="2357A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615396B1">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29" w:type="pct"/>
            <w:shd w:val="clear" w:color="auto" w:fill="auto"/>
            <w:vAlign w:val="center"/>
          </w:tcPr>
          <w:p w14:paraId="7C5F6375">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MPO线缆</w:t>
            </w:r>
          </w:p>
        </w:tc>
        <w:tc>
          <w:tcPr>
            <w:tcW w:w="2241" w:type="pct"/>
            <w:shd w:val="clear" w:color="auto" w:fill="auto"/>
            <w:vAlign w:val="center"/>
          </w:tcPr>
          <w:p w14:paraId="657AA0C9">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纳多德/m4mpoa12fb</w:t>
            </w:r>
          </w:p>
        </w:tc>
        <w:tc>
          <w:tcPr>
            <w:tcW w:w="400" w:type="pct"/>
            <w:shd w:val="clear" w:color="auto" w:fill="auto"/>
            <w:vAlign w:val="center"/>
          </w:tcPr>
          <w:p w14:paraId="49D6853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2216</w:t>
            </w:r>
          </w:p>
        </w:tc>
        <w:tc>
          <w:tcPr>
            <w:tcW w:w="400" w:type="pct"/>
            <w:shd w:val="clear" w:color="auto" w:fill="auto"/>
            <w:vAlign w:val="center"/>
          </w:tcPr>
          <w:p w14:paraId="32562D44">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条</w:t>
            </w:r>
          </w:p>
        </w:tc>
      </w:tr>
      <w:tr w14:paraId="6BDE5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1592BC85">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29" w:type="pct"/>
            <w:shd w:val="clear" w:color="auto" w:fill="auto"/>
            <w:vAlign w:val="center"/>
          </w:tcPr>
          <w:p w14:paraId="2C1066A4">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核心交换机</w:t>
            </w:r>
          </w:p>
        </w:tc>
        <w:tc>
          <w:tcPr>
            <w:tcW w:w="2241" w:type="pct"/>
            <w:shd w:val="clear" w:color="auto" w:fill="auto"/>
            <w:vAlign w:val="center"/>
          </w:tcPr>
          <w:p w14:paraId="3845BDA5">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16808</w:t>
            </w:r>
          </w:p>
        </w:tc>
        <w:tc>
          <w:tcPr>
            <w:tcW w:w="400" w:type="pct"/>
            <w:shd w:val="clear" w:color="auto" w:fill="auto"/>
            <w:vAlign w:val="center"/>
          </w:tcPr>
          <w:p w14:paraId="31AB8F10">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7FE3E0FB">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2DBD6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0A6763A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429" w:type="pct"/>
            <w:shd w:val="clear" w:color="auto" w:fill="auto"/>
            <w:vAlign w:val="center"/>
          </w:tcPr>
          <w:p w14:paraId="32A6D63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IPMI交换机</w:t>
            </w:r>
          </w:p>
        </w:tc>
        <w:tc>
          <w:tcPr>
            <w:tcW w:w="2241" w:type="pct"/>
            <w:shd w:val="clear" w:color="auto" w:fill="auto"/>
            <w:vAlign w:val="center"/>
          </w:tcPr>
          <w:p w14:paraId="726F9420">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S5731-H48T4XC</w:t>
            </w:r>
          </w:p>
        </w:tc>
        <w:tc>
          <w:tcPr>
            <w:tcW w:w="400" w:type="pct"/>
            <w:shd w:val="clear" w:color="auto" w:fill="auto"/>
            <w:vAlign w:val="center"/>
          </w:tcPr>
          <w:p w14:paraId="662644B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400" w:type="pct"/>
            <w:shd w:val="clear" w:color="auto" w:fill="auto"/>
            <w:vAlign w:val="center"/>
          </w:tcPr>
          <w:p w14:paraId="508EB361">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01488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56E5B6D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29" w:type="pct"/>
            <w:shd w:val="clear" w:color="auto" w:fill="auto"/>
            <w:vAlign w:val="center"/>
          </w:tcPr>
          <w:p w14:paraId="035C022B">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业务交换机</w:t>
            </w:r>
          </w:p>
        </w:tc>
        <w:tc>
          <w:tcPr>
            <w:tcW w:w="2241" w:type="pct"/>
            <w:shd w:val="clear" w:color="auto" w:fill="auto"/>
            <w:noWrap/>
            <w:vAlign w:val="center"/>
          </w:tcPr>
          <w:p w14:paraId="4901ADE2">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6865E-48S8CQ</w:t>
            </w:r>
          </w:p>
        </w:tc>
        <w:tc>
          <w:tcPr>
            <w:tcW w:w="400" w:type="pct"/>
            <w:shd w:val="clear" w:color="auto" w:fill="auto"/>
            <w:vAlign w:val="center"/>
          </w:tcPr>
          <w:p w14:paraId="63FD88D7">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00" w:type="pct"/>
            <w:shd w:val="clear" w:color="auto" w:fill="auto"/>
            <w:vAlign w:val="center"/>
          </w:tcPr>
          <w:p w14:paraId="485B768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07D03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663C5C8D">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429" w:type="pct"/>
            <w:shd w:val="clear" w:color="auto" w:fill="auto"/>
            <w:vAlign w:val="center"/>
          </w:tcPr>
          <w:p w14:paraId="2662B4CF">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对象存储交换机</w:t>
            </w:r>
          </w:p>
        </w:tc>
        <w:tc>
          <w:tcPr>
            <w:tcW w:w="2241" w:type="pct"/>
            <w:shd w:val="clear" w:color="auto" w:fill="auto"/>
            <w:noWrap/>
            <w:vAlign w:val="center"/>
          </w:tcPr>
          <w:p w14:paraId="26380CBD">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6865E-48S8CQ</w:t>
            </w:r>
          </w:p>
        </w:tc>
        <w:tc>
          <w:tcPr>
            <w:tcW w:w="400" w:type="pct"/>
            <w:shd w:val="clear" w:color="auto" w:fill="auto"/>
            <w:vAlign w:val="center"/>
          </w:tcPr>
          <w:p w14:paraId="6AA768D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6677120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5C2971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24EA40B6">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29" w:type="pct"/>
            <w:shd w:val="clear" w:color="auto" w:fill="auto"/>
            <w:vAlign w:val="center"/>
          </w:tcPr>
          <w:p w14:paraId="704AACA8">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安全接入交换机</w:t>
            </w:r>
          </w:p>
        </w:tc>
        <w:tc>
          <w:tcPr>
            <w:tcW w:w="2241" w:type="pct"/>
            <w:shd w:val="clear" w:color="auto" w:fill="auto"/>
            <w:noWrap/>
            <w:vAlign w:val="center"/>
          </w:tcPr>
          <w:p w14:paraId="7C061DEC">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6857F-48S6CQ</w:t>
            </w:r>
          </w:p>
        </w:tc>
        <w:tc>
          <w:tcPr>
            <w:tcW w:w="400" w:type="pct"/>
            <w:shd w:val="clear" w:color="auto" w:fill="auto"/>
            <w:vAlign w:val="center"/>
          </w:tcPr>
          <w:p w14:paraId="56B1764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4F96784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21D57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2F6F6950">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1429" w:type="pct"/>
            <w:shd w:val="clear" w:color="auto" w:fill="auto"/>
            <w:vAlign w:val="center"/>
          </w:tcPr>
          <w:p w14:paraId="2D9525B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公网接入路由器</w:t>
            </w:r>
          </w:p>
        </w:tc>
        <w:tc>
          <w:tcPr>
            <w:tcW w:w="2241" w:type="pct"/>
            <w:shd w:val="clear" w:color="auto" w:fill="auto"/>
            <w:vAlign w:val="center"/>
          </w:tcPr>
          <w:p w14:paraId="1EC2514C">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华为/NetEngine 8000 M14</w:t>
            </w:r>
          </w:p>
        </w:tc>
        <w:tc>
          <w:tcPr>
            <w:tcW w:w="400" w:type="pct"/>
            <w:shd w:val="clear" w:color="auto" w:fill="auto"/>
            <w:vAlign w:val="center"/>
          </w:tcPr>
          <w:p w14:paraId="008718B7">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5F549FE1">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3CE22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1FA959C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1429" w:type="pct"/>
            <w:shd w:val="clear" w:color="auto" w:fill="auto"/>
            <w:vAlign w:val="center"/>
          </w:tcPr>
          <w:p w14:paraId="7EFF15B7">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100G单模模块</w:t>
            </w:r>
          </w:p>
        </w:tc>
        <w:tc>
          <w:tcPr>
            <w:tcW w:w="2241" w:type="pct"/>
            <w:shd w:val="clear" w:color="auto" w:fill="auto"/>
            <w:vAlign w:val="center"/>
          </w:tcPr>
          <w:p w14:paraId="0DAB5280">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华为/QSFP28-100G-LR4</w:t>
            </w:r>
          </w:p>
        </w:tc>
        <w:tc>
          <w:tcPr>
            <w:tcW w:w="400" w:type="pct"/>
            <w:shd w:val="clear" w:color="auto" w:fill="auto"/>
            <w:vAlign w:val="center"/>
          </w:tcPr>
          <w:p w14:paraId="7D302B7D">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148</w:t>
            </w:r>
          </w:p>
        </w:tc>
        <w:tc>
          <w:tcPr>
            <w:tcW w:w="400" w:type="pct"/>
            <w:shd w:val="clear" w:color="auto" w:fill="auto"/>
            <w:vAlign w:val="center"/>
          </w:tcPr>
          <w:p w14:paraId="41A5844B">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块</w:t>
            </w:r>
          </w:p>
        </w:tc>
      </w:tr>
      <w:tr w14:paraId="26D12F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42D84B9B">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1429" w:type="pct"/>
            <w:shd w:val="clear" w:color="auto" w:fill="auto"/>
            <w:vAlign w:val="center"/>
          </w:tcPr>
          <w:p w14:paraId="648B88D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25G多模模块</w:t>
            </w:r>
          </w:p>
        </w:tc>
        <w:tc>
          <w:tcPr>
            <w:tcW w:w="2241" w:type="pct"/>
            <w:shd w:val="clear" w:color="auto" w:fill="auto"/>
            <w:vAlign w:val="center"/>
          </w:tcPr>
          <w:p w14:paraId="71E211CD">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华为/SFP-25G-SR</w:t>
            </w:r>
          </w:p>
        </w:tc>
        <w:tc>
          <w:tcPr>
            <w:tcW w:w="400" w:type="pct"/>
            <w:shd w:val="clear" w:color="auto" w:fill="auto"/>
            <w:vAlign w:val="center"/>
          </w:tcPr>
          <w:p w14:paraId="681FF88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952</w:t>
            </w:r>
          </w:p>
        </w:tc>
        <w:tc>
          <w:tcPr>
            <w:tcW w:w="400" w:type="pct"/>
            <w:shd w:val="clear" w:color="auto" w:fill="auto"/>
            <w:vAlign w:val="center"/>
          </w:tcPr>
          <w:p w14:paraId="4FDE04B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块</w:t>
            </w:r>
          </w:p>
        </w:tc>
      </w:tr>
      <w:tr w14:paraId="27F85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11539E6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1429" w:type="pct"/>
            <w:shd w:val="clear" w:color="auto" w:fill="auto"/>
            <w:vAlign w:val="center"/>
          </w:tcPr>
          <w:p w14:paraId="6EF347D7">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10G单模模块</w:t>
            </w:r>
          </w:p>
        </w:tc>
        <w:tc>
          <w:tcPr>
            <w:tcW w:w="2241" w:type="pct"/>
            <w:shd w:val="clear" w:color="auto" w:fill="auto"/>
            <w:vAlign w:val="center"/>
          </w:tcPr>
          <w:p w14:paraId="152C822C">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华为/SFP-10G-LR</w:t>
            </w:r>
          </w:p>
        </w:tc>
        <w:tc>
          <w:tcPr>
            <w:tcW w:w="400" w:type="pct"/>
            <w:shd w:val="clear" w:color="auto" w:fill="auto"/>
            <w:vAlign w:val="center"/>
          </w:tcPr>
          <w:p w14:paraId="3CC89637">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400" w:type="pct"/>
            <w:shd w:val="clear" w:color="auto" w:fill="auto"/>
            <w:vAlign w:val="center"/>
          </w:tcPr>
          <w:p w14:paraId="557DAE42">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块</w:t>
            </w:r>
          </w:p>
        </w:tc>
      </w:tr>
      <w:tr w14:paraId="036CD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0923A401">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429" w:type="pct"/>
            <w:shd w:val="clear" w:color="auto" w:fill="auto"/>
            <w:vAlign w:val="center"/>
          </w:tcPr>
          <w:p w14:paraId="7486FB7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专线接入交换机</w:t>
            </w:r>
          </w:p>
        </w:tc>
        <w:tc>
          <w:tcPr>
            <w:tcW w:w="2241" w:type="pct"/>
            <w:shd w:val="clear" w:color="auto" w:fill="auto"/>
            <w:vAlign w:val="center"/>
          </w:tcPr>
          <w:p w14:paraId="1C7B3B99">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6857F-48S6CQ</w:t>
            </w:r>
          </w:p>
        </w:tc>
        <w:tc>
          <w:tcPr>
            <w:tcW w:w="400" w:type="pct"/>
            <w:shd w:val="clear" w:color="auto" w:fill="auto"/>
            <w:vAlign w:val="center"/>
          </w:tcPr>
          <w:p w14:paraId="1955D04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22E841E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0D583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1763F1F1">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（三）</w:t>
            </w:r>
          </w:p>
        </w:tc>
        <w:tc>
          <w:tcPr>
            <w:tcW w:w="1429" w:type="pct"/>
            <w:shd w:val="clear" w:color="auto" w:fill="auto"/>
            <w:vAlign w:val="center"/>
          </w:tcPr>
          <w:p w14:paraId="33C14D65">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信息安全设备</w:t>
            </w:r>
          </w:p>
        </w:tc>
        <w:tc>
          <w:tcPr>
            <w:tcW w:w="2241" w:type="pct"/>
            <w:shd w:val="clear" w:color="auto" w:fill="auto"/>
            <w:vAlign w:val="center"/>
          </w:tcPr>
          <w:p w14:paraId="0E7336A9">
            <w:pPr>
              <w:spacing w:line="240" w:lineRule="auto"/>
              <w:ind w:firstLine="0" w:firstLineChars="0"/>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400" w:type="pct"/>
            <w:shd w:val="clear" w:color="auto" w:fill="auto"/>
            <w:vAlign w:val="center"/>
          </w:tcPr>
          <w:p w14:paraId="48076DC1">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400" w:type="pct"/>
            <w:shd w:val="clear" w:color="auto" w:fill="auto"/>
            <w:vAlign w:val="center"/>
          </w:tcPr>
          <w:p w14:paraId="7CCF6734">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r>
      <w:tr w14:paraId="59763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457212E8">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429" w:type="pct"/>
            <w:shd w:val="clear" w:color="auto" w:fill="auto"/>
            <w:vAlign w:val="center"/>
          </w:tcPr>
          <w:p w14:paraId="4BC7BB28">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堡垒机</w:t>
            </w:r>
          </w:p>
        </w:tc>
        <w:tc>
          <w:tcPr>
            <w:tcW w:w="2241" w:type="pct"/>
            <w:shd w:val="clear" w:color="auto" w:fill="auto"/>
            <w:vAlign w:val="center"/>
          </w:tcPr>
          <w:p w14:paraId="41C8AA2B">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华为/UMA1520E</w:t>
            </w:r>
          </w:p>
        </w:tc>
        <w:tc>
          <w:tcPr>
            <w:tcW w:w="400" w:type="pct"/>
            <w:shd w:val="clear" w:color="auto" w:fill="auto"/>
            <w:vAlign w:val="center"/>
          </w:tcPr>
          <w:p w14:paraId="048EC287">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79F5A1E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51EFB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1F124C1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429" w:type="pct"/>
            <w:shd w:val="clear" w:color="auto" w:fill="auto"/>
            <w:vAlign w:val="center"/>
          </w:tcPr>
          <w:p w14:paraId="055476F5">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互联网接入防火墙</w:t>
            </w:r>
          </w:p>
        </w:tc>
        <w:tc>
          <w:tcPr>
            <w:tcW w:w="2241" w:type="pct"/>
            <w:shd w:val="clear" w:color="auto" w:fill="auto"/>
            <w:vAlign w:val="center"/>
          </w:tcPr>
          <w:p w14:paraId="0845F4A4">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华为/HiSecEngine USG6655F</w:t>
            </w:r>
          </w:p>
        </w:tc>
        <w:tc>
          <w:tcPr>
            <w:tcW w:w="400" w:type="pct"/>
            <w:shd w:val="clear" w:color="auto" w:fill="auto"/>
            <w:vAlign w:val="center"/>
          </w:tcPr>
          <w:p w14:paraId="0BB2FF50">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103029F2">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71938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7B688BB6">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29" w:type="pct"/>
            <w:shd w:val="clear" w:color="auto" w:fill="auto"/>
            <w:vAlign w:val="center"/>
          </w:tcPr>
          <w:p w14:paraId="1E404780">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WEB应用防火墙系统</w:t>
            </w:r>
          </w:p>
        </w:tc>
        <w:tc>
          <w:tcPr>
            <w:tcW w:w="2241" w:type="pct"/>
            <w:shd w:val="clear" w:color="auto" w:fill="auto"/>
            <w:vAlign w:val="center"/>
          </w:tcPr>
          <w:p w14:paraId="4F0F928C">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绿盟/WAF-NX5-HD1700-HW</w:t>
            </w:r>
          </w:p>
        </w:tc>
        <w:tc>
          <w:tcPr>
            <w:tcW w:w="400" w:type="pct"/>
            <w:shd w:val="clear" w:color="auto" w:fill="auto"/>
            <w:vAlign w:val="center"/>
          </w:tcPr>
          <w:p w14:paraId="68F2EB7B">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00" w:type="pct"/>
            <w:shd w:val="clear" w:color="auto" w:fill="auto"/>
            <w:vAlign w:val="center"/>
          </w:tcPr>
          <w:p w14:paraId="3E4E7802">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39C55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0B53567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29" w:type="pct"/>
            <w:shd w:val="clear" w:color="auto" w:fill="auto"/>
            <w:vAlign w:val="center"/>
          </w:tcPr>
          <w:p w14:paraId="764B051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漏洞扫描系统</w:t>
            </w:r>
          </w:p>
        </w:tc>
        <w:tc>
          <w:tcPr>
            <w:tcW w:w="2241" w:type="pct"/>
            <w:shd w:val="clear" w:color="auto" w:fill="auto"/>
            <w:vAlign w:val="center"/>
          </w:tcPr>
          <w:p w14:paraId="5D5EC3F3">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华为/VSCAN1508</w:t>
            </w:r>
          </w:p>
        </w:tc>
        <w:tc>
          <w:tcPr>
            <w:tcW w:w="400" w:type="pct"/>
            <w:shd w:val="clear" w:color="auto" w:fill="auto"/>
            <w:vAlign w:val="center"/>
          </w:tcPr>
          <w:p w14:paraId="1DF0BBC6">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00" w:type="pct"/>
            <w:shd w:val="clear" w:color="auto" w:fill="auto"/>
            <w:vAlign w:val="center"/>
          </w:tcPr>
          <w:p w14:paraId="3F11DDF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4F157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630D68A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29" w:type="pct"/>
            <w:shd w:val="clear" w:color="auto" w:fill="auto"/>
            <w:vAlign w:val="center"/>
          </w:tcPr>
          <w:p w14:paraId="0DD44D37">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日志审计</w:t>
            </w:r>
          </w:p>
        </w:tc>
        <w:tc>
          <w:tcPr>
            <w:tcW w:w="2241" w:type="pct"/>
            <w:shd w:val="clear" w:color="auto" w:fill="auto"/>
            <w:vAlign w:val="center"/>
          </w:tcPr>
          <w:p w14:paraId="3C3FD3B1">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安恒/日志审计分析平台DAS-LOG-3500</w:t>
            </w:r>
          </w:p>
        </w:tc>
        <w:tc>
          <w:tcPr>
            <w:tcW w:w="400" w:type="pct"/>
            <w:shd w:val="clear" w:color="auto" w:fill="auto"/>
            <w:vAlign w:val="center"/>
          </w:tcPr>
          <w:p w14:paraId="2FD0566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6361598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套</w:t>
            </w:r>
          </w:p>
        </w:tc>
      </w:tr>
      <w:tr w14:paraId="0797E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692A3F44">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29" w:type="pct"/>
            <w:shd w:val="clear" w:color="auto" w:fill="auto"/>
            <w:vAlign w:val="center"/>
          </w:tcPr>
          <w:p w14:paraId="63C5A37A">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终端威胁防御系统</w:t>
            </w:r>
          </w:p>
        </w:tc>
        <w:tc>
          <w:tcPr>
            <w:tcW w:w="2241" w:type="pct"/>
            <w:shd w:val="clear" w:color="auto" w:fill="auto"/>
            <w:vAlign w:val="center"/>
          </w:tcPr>
          <w:p w14:paraId="71E36FEF">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华为/乾坤终端防护与响应</w:t>
            </w:r>
          </w:p>
        </w:tc>
        <w:tc>
          <w:tcPr>
            <w:tcW w:w="400" w:type="pct"/>
            <w:shd w:val="clear" w:color="auto" w:fill="auto"/>
            <w:vAlign w:val="center"/>
          </w:tcPr>
          <w:p w14:paraId="32DC1DB6">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00" w:type="pct"/>
            <w:shd w:val="clear" w:color="auto" w:fill="auto"/>
            <w:vAlign w:val="center"/>
          </w:tcPr>
          <w:p w14:paraId="3D9E0E4B">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套</w:t>
            </w:r>
          </w:p>
        </w:tc>
      </w:tr>
      <w:tr w14:paraId="13AA0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7254AB18">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429" w:type="pct"/>
            <w:shd w:val="clear" w:color="auto" w:fill="auto"/>
            <w:vAlign w:val="center"/>
          </w:tcPr>
          <w:p w14:paraId="2CA41B5F">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数据库审计</w:t>
            </w:r>
          </w:p>
        </w:tc>
        <w:tc>
          <w:tcPr>
            <w:tcW w:w="2241" w:type="pct"/>
            <w:shd w:val="clear" w:color="auto" w:fill="auto"/>
            <w:vAlign w:val="center"/>
          </w:tcPr>
          <w:p w14:paraId="4FF81F2E">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华为/DAS1580</w:t>
            </w:r>
          </w:p>
        </w:tc>
        <w:tc>
          <w:tcPr>
            <w:tcW w:w="400" w:type="pct"/>
            <w:shd w:val="clear" w:color="auto" w:fill="auto"/>
            <w:vAlign w:val="center"/>
          </w:tcPr>
          <w:p w14:paraId="5EEFA9B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00" w:type="pct"/>
            <w:shd w:val="clear" w:color="auto" w:fill="auto"/>
            <w:vAlign w:val="center"/>
          </w:tcPr>
          <w:p w14:paraId="172D8CE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套</w:t>
            </w:r>
          </w:p>
        </w:tc>
      </w:tr>
      <w:tr w14:paraId="070D5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059BBC7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29" w:type="pct"/>
            <w:shd w:val="clear" w:color="auto" w:fill="auto"/>
            <w:vAlign w:val="center"/>
          </w:tcPr>
          <w:p w14:paraId="2DC9308C">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专线接入防火墙</w:t>
            </w:r>
          </w:p>
        </w:tc>
        <w:tc>
          <w:tcPr>
            <w:tcW w:w="2241" w:type="pct"/>
            <w:shd w:val="clear" w:color="auto" w:fill="auto"/>
            <w:vAlign w:val="center"/>
          </w:tcPr>
          <w:p w14:paraId="63470D3D">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华为/HiSecEngine USG6655F</w:t>
            </w:r>
          </w:p>
        </w:tc>
        <w:tc>
          <w:tcPr>
            <w:tcW w:w="400" w:type="pct"/>
            <w:shd w:val="clear" w:color="auto" w:fill="auto"/>
            <w:vAlign w:val="center"/>
          </w:tcPr>
          <w:p w14:paraId="7B8C7D3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00" w:type="pct"/>
            <w:shd w:val="clear" w:color="auto" w:fill="auto"/>
            <w:vAlign w:val="center"/>
          </w:tcPr>
          <w:p w14:paraId="661E96B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61C47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5EB3BBFA">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（四）</w:t>
            </w:r>
          </w:p>
        </w:tc>
        <w:tc>
          <w:tcPr>
            <w:tcW w:w="1429" w:type="pct"/>
            <w:shd w:val="clear" w:color="auto" w:fill="auto"/>
            <w:vAlign w:val="center"/>
          </w:tcPr>
          <w:p w14:paraId="56D19476">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基础软件</w:t>
            </w:r>
          </w:p>
        </w:tc>
        <w:tc>
          <w:tcPr>
            <w:tcW w:w="2241" w:type="pct"/>
            <w:shd w:val="clear" w:color="auto" w:fill="auto"/>
            <w:vAlign w:val="center"/>
          </w:tcPr>
          <w:p w14:paraId="63673EC4">
            <w:pPr>
              <w:spacing w:line="240" w:lineRule="auto"/>
              <w:ind w:firstLine="0" w:firstLineChars="0"/>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400" w:type="pct"/>
            <w:shd w:val="clear" w:color="auto" w:fill="auto"/>
            <w:vAlign w:val="center"/>
          </w:tcPr>
          <w:p w14:paraId="370BD391">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400" w:type="pct"/>
            <w:shd w:val="clear" w:color="auto" w:fill="auto"/>
            <w:vAlign w:val="center"/>
          </w:tcPr>
          <w:p w14:paraId="4950B1C7">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r>
      <w:tr w14:paraId="1074F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3CA8F18C">
            <w:pPr>
              <w:spacing w:line="240" w:lineRule="auto"/>
              <w:ind w:firstLine="0" w:firstLineChars="0"/>
              <w:jc w:val="center"/>
              <w:rPr>
                <w:rFonts w:hint="eastAsia" w:ascii="宋体" w:hAnsi="宋体" w:cs="宋体"/>
                <w:color w:val="000000"/>
                <w:kern w:val="0"/>
                <w:sz w:val="18"/>
                <w:szCs w:val="18"/>
              </w:rPr>
            </w:pPr>
            <w:bookmarkStart w:id="6" w:name="_Hlk193115477"/>
            <w:r>
              <w:rPr>
                <w:rFonts w:hint="eastAsia" w:ascii="宋体" w:hAnsi="宋体" w:cs="宋体"/>
                <w:color w:val="000000"/>
                <w:kern w:val="0"/>
                <w:sz w:val="18"/>
                <w:szCs w:val="18"/>
              </w:rPr>
              <w:t>1</w:t>
            </w:r>
          </w:p>
        </w:tc>
        <w:tc>
          <w:tcPr>
            <w:tcW w:w="1429" w:type="pct"/>
            <w:shd w:val="clear" w:color="auto" w:fill="auto"/>
            <w:vAlign w:val="center"/>
          </w:tcPr>
          <w:p w14:paraId="1B2DEFAB">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算力运营服务平台</w:t>
            </w:r>
          </w:p>
        </w:tc>
        <w:tc>
          <w:tcPr>
            <w:tcW w:w="2241" w:type="pct"/>
            <w:shd w:val="clear" w:color="auto" w:fill="auto"/>
            <w:vAlign w:val="center"/>
          </w:tcPr>
          <w:p w14:paraId="5474F398">
            <w:pPr>
              <w:spacing w:line="240" w:lineRule="auto"/>
              <w:ind w:firstLine="0" w:firstLineChars="0"/>
              <w:rPr>
                <w:rFonts w:hint="eastAsia" w:ascii="宋体" w:hAnsi="宋体" w:cs="宋体"/>
                <w:color w:val="000000"/>
                <w:kern w:val="0"/>
                <w:sz w:val="18"/>
                <w:szCs w:val="18"/>
              </w:rPr>
            </w:pPr>
          </w:p>
        </w:tc>
        <w:tc>
          <w:tcPr>
            <w:tcW w:w="400" w:type="pct"/>
            <w:shd w:val="clear" w:color="auto" w:fill="auto"/>
            <w:vAlign w:val="center"/>
          </w:tcPr>
          <w:p w14:paraId="23C82075">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00" w:type="pct"/>
            <w:shd w:val="clear" w:color="auto" w:fill="auto"/>
            <w:vAlign w:val="center"/>
          </w:tcPr>
          <w:p w14:paraId="277A1955">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套</w:t>
            </w:r>
          </w:p>
        </w:tc>
      </w:tr>
      <w:tr w14:paraId="7126F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6575486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429" w:type="pct"/>
            <w:shd w:val="clear" w:color="auto" w:fill="auto"/>
            <w:vAlign w:val="center"/>
          </w:tcPr>
          <w:p w14:paraId="356A39F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运维监控平台</w:t>
            </w:r>
          </w:p>
        </w:tc>
        <w:tc>
          <w:tcPr>
            <w:tcW w:w="2241" w:type="pct"/>
            <w:shd w:val="clear" w:color="auto" w:fill="auto"/>
            <w:vAlign w:val="center"/>
          </w:tcPr>
          <w:p w14:paraId="0E557A12">
            <w:pPr>
              <w:spacing w:line="240" w:lineRule="auto"/>
              <w:ind w:firstLine="0" w:firstLineChars="0"/>
              <w:rPr>
                <w:rFonts w:hint="eastAsia" w:ascii="宋体" w:hAnsi="宋体" w:cs="宋体"/>
                <w:color w:val="000000"/>
                <w:kern w:val="0"/>
                <w:sz w:val="18"/>
                <w:szCs w:val="18"/>
              </w:rPr>
            </w:pPr>
          </w:p>
        </w:tc>
        <w:tc>
          <w:tcPr>
            <w:tcW w:w="400" w:type="pct"/>
            <w:shd w:val="clear" w:color="auto" w:fill="auto"/>
            <w:vAlign w:val="center"/>
          </w:tcPr>
          <w:p w14:paraId="3AA1502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00" w:type="pct"/>
            <w:shd w:val="clear" w:color="auto" w:fill="auto"/>
            <w:vAlign w:val="center"/>
          </w:tcPr>
          <w:p w14:paraId="0FBD7A25">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套</w:t>
            </w:r>
          </w:p>
        </w:tc>
      </w:tr>
      <w:tr w14:paraId="0D9A7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31F6D98B">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29" w:type="pct"/>
            <w:shd w:val="clear" w:color="auto" w:fill="auto"/>
            <w:vAlign w:val="center"/>
          </w:tcPr>
          <w:p w14:paraId="4E20194D">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AI训练推理一体化平台</w:t>
            </w:r>
          </w:p>
        </w:tc>
        <w:tc>
          <w:tcPr>
            <w:tcW w:w="2241" w:type="pct"/>
            <w:shd w:val="clear" w:color="auto" w:fill="auto"/>
            <w:vAlign w:val="center"/>
          </w:tcPr>
          <w:p w14:paraId="3D476D22">
            <w:pPr>
              <w:spacing w:line="240" w:lineRule="auto"/>
              <w:ind w:firstLine="0" w:firstLineChars="0"/>
              <w:rPr>
                <w:rFonts w:hint="eastAsia" w:ascii="宋体" w:hAnsi="宋体" w:cs="宋体"/>
                <w:color w:val="000000"/>
                <w:kern w:val="0"/>
                <w:sz w:val="18"/>
                <w:szCs w:val="18"/>
              </w:rPr>
            </w:pPr>
          </w:p>
        </w:tc>
        <w:tc>
          <w:tcPr>
            <w:tcW w:w="400" w:type="pct"/>
            <w:shd w:val="clear" w:color="auto" w:fill="auto"/>
            <w:vAlign w:val="center"/>
          </w:tcPr>
          <w:p w14:paraId="12B168D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00" w:type="pct"/>
            <w:shd w:val="clear" w:color="auto" w:fill="auto"/>
            <w:vAlign w:val="center"/>
          </w:tcPr>
          <w:p w14:paraId="19E503D8">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套</w:t>
            </w:r>
          </w:p>
        </w:tc>
      </w:tr>
      <w:bookmarkEnd w:id="6"/>
      <w:tr w14:paraId="0B6CD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trPr>
        <w:tc>
          <w:tcPr>
            <w:tcW w:w="526" w:type="pct"/>
            <w:shd w:val="clear" w:color="auto" w:fill="auto"/>
            <w:vAlign w:val="center"/>
          </w:tcPr>
          <w:p w14:paraId="0CBD197D">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29" w:type="pct"/>
            <w:shd w:val="clear" w:color="auto" w:fill="auto"/>
            <w:vAlign w:val="center"/>
          </w:tcPr>
          <w:p w14:paraId="3A8B0F31">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IB网络管理平台</w:t>
            </w:r>
          </w:p>
        </w:tc>
        <w:tc>
          <w:tcPr>
            <w:tcW w:w="2241" w:type="pct"/>
            <w:shd w:val="clear" w:color="auto" w:fill="auto"/>
            <w:vAlign w:val="center"/>
          </w:tcPr>
          <w:p w14:paraId="723A9B6E">
            <w:pPr>
              <w:spacing w:line="240" w:lineRule="auto"/>
              <w:ind w:firstLine="0" w:firstLineChars="0"/>
              <w:rPr>
                <w:rFonts w:hint="eastAsia" w:ascii="宋体" w:hAnsi="宋体" w:cs="宋体"/>
                <w:color w:val="000000"/>
                <w:kern w:val="0"/>
                <w:sz w:val="18"/>
                <w:szCs w:val="18"/>
              </w:rPr>
            </w:pPr>
          </w:p>
        </w:tc>
        <w:tc>
          <w:tcPr>
            <w:tcW w:w="400" w:type="pct"/>
            <w:shd w:val="clear" w:color="auto" w:fill="auto"/>
            <w:vAlign w:val="center"/>
          </w:tcPr>
          <w:p w14:paraId="27DD798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00" w:type="pct"/>
            <w:shd w:val="clear" w:color="auto" w:fill="auto"/>
            <w:vAlign w:val="center"/>
          </w:tcPr>
          <w:p w14:paraId="3FA9013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套</w:t>
            </w:r>
          </w:p>
        </w:tc>
      </w:tr>
    </w:tbl>
    <w:p w14:paraId="0446C7ED">
      <w:pPr>
        <w:widowControl w:val="0"/>
        <w:autoSpaceDE w:val="0"/>
        <w:autoSpaceDN w:val="0"/>
        <w:adjustRightInd w:val="0"/>
        <w:snapToGrid w:val="0"/>
        <w:ind w:firstLine="0" w:firstLineChars="0"/>
        <w:rPr>
          <w:rFonts w:hint="eastAsia" w:ascii="宋体" w:hAnsi="宋体" w:cs="宋体"/>
          <w:sz w:val="24"/>
        </w:rPr>
      </w:pPr>
    </w:p>
    <w:p w14:paraId="26E87C71">
      <w:pPr>
        <w:widowControl w:val="0"/>
        <w:autoSpaceDE w:val="0"/>
        <w:autoSpaceDN w:val="0"/>
        <w:adjustRightInd w:val="0"/>
        <w:snapToGrid w:val="0"/>
        <w:ind w:firstLine="442"/>
        <w:outlineLvl w:val="2"/>
        <w:rPr>
          <w:rFonts w:hint="eastAsia" w:ascii="宋体" w:hAnsi="宋体" w:cs="宋体"/>
          <w:b/>
          <w:bCs/>
          <w:sz w:val="22"/>
          <w:szCs w:val="22"/>
        </w:rPr>
      </w:pPr>
      <w:r>
        <w:rPr>
          <w:rFonts w:hint="eastAsia" w:ascii="宋体" w:hAnsi="宋体" w:cs="宋体"/>
          <w:b/>
          <w:bCs/>
          <w:sz w:val="22"/>
          <w:szCs w:val="22"/>
        </w:rPr>
        <w:t>三、项目服务要求</w:t>
      </w:r>
    </w:p>
    <w:p w14:paraId="5F42F49F">
      <w:pPr>
        <w:widowControl w:val="0"/>
        <w:autoSpaceDE w:val="0"/>
        <w:autoSpaceDN w:val="0"/>
        <w:adjustRightInd w:val="0"/>
        <w:snapToGrid w:val="0"/>
        <w:ind w:firstLine="442"/>
        <w:rPr>
          <w:rFonts w:hint="eastAsia" w:ascii="宋体" w:hAnsi="宋体" w:cs="宋体"/>
          <w:b/>
          <w:bCs/>
          <w:sz w:val="22"/>
          <w:szCs w:val="22"/>
        </w:rPr>
      </w:pPr>
      <w:r>
        <w:rPr>
          <w:rFonts w:hint="eastAsia" w:ascii="宋体" w:hAnsi="宋体" w:cs="宋体"/>
          <w:b/>
          <w:bCs/>
          <w:sz w:val="22"/>
          <w:szCs w:val="22"/>
        </w:rPr>
        <w:t>（一）总体要求</w:t>
      </w:r>
    </w:p>
    <w:p w14:paraId="425B8B1A">
      <w:pPr>
        <w:widowControl w:val="0"/>
        <w:autoSpaceDE w:val="0"/>
        <w:autoSpaceDN w:val="0"/>
        <w:adjustRightInd w:val="0"/>
        <w:snapToGrid w:val="0"/>
        <w:ind w:firstLine="442"/>
        <w:rPr>
          <w:rFonts w:hint="eastAsia" w:ascii="宋体" w:hAnsi="宋体" w:cs="宋体"/>
          <w:b/>
          <w:bCs/>
          <w:sz w:val="22"/>
          <w:szCs w:val="22"/>
        </w:rPr>
      </w:pPr>
      <w:r>
        <w:rPr>
          <w:rFonts w:hint="eastAsia" w:ascii="宋体" w:hAnsi="宋体" w:cs="宋体"/>
          <w:b/>
          <w:bCs/>
          <w:sz w:val="22"/>
          <w:szCs w:val="22"/>
        </w:rPr>
        <w:t>1、运维服务人员要求</w:t>
      </w:r>
    </w:p>
    <w:p w14:paraId="38F6195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服务团队要求：提供一个不少于15人的服务团队，包括运维项目经理1名，智算集群资深运维专家2人，高级运维工程师3人（算力设备运维、软件运维、网络设备运维各1名），中级运维工程师9人（每天3个班，每班3人，提供24小时驻场运维服务）。基于目前智算集群的现状，提供详细的组网方案以及理解和建议，并提供整个智算集群（涵盖算力、参数网、存储网、管理网、业务网以及软件平台等）运行维护建议。</w:t>
      </w:r>
    </w:p>
    <w:p w14:paraId="4DB8FC83">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②驻场服务要求：提供7*24小时驻场服务，在智算集群所在数据中心提供现场运维工程师建立</w:t>
      </w:r>
      <w:r>
        <w:rPr>
          <w:rFonts w:hint="eastAsia" w:ascii="宋体" w:hAnsi="宋体" w:cs="宋体"/>
          <w:kern w:val="0"/>
          <w:sz w:val="24"/>
        </w:rPr>
        <w:t>7*24小时值守轮岗工作机制。</w:t>
      </w:r>
    </w:p>
    <w:p w14:paraId="1150E870">
      <w:pPr>
        <w:widowControl w:val="0"/>
        <w:autoSpaceDE w:val="0"/>
        <w:autoSpaceDN w:val="0"/>
        <w:adjustRightInd w:val="0"/>
        <w:snapToGrid w:val="0"/>
        <w:ind w:firstLine="442"/>
        <w:rPr>
          <w:rFonts w:hint="eastAsia" w:ascii="宋体" w:hAnsi="宋体" w:cs="宋体"/>
          <w:b/>
          <w:bCs/>
          <w:sz w:val="22"/>
          <w:szCs w:val="22"/>
        </w:rPr>
      </w:pPr>
      <w:r>
        <w:rPr>
          <w:rFonts w:hint="eastAsia" w:ascii="宋体" w:hAnsi="宋体" w:cs="宋体"/>
          <w:b/>
          <w:bCs/>
          <w:sz w:val="22"/>
          <w:szCs w:val="22"/>
        </w:rPr>
        <w:t>2、算力集群整体运维技术指标</w:t>
      </w:r>
    </w:p>
    <w:p w14:paraId="7F5D56C3">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①故障分级响应要求：根据</w:t>
      </w:r>
      <w:bookmarkStart w:id="7" w:name="OLE_LINK5"/>
      <w:r>
        <w:rPr>
          <w:rFonts w:hint="eastAsia" w:ascii="宋体" w:hAnsi="宋体" w:cs="宋体"/>
          <w:sz w:val="24"/>
        </w:rPr>
        <w:t>SLA分级响应</w:t>
      </w:r>
      <w:bookmarkEnd w:id="7"/>
      <w:r>
        <w:rPr>
          <w:rFonts w:hint="eastAsia" w:ascii="宋体" w:hAnsi="宋体" w:cs="宋体"/>
          <w:sz w:val="24"/>
        </w:rPr>
        <w:t>，最高级别故障需5分钟内响应，重要级别故障15分钟内响应。</w:t>
      </w:r>
    </w:p>
    <w:p w14:paraId="216A1959">
      <w:pPr>
        <w:widowControl w:val="0"/>
        <w:autoSpaceDE w:val="0"/>
        <w:autoSpaceDN w:val="0"/>
        <w:adjustRightInd w:val="0"/>
        <w:snapToGrid w:val="0"/>
        <w:ind w:firstLine="0" w:firstLineChars="0"/>
        <w:jc w:val="center"/>
        <w:rPr>
          <w:rFonts w:hint="eastAsia" w:ascii="宋体" w:hAnsi="宋体" w:cs="宋体"/>
          <w:b/>
          <w:bCs/>
          <w:sz w:val="24"/>
        </w:rPr>
      </w:pPr>
      <w:r>
        <w:rPr>
          <w:rFonts w:hint="eastAsia" w:ascii="宋体" w:hAnsi="宋体" w:cs="宋体"/>
          <w:b/>
          <w:bCs/>
          <w:sz w:val="24"/>
        </w:rPr>
        <w:t>故障分级响应表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8"/>
        <w:gridCol w:w="3982"/>
        <w:gridCol w:w="1922"/>
      </w:tblGrid>
      <w:tr w14:paraId="038E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0253C4C">
            <w:pPr>
              <w:widowControl w:val="0"/>
              <w:autoSpaceDE w:val="0"/>
              <w:autoSpaceDN w:val="0"/>
              <w:adjustRightInd w:val="0"/>
              <w:snapToGrid w:val="0"/>
              <w:spacing w:line="240" w:lineRule="auto"/>
              <w:ind w:firstLine="0" w:firstLineChars="0"/>
              <w:jc w:val="center"/>
              <w:rPr>
                <w:rFonts w:hint="eastAsia" w:ascii="宋体" w:hAnsi="宋体" w:cs="宋体"/>
                <w:b/>
                <w:bCs/>
                <w:szCs w:val="21"/>
              </w:rPr>
            </w:pPr>
            <w:r>
              <w:rPr>
                <w:rFonts w:hint="eastAsia" w:ascii="宋体" w:hAnsi="宋体" w:cs="宋体"/>
                <w:b/>
                <w:bCs/>
                <w:szCs w:val="21"/>
              </w:rPr>
              <w:t>序号</w:t>
            </w:r>
          </w:p>
        </w:tc>
        <w:tc>
          <w:tcPr>
            <w:tcW w:w="1688" w:type="dxa"/>
          </w:tcPr>
          <w:p w14:paraId="064C2B52">
            <w:pPr>
              <w:widowControl w:val="0"/>
              <w:autoSpaceDE w:val="0"/>
              <w:autoSpaceDN w:val="0"/>
              <w:adjustRightInd w:val="0"/>
              <w:snapToGrid w:val="0"/>
              <w:spacing w:line="240" w:lineRule="auto"/>
              <w:ind w:firstLine="0" w:firstLineChars="0"/>
              <w:jc w:val="center"/>
              <w:rPr>
                <w:rFonts w:hint="eastAsia" w:ascii="宋体" w:hAnsi="宋体" w:cs="宋体"/>
                <w:b/>
                <w:bCs/>
                <w:szCs w:val="21"/>
              </w:rPr>
            </w:pPr>
            <w:r>
              <w:rPr>
                <w:rFonts w:hint="eastAsia" w:ascii="宋体" w:hAnsi="宋体" w:cs="宋体"/>
                <w:b/>
                <w:bCs/>
                <w:szCs w:val="21"/>
              </w:rPr>
              <w:t>故障等级</w:t>
            </w:r>
          </w:p>
        </w:tc>
        <w:tc>
          <w:tcPr>
            <w:tcW w:w="3982" w:type="dxa"/>
            <w:vAlign w:val="center"/>
          </w:tcPr>
          <w:p w14:paraId="1850D193">
            <w:pPr>
              <w:widowControl w:val="0"/>
              <w:autoSpaceDE w:val="0"/>
              <w:autoSpaceDN w:val="0"/>
              <w:adjustRightInd w:val="0"/>
              <w:snapToGrid w:val="0"/>
              <w:spacing w:line="240" w:lineRule="auto"/>
              <w:ind w:firstLine="0" w:firstLineChars="0"/>
              <w:jc w:val="center"/>
              <w:rPr>
                <w:rFonts w:hint="eastAsia" w:ascii="宋体" w:hAnsi="宋体" w:cs="宋体"/>
                <w:b/>
                <w:bCs/>
                <w:szCs w:val="21"/>
              </w:rPr>
            </w:pPr>
            <w:r>
              <w:rPr>
                <w:rFonts w:hint="eastAsia" w:ascii="宋体" w:hAnsi="宋体" w:cs="宋体"/>
                <w:b/>
                <w:bCs/>
                <w:szCs w:val="21"/>
              </w:rPr>
              <w:t>故障描述</w:t>
            </w:r>
          </w:p>
        </w:tc>
        <w:tc>
          <w:tcPr>
            <w:tcW w:w="1922" w:type="dxa"/>
          </w:tcPr>
          <w:p w14:paraId="152681C7">
            <w:pPr>
              <w:widowControl w:val="0"/>
              <w:autoSpaceDE w:val="0"/>
              <w:autoSpaceDN w:val="0"/>
              <w:adjustRightInd w:val="0"/>
              <w:snapToGrid w:val="0"/>
              <w:spacing w:line="240" w:lineRule="auto"/>
              <w:ind w:firstLine="0" w:firstLineChars="0"/>
              <w:jc w:val="center"/>
              <w:rPr>
                <w:rFonts w:hint="eastAsia" w:ascii="宋体" w:hAnsi="宋体" w:cs="宋体"/>
                <w:b/>
                <w:bCs/>
                <w:szCs w:val="21"/>
              </w:rPr>
            </w:pPr>
            <w:r>
              <w:rPr>
                <w:rFonts w:hint="eastAsia" w:ascii="宋体" w:hAnsi="宋体" w:cs="宋体"/>
                <w:b/>
                <w:bCs/>
                <w:szCs w:val="21"/>
              </w:rPr>
              <w:t>响应时间</w:t>
            </w:r>
          </w:p>
        </w:tc>
      </w:tr>
      <w:tr w14:paraId="02F2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09BD760C">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ascii="宋体" w:hAnsi="宋体" w:cs="宋体"/>
                <w:szCs w:val="21"/>
              </w:rPr>
              <w:t>P0</w:t>
            </w:r>
          </w:p>
        </w:tc>
        <w:tc>
          <w:tcPr>
            <w:tcW w:w="1688" w:type="dxa"/>
            <w:vAlign w:val="center"/>
          </w:tcPr>
          <w:p w14:paraId="1FFB57B0">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最高级别故障</w:t>
            </w:r>
          </w:p>
        </w:tc>
        <w:tc>
          <w:tcPr>
            <w:tcW w:w="3982" w:type="dxa"/>
            <w:vAlign w:val="center"/>
          </w:tcPr>
          <w:p w14:paraId="2394E741">
            <w:pPr>
              <w:widowControl w:val="0"/>
              <w:autoSpaceDE w:val="0"/>
              <w:autoSpaceDN w:val="0"/>
              <w:adjustRightInd w:val="0"/>
              <w:snapToGrid w:val="0"/>
              <w:spacing w:line="240" w:lineRule="auto"/>
              <w:ind w:firstLine="0" w:firstLineChars="0"/>
              <w:rPr>
                <w:rFonts w:hint="eastAsia" w:ascii="宋体" w:hAnsi="宋体" w:cs="宋体"/>
                <w:szCs w:val="21"/>
              </w:rPr>
            </w:pPr>
            <w:r>
              <w:rPr>
                <w:rFonts w:hint="eastAsia" w:ascii="宋体" w:hAnsi="宋体" w:cs="宋体"/>
                <w:szCs w:val="21"/>
              </w:rPr>
              <w:t>影响核心业务功能，导致服务完全中断或大规模算力资源无法使用，可能造成重大经济损失或声誉损害。</w:t>
            </w:r>
          </w:p>
        </w:tc>
        <w:tc>
          <w:tcPr>
            <w:tcW w:w="1922" w:type="dxa"/>
            <w:vAlign w:val="center"/>
          </w:tcPr>
          <w:p w14:paraId="4D0FD97A">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hint="eastAsia" w:ascii="宋体" w:hAnsi="宋体" w:cs="宋体"/>
                <w:szCs w:val="21"/>
              </w:rPr>
              <w:t>5分钟内响应</w:t>
            </w:r>
          </w:p>
        </w:tc>
      </w:tr>
      <w:tr w14:paraId="047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5540CB55">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ascii="宋体" w:hAnsi="宋体" w:cs="宋体"/>
                <w:szCs w:val="21"/>
              </w:rPr>
              <w:t>P</w:t>
            </w:r>
            <w:r>
              <w:rPr>
                <w:rFonts w:hint="eastAsia" w:ascii="宋体" w:hAnsi="宋体" w:cs="宋体"/>
                <w:szCs w:val="21"/>
              </w:rPr>
              <w:t>1</w:t>
            </w:r>
          </w:p>
        </w:tc>
        <w:tc>
          <w:tcPr>
            <w:tcW w:w="1688" w:type="dxa"/>
            <w:vAlign w:val="center"/>
          </w:tcPr>
          <w:p w14:paraId="159535AB">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重要级别故障</w:t>
            </w:r>
            <w:r>
              <w:rPr>
                <w:rFonts w:ascii="Times New Roman" w:hAnsi="Times New Roman"/>
                <w:szCs w:val="21"/>
              </w:rPr>
              <w:t>‌</w:t>
            </w:r>
          </w:p>
        </w:tc>
        <w:tc>
          <w:tcPr>
            <w:tcW w:w="3982" w:type="dxa"/>
            <w:vAlign w:val="center"/>
          </w:tcPr>
          <w:p w14:paraId="616A5D88">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影响部分重要功能或服务性能显著下降，对业务运营产生较大影响。</w:t>
            </w:r>
          </w:p>
        </w:tc>
        <w:tc>
          <w:tcPr>
            <w:tcW w:w="1922" w:type="dxa"/>
            <w:vAlign w:val="center"/>
          </w:tcPr>
          <w:p w14:paraId="460392ED">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hint="eastAsia" w:ascii="宋体" w:hAnsi="宋体" w:cs="宋体"/>
                <w:szCs w:val="21"/>
              </w:rPr>
              <w:t>15分钟内响应</w:t>
            </w:r>
          </w:p>
        </w:tc>
      </w:tr>
      <w:tr w14:paraId="52C5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3D469A82">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ascii="宋体" w:hAnsi="宋体" w:cs="宋体"/>
                <w:szCs w:val="21"/>
              </w:rPr>
              <w:t>P</w:t>
            </w:r>
            <w:r>
              <w:rPr>
                <w:rFonts w:hint="eastAsia" w:ascii="宋体" w:hAnsi="宋体" w:cs="宋体"/>
                <w:szCs w:val="21"/>
              </w:rPr>
              <w:t>2</w:t>
            </w:r>
          </w:p>
        </w:tc>
        <w:tc>
          <w:tcPr>
            <w:tcW w:w="1688" w:type="dxa"/>
            <w:vAlign w:val="center"/>
          </w:tcPr>
          <w:p w14:paraId="7B1E9C42">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一般级别故障</w:t>
            </w:r>
          </w:p>
        </w:tc>
        <w:tc>
          <w:tcPr>
            <w:tcW w:w="3982" w:type="dxa"/>
            <w:vAlign w:val="center"/>
          </w:tcPr>
          <w:p w14:paraId="098EB316">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影响非核心功能或服务性能有所下降，但对业务运营影响较小，用户可能感知到不便但不影响整体使用</w:t>
            </w:r>
            <w:r>
              <w:rPr>
                <w:rFonts w:hint="eastAsia" w:ascii="宋体" w:hAnsi="宋体" w:cs="宋体"/>
                <w:szCs w:val="21"/>
              </w:rPr>
              <w:t>。</w:t>
            </w:r>
          </w:p>
        </w:tc>
        <w:tc>
          <w:tcPr>
            <w:tcW w:w="1922" w:type="dxa"/>
            <w:vAlign w:val="center"/>
          </w:tcPr>
          <w:p w14:paraId="4AC233B1">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hint="eastAsia" w:ascii="宋体" w:hAnsi="宋体" w:cs="宋体"/>
                <w:szCs w:val="21"/>
              </w:rPr>
              <w:t>2小时内响应</w:t>
            </w:r>
          </w:p>
        </w:tc>
      </w:tr>
      <w:tr w14:paraId="434F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7DF41A91">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ascii="宋体" w:hAnsi="宋体" w:cs="宋体"/>
                <w:szCs w:val="21"/>
              </w:rPr>
              <w:t>P</w:t>
            </w:r>
            <w:r>
              <w:rPr>
                <w:rFonts w:hint="eastAsia" w:ascii="宋体" w:hAnsi="宋体" w:cs="宋体"/>
                <w:szCs w:val="21"/>
              </w:rPr>
              <w:t>3</w:t>
            </w:r>
          </w:p>
        </w:tc>
        <w:tc>
          <w:tcPr>
            <w:tcW w:w="1688" w:type="dxa"/>
            <w:vAlign w:val="center"/>
          </w:tcPr>
          <w:p w14:paraId="5CFCB060">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低级别故障</w:t>
            </w:r>
          </w:p>
        </w:tc>
        <w:tc>
          <w:tcPr>
            <w:tcW w:w="3982" w:type="dxa"/>
            <w:vAlign w:val="center"/>
          </w:tcPr>
          <w:p w14:paraId="1C2AE01F">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影响较小，主要是边缘功能或服务的小问题，对业务运营和用户体验影响有限。</w:t>
            </w:r>
          </w:p>
        </w:tc>
        <w:tc>
          <w:tcPr>
            <w:tcW w:w="1922" w:type="dxa"/>
            <w:vAlign w:val="center"/>
          </w:tcPr>
          <w:p w14:paraId="585422B0">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hint="eastAsia" w:ascii="宋体" w:hAnsi="宋体" w:cs="宋体"/>
                <w:szCs w:val="21"/>
              </w:rPr>
              <w:t>4小时内响应</w:t>
            </w:r>
          </w:p>
        </w:tc>
      </w:tr>
      <w:tr w14:paraId="2AA2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1D4EDF7B">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ascii="宋体" w:hAnsi="宋体" w:cs="宋体"/>
                <w:szCs w:val="21"/>
              </w:rPr>
              <w:t>P</w:t>
            </w:r>
            <w:r>
              <w:rPr>
                <w:rFonts w:hint="eastAsia" w:ascii="宋体" w:hAnsi="宋体" w:cs="宋体"/>
                <w:szCs w:val="21"/>
              </w:rPr>
              <w:t>4</w:t>
            </w:r>
          </w:p>
        </w:tc>
        <w:tc>
          <w:tcPr>
            <w:tcW w:w="1688" w:type="dxa"/>
            <w:vAlign w:val="center"/>
          </w:tcPr>
          <w:p w14:paraId="00F080B2">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轻微级别故障</w:t>
            </w:r>
          </w:p>
        </w:tc>
        <w:tc>
          <w:tcPr>
            <w:tcW w:w="3982" w:type="dxa"/>
            <w:vAlign w:val="center"/>
          </w:tcPr>
          <w:p w14:paraId="49526A66">
            <w:pPr>
              <w:widowControl w:val="0"/>
              <w:autoSpaceDE w:val="0"/>
              <w:autoSpaceDN w:val="0"/>
              <w:adjustRightInd w:val="0"/>
              <w:snapToGrid w:val="0"/>
              <w:spacing w:line="240" w:lineRule="auto"/>
              <w:ind w:firstLine="0" w:firstLineChars="0"/>
              <w:rPr>
                <w:rFonts w:hint="eastAsia" w:ascii="宋体" w:hAnsi="宋体" w:cs="宋体"/>
                <w:szCs w:val="21"/>
              </w:rPr>
            </w:pPr>
            <w:r>
              <w:rPr>
                <w:rFonts w:ascii="宋体" w:hAnsi="宋体" w:cs="宋体"/>
                <w:szCs w:val="21"/>
              </w:rPr>
              <w:t>几乎不影响业务运营和用户体验，主要是微小的问题。</w:t>
            </w:r>
          </w:p>
        </w:tc>
        <w:tc>
          <w:tcPr>
            <w:tcW w:w="1922" w:type="dxa"/>
            <w:vAlign w:val="center"/>
          </w:tcPr>
          <w:p w14:paraId="7E7FFE39">
            <w:pPr>
              <w:widowControl w:val="0"/>
              <w:autoSpaceDE w:val="0"/>
              <w:autoSpaceDN w:val="0"/>
              <w:adjustRightInd w:val="0"/>
              <w:snapToGrid w:val="0"/>
              <w:spacing w:line="240" w:lineRule="auto"/>
              <w:ind w:firstLine="0" w:firstLineChars="0"/>
              <w:jc w:val="center"/>
              <w:rPr>
                <w:rFonts w:hint="eastAsia" w:ascii="宋体" w:hAnsi="宋体" w:cs="宋体"/>
                <w:szCs w:val="21"/>
              </w:rPr>
            </w:pPr>
            <w:r>
              <w:rPr>
                <w:rFonts w:hint="eastAsia" w:ascii="宋体" w:hAnsi="宋体" w:cs="宋体"/>
                <w:szCs w:val="21"/>
              </w:rPr>
              <w:t>24小时内响应</w:t>
            </w:r>
          </w:p>
        </w:tc>
      </w:tr>
    </w:tbl>
    <w:p w14:paraId="52190F7A">
      <w:pPr>
        <w:widowControl w:val="0"/>
        <w:autoSpaceDE w:val="0"/>
        <w:autoSpaceDN w:val="0"/>
        <w:adjustRightInd w:val="0"/>
        <w:snapToGrid w:val="0"/>
        <w:ind w:firstLine="480" w:firstLineChars="0"/>
        <w:rPr>
          <w:rFonts w:hint="eastAsia" w:ascii="宋体" w:hAnsi="宋体" w:cs="宋体"/>
          <w:sz w:val="24"/>
        </w:rPr>
      </w:pPr>
      <w:r>
        <w:rPr>
          <w:rFonts w:hint="eastAsia" w:ascii="宋体" w:hAnsi="宋体" w:cs="宋体"/>
          <w:color w:val="auto"/>
          <w:kern w:val="2"/>
          <w:sz w:val="24"/>
          <w:szCs w:val="24"/>
        </w:rPr>
        <w:t>注：中标人受限于采购人要求的安全访问规则或管理流程无法访问资源，无法对问题进行监控和定位的情况不包含在内，出于管理合规和安全访问控制引起的操作延误和等待，不计入中标人责任范围。本协议约定中标人故障响应、处理、解决等时间，以采购人正式通知到中标人指定负责人并开通相关管理权限的时间点起计。</w:t>
      </w:r>
    </w:p>
    <w:p w14:paraId="0354D048">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lang w:val="en-US" w:eastAsia="zh-CN"/>
        </w:rPr>
        <w:t>②</w:t>
      </w:r>
      <w:r>
        <w:rPr>
          <w:rFonts w:hint="eastAsia" w:ascii="宋体" w:hAnsi="宋体" w:cs="宋体"/>
          <w:sz w:val="24"/>
        </w:rPr>
        <w:t>集群可用率：</w:t>
      </w:r>
      <w:r>
        <w:rPr>
          <w:rFonts w:hint="eastAsia" w:ascii="宋体" w:hAnsi="宋体" w:cs="宋体"/>
          <w:sz w:val="24"/>
          <w:lang w:val="en-US" w:eastAsia="zh-CN"/>
        </w:rPr>
        <w:t>不低于</w:t>
      </w:r>
      <w:r>
        <w:rPr>
          <w:rFonts w:hint="eastAsia" w:ascii="宋体" w:hAnsi="宋体" w:cs="宋体"/>
          <w:sz w:val="24"/>
        </w:rPr>
        <w:t>95%。（</w:t>
      </w:r>
      <w:r>
        <w:rPr>
          <w:rFonts w:hint="eastAsia" w:ascii="宋体" w:hAnsi="宋体" w:cs="宋体"/>
          <w:sz w:val="24"/>
          <w:lang w:val="en-US" w:eastAsia="zh-CN"/>
        </w:rPr>
        <w:t>具体计算方法根据集群租户的算法确定</w:t>
      </w:r>
      <w:r>
        <w:rPr>
          <w:rFonts w:hint="eastAsia" w:ascii="宋体" w:hAnsi="宋体" w:cs="宋体"/>
          <w:sz w:val="24"/>
        </w:rPr>
        <w:t>）</w:t>
      </w:r>
    </w:p>
    <w:p w14:paraId="56C6AA21">
      <w:pPr>
        <w:widowControl w:val="0"/>
        <w:autoSpaceDE w:val="0"/>
        <w:autoSpaceDN w:val="0"/>
        <w:adjustRightInd w:val="0"/>
        <w:snapToGrid w:val="0"/>
        <w:ind w:firstLine="480"/>
        <w:rPr>
          <w:rFonts w:hint="default" w:ascii="宋体" w:hAnsi="宋体" w:eastAsia="宋体" w:cs="宋体"/>
          <w:sz w:val="24"/>
          <w:lang w:val="en-US" w:eastAsia="zh-CN"/>
        </w:rPr>
      </w:pPr>
      <w:r>
        <w:rPr>
          <w:rFonts w:hint="eastAsia" w:ascii="宋体" w:hAnsi="宋体" w:cs="宋体"/>
          <w:sz w:val="24"/>
          <w:lang w:val="en-US" w:eastAsia="zh-CN"/>
        </w:rPr>
        <w:t>③</w:t>
      </w:r>
      <w:r>
        <w:rPr>
          <w:rFonts w:hint="eastAsia" w:ascii="宋体" w:hAnsi="宋体" w:cs="宋体"/>
          <w:sz w:val="24"/>
        </w:rPr>
        <w:t>存储系统</w:t>
      </w:r>
      <w:r>
        <w:rPr>
          <w:rFonts w:hint="eastAsia" w:ascii="宋体" w:hAnsi="宋体" w:cs="宋体"/>
          <w:sz w:val="24"/>
          <w:lang w:eastAsia="zh-CN"/>
        </w:rPr>
        <w:t>：</w:t>
      </w:r>
      <w:r>
        <w:rPr>
          <w:rFonts w:hint="eastAsia" w:ascii="宋体" w:hAnsi="宋体" w:cs="宋体"/>
          <w:sz w:val="24"/>
        </w:rPr>
        <w:t xml:space="preserve"> 可用率</w:t>
      </w:r>
      <w:r>
        <w:rPr>
          <w:rFonts w:hint="eastAsia" w:ascii="宋体" w:hAnsi="宋体" w:cs="宋体"/>
          <w:sz w:val="24"/>
          <w:lang w:val="en-US" w:eastAsia="zh-CN"/>
        </w:rPr>
        <w:t>不低于</w:t>
      </w:r>
      <w:r>
        <w:rPr>
          <w:rFonts w:hint="eastAsia" w:ascii="宋体" w:hAnsi="宋体" w:cs="宋体"/>
          <w:sz w:val="24"/>
        </w:rPr>
        <w:t>99.95%（</w:t>
      </w:r>
      <w:r>
        <w:rPr>
          <w:rFonts w:hint="eastAsia" w:ascii="宋体" w:hAnsi="宋体" w:cs="宋体"/>
          <w:sz w:val="24"/>
          <w:lang w:val="en-US" w:eastAsia="zh-CN"/>
        </w:rPr>
        <w:t>具体计算方法根据集群租户的算法确定，不包括 GPU 服务器本地 NVMe 数据盘</w:t>
      </w:r>
      <w:r>
        <w:rPr>
          <w:rFonts w:hint="eastAsia" w:ascii="宋体" w:hAnsi="宋体" w:cs="宋体"/>
          <w:sz w:val="24"/>
        </w:rPr>
        <w:t>）</w:t>
      </w:r>
      <w:r>
        <w:rPr>
          <w:rFonts w:hint="eastAsia" w:ascii="宋体" w:hAnsi="宋体" w:cs="宋体"/>
          <w:sz w:val="24"/>
          <w:lang w:eastAsia="zh-CN"/>
        </w:rPr>
        <w:t>。</w:t>
      </w:r>
    </w:p>
    <w:p w14:paraId="054432CD">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lang w:val="en-US" w:eastAsia="zh-CN"/>
        </w:rPr>
        <w:t>④</w:t>
      </w:r>
      <w:r>
        <w:rPr>
          <w:rFonts w:hint="eastAsia" w:ascii="宋体" w:hAnsi="宋体" w:cs="宋体"/>
          <w:sz w:val="24"/>
        </w:rPr>
        <w:t>网络：参数面网络和存储网络可靠性高达99.95%</w:t>
      </w:r>
      <w:r>
        <w:rPr>
          <w:rFonts w:hint="eastAsia" w:ascii="宋体" w:hAnsi="宋体" w:cs="宋体"/>
          <w:sz w:val="24"/>
          <w:lang w:eastAsia="zh-CN"/>
        </w:rPr>
        <w:t>。</w:t>
      </w:r>
    </w:p>
    <w:p w14:paraId="636B7169">
      <w:pPr>
        <w:widowControl w:val="0"/>
        <w:autoSpaceDE w:val="0"/>
        <w:autoSpaceDN w:val="0"/>
        <w:adjustRightInd w:val="0"/>
        <w:snapToGrid w:val="0"/>
        <w:ind w:firstLine="442"/>
        <w:rPr>
          <w:rFonts w:hint="eastAsia" w:ascii="宋体" w:hAnsi="宋体" w:cs="宋体"/>
          <w:b/>
          <w:bCs/>
          <w:sz w:val="22"/>
          <w:szCs w:val="22"/>
        </w:rPr>
      </w:pPr>
    </w:p>
    <w:p w14:paraId="570371D9">
      <w:pPr>
        <w:widowControl w:val="0"/>
        <w:autoSpaceDE w:val="0"/>
        <w:autoSpaceDN w:val="0"/>
        <w:adjustRightInd w:val="0"/>
        <w:snapToGrid w:val="0"/>
        <w:ind w:firstLine="442"/>
        <w:rPr>
          <w:rFonts w:hint="eastAsia" w:ascii="宋体" w:hAnsi="宋体" w:cs="宋体"/>
          <w:b/>
          <w:bCs/>
          <w:sz w:val="22"/>
          <w:szCs w:val="22"/>
        </w:rPr>
      </w:pPr>
      <w:r>
        <w:rPr>
          <w:rFonts w:hint="eastAsia" w:ascii="宋体" w:hAnsi="宋体" w:cs="宋体"/>
          <w:b/>
          <w:bCs/>
          <w:sz w:val="22"/>
          <w:szCs w:val="22"/>
        </w:rPr>
        <w:t>（二）具体运维服务要求</w:t>
      </w:r>
    </w:p>
    <w:p w14:paraId="4A817BAC">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1、智算集群业务支持和日常运维保障服务</w:t>
      </w:r>
    </w:p>
    <w:p w14:paraId="66D560E7">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为保障智算集群的稳定运行，为智算集群客户提供高效、快捷的技术服务，支持采购人做好智算集群业务的运维服务，投标人一方面应做好智算集群的日常运维和故障处理等工作，确保整个系统的安全平稳运行；另一方面支撑采购人相关业务部门做好智算算力资源对外的智算集群管理、开通、运行、服务、回收的全流程工作，充分发挥智算集群算力资源池的资源价值，为客户提供业界领先的技术服务，保障服务质量和服务体验，打造智算集群服务的品牌，创造良好的经济效益和社会效益。</w:t>
      </w:r>
    </w:p>
    <w:p w14:paraId="601110E9">
      <w:pPr>
        <w:widowControl w:val="0"/>
        <w:autoSpaceDE w:val="0"/>
        <w:autoSpaceDN w:val="0"/>
        <w:adjustRightInd w:val="0"/>
        <w:snapToGrid w:val="0"/>
        <w:ind w:firstLine="482"/>
        <w:rPr>
          <w:rFonts w:hint="eastAsia" w:ascii="宋体" w:hAnsi="宋体" w:cs="宋体"/>
          <w:b/>
          <w:bCs/>
          <w:sz w:val="24"/>
        </w:rPr>
      </w:pPr>
      <w:bookmarkStart w:id="8" w:name="OLE_LINK3"/>
      <w:r>
        <w:rPr>
          <w:rFonts w:hint="eastAsia" w:ascii="宋体" w:hAnsi="宋体" w:cs="宋体"/>
          <w:b/>
          <w:bCs/>
          <w:sz w:val="24"/>
        </w:rPr>
        <w:t>（1）算力集群业务运维支持服务</w:t>
      </w:r>
    </w:p>
    <w:p w14:paraId="368164BD">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投标人</w:t>
      </w:r>
      <w:bookmarkEnd w:id="8"/>
      <w:r>
        <w:rPr>
          <w:rFonts w:hint="eastAsia" w:ascii="宋体" w:hAnsi="宋体" w:cs="宋体"/>
          <w:sz w:val="24"/>
        </w:rPr>
        <w:t>应基于采购人投资建设的软硬件设备，支持采购人智算集群管理团队，对外提供智算服务。投标人需提供以下的智算集群业务服务支持：数据导入、数据极速导入、算力资源配置确认及开通、监控数据报表、独享带宽保障、数据备份恢复服务、平台运行监控、业务运维监控服务、故障诊断及处理等。</w:t>
      </w:r>
    </w:p>
    <w:p w14:paraId="05BD72DD">
      <w:pPr>
        <w:ind w:firstLine="0" w:firstLineChars="0"/>
        <w:jc w:val="center"/>
        <w:rPr>
          <w:b/>
          <w:bCs/>
        </w:rPr>
      </w:pPr>
      <w:r>
        <w:rPr>
          <w:rFonts w:hint="eastAsia"/>
          <w:b/>
          <w:bCs/>
        </w:rPr>
        <w:t>智算集群业务运维支持服务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196"/>
        <w:gridCol w:w="5748"/>
      </w:tblGrid>
      <w:tr w14:paraId="67AB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75F008D4">
            <w:pPr>
              <w:spacing w:line="240" w:lineRule="auto"/>
              <w:ind w:firstLine="0" w:firstLineChars="0"/>
              <w:jc w:val="center"/>
              <w:rPr>
                <w:rFonts w:hint="eastAsia" w:ascii="宋体" w:hAnsi="宋体"/>
                <w:b/>
                <w:bCs/>
                <w:color w:val="000000"/>
                <w:sz w:val="18"/>
                <w:szCs w:val="18"/>
              </w:rPr>
            </w:pPr>
            <w:r>
              <w:rPr>
                <w:rFonts w:hint="eastAsia" w:ascii="宋体" w:hAnsi="宋体"/>
                <w:b/>
                <w:bCs/>
                <w:color w:val="000000"/>
                <w:sz w:val="18"/>
                <w:szCs w:val="18"/>
              </w:rPr>
              <w:t>序号</w:t>
            </w:r>
          </w:p>
        </w:tc>
        <w:tc>
          <w:tcPr>
            <w:tcW w:w="0" w:type="auto"/>
            <w:shd w:val="clear" w:color="auto" w:fill="auto"/>
            <w:noWrap/>
            <w:vAlign w:val="center"/>
          </w:tcPr>
          <w:p w14:paraId="5B388609">
            <w:pPr>
              <w:spacing w:line="240" w:lineRule="auto"/>
              <w:ind w:firstLine="0" w:firstLineChars="0"/>
              <w:jc w:val="center"/>
              <w:rPr>
                <w:rFonts w:hint="eastAsia" w:ascii="宋体" w:hAnsi="宋体"/>
                <w:b/>
                <w:bCs/>
                <w:color w:val="000000"/>
                <w:sz w:val="18"/>
                <w:szCs w:val="18"/>
              </w:rPr>
            </w:pPr>
            <w:r>
              <w:rPr>
                <w:rFonts w:hint="eastAsia" w:ascii="宋体" w:hAnsi="宋体"/>
                <w:b/>
                <w:bCs/>
                <w:color w:val="000000"/>
                <w:sz w:val="18"/>
                <w:szCs w:val="18"/>
              </w:rPr>
              <w:t>服务事项</w:t>
            </w:r>
          </w:p>
        </w:tc>
        <w:tc>
          <w:tcPr>
            <w:tcW w:w="0" w:type="auto"/>
            <w:shd w:val="clear" w:color="auto" w:fill="auto"/>
            <w:vAlign w:val="center"/>
          </w:tcPr>
          <w:p w14:paraId="398F2664">
            <w:pPr>
              <w:spacing w:line="240" w:lineRule="auto"/>
              <w:ind w:firstLine="0" w:firstLineChars="0"/>
              <w:jc w:val="center"/>
              <w:rPr>
                <w:rFonts w:hint="eastAsia" w:ascii="宋体" w:hAnsi="宋体"/>
                <w:b/>
                <w:bCs/>
                <w:color w:val="000000"/>
                <w:sz w:val="18"/>
                <w:szCs w:val="18"/>
              </w:rPr>
            </w:pPr>
            <w:r>
              <w:rPr>
                <w:rFonts w:hint="eastAsia" w:ascii="宋体" w:hAnsi="宋体"/>
                <w:b/>
                <w:bCs/>
                <w:color w:val="000000"/>
                <w:sz w:val="18"/>
                <w:szCs w:val="18"/>
              </w:rPr>
              <w:t>服务内容</w:t>
            </w:r>
          </w:p>
        </w:tc>
      </w:tr>
      <w:tr w14:paraId="6EB5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shd w:val="clear" w:color="auto" w:fill="auto"/>
            <w:noWrap/>
            <w:vAlign w:val="center"/>
          </w:tcPr>
          <w:p w14:paraId="2A1D0485">
            <w:pPr>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1</w:t>
            </w:r>
          </w:p>
        </w:tc>
        <w:tc>
          <w:tcPr>
            <w:tcW w:w="0" w:type="auto"/>
            <w:shd w:val="clear" w:color="auto" w:fill="auto"/>
            <w:noWrap/>
            <w:vAlign w:val="center"/>
          </w:tcPr>
          <w:p w14:paraId="62CE4C68">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数据导入/导出</w:t>
            </w:r>
          </w:p>
        </w:tc>
        <w:tc>
          <w:tcPr>
            <w:tcW w:w="0" w:type="auto"/>
            <w:shd w:val="clear" w:color="auto" w:fill="auto"/>
            <w:vAlign w:val="center"/>
          </w:tcPr>
          <w:p w14:paraId="423D9FF2">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1.开通从客户到算力资源池的专项数据导入/导出VPN接入端口，提供有限期的接入服务（不超过2周），配合客户完成数据集导入/导出工作；数据集导入/导出完成之后，拆除该VPN数据集导入通道。数据集导入通道，互联网级别每客户可开通两次，超过次数额外协商。</w:t>
            </w:r>
            <w:r>
              <w:rPr>
                <w:rFonts w:hint="eastAsia" w:ascii="宋体" w:hAnsi="宋体"/>
                <w:color w:val="000000"/>
                <w:sz w:val="18"/>
                <w:szCs w:val="18"/>
              </w:rPr>
              <w:br w:type="textWrapping"/>
            </w:r>
            <w:r>
              <w:rPr>
                <w:rFonts w:hint="eastAsia" w:ascii="宋体" w:hAnsi="宋体"/>
                <w:color w:val="000000"/>
                <w:sz w:val="18"/>
                <w:szCs w:val="18"/>
              </w:rPr>
              <w:t>2.文件和代码通过管理VPN导入/导出，客户可自助开启。</w:t>
            </w:r>
          </w:p>
        </w:tc>
      </w:tr>
      <w:tr w14:paraId="3704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72965136">
            <w:pPr>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2</w:t>
            </w:r>
          </w:p>
        </w:tc>
        <w:tc>
          <w:tcPr>
            <w:tcW w:w="0" w:type="auto"/>
            <w:shd w:val="clear" w:color="auto" w:fill="auto"/>
            <w:noWrap/>
            <w:vAlign w:val="center"/>
          </w:tcPr>
          <w:p w14:paraId="62F2637B">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数据极速导入</w:t>
            </w:r>
          </w:p>
        </w:tc>
        <w:tc>
          <w:tcPr>
            <w:tcW w:w="0" w:type="auto"/>
            <w:shd w:val="clear" w:color="auto" w:fill="auto"/>
            <w:vAlign w:val="center"/>
          </w:tcPr>
          <w:p w14:paraId="5E3BA29D">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为客户提供数据集极速导入业务，专人携带数据存储介质进入IDC操作，数据集即可存入智算空间。</w:t>
            </w:r>
          </w:p>
        </w:tc>
      </w:tr>
      <w:tr w14:paraId="335D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612EB8DB">
            <w:pPr>
              <w:spacing w:line="240" w:lineRule="auto"/>
              <w:ind w:firstLine="0" w:firstLineChars="0"/>
              <w:jc w:val="center"/>
              <w:rPr>
                <w:rFonts w:hint="eastAsia" w:ascii="宋体" w:hAnsi="宋体"/>
                <w:color w:val="000000"/>
                <w:sz w:val="18"/>
                <w:szCs w:val="18"/>
              </w:rPr>
            </w:pPr>
            <w:r>
              <w:rPr>
                <w:rFonts w:ascii="宋体" w:hAnsi="宋体"/>
                <w:color w:val="000000"/>
                <w:sz w:val="18"/>
                <w:szCs w:val="18"/>
              </w:rPr>
              <w:t>3</w:t>
            </w:r>
          </w:p>
        </w:tc>
        <w:tc>
          <w:tcPr>
            <w:tcW w:w="0" w:type="auto"/>
            <w:shd w:val="clear" w:color="auto" w:fill="auto"/>
            <w:noWrap/>
            <w:vAlign w:val="center"/>
          </w:tcPr>
          <w:p w14:paraId="7260FFD6">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数据极速导出</w:t>
            </w:r>
          </w:p>
        </w:tc>
        <w:tc>
          <w:tcPr>
            <w:tcW w:w="0" w:type="auto"/>
            <w:shd w:val="clear" w:color="auto" w:fill="auto"/>
            <w:vAlign w:val="center"/>
          </w:tcPr>
          <w:p w14:paraId="120BBE0D">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为客户提供数据集极速导出业务，专人携带数据存储介质进入IDC操作，数据集从智算空间导出到客户自己的存储介质</w:t>
            </w:r>
          </w:p>
        </w:tc>
      </w:tr>
      <w:tr w14:paraId="1C68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2FB3322F">
            <w:pPr>
              <w:spacing w:line="240" w:lineRule="auto"/>
              <w:ind w:firstLine="0" w:firstLineChars="0"/>
              <w:jc w:val="center"/>
              <w:rPr>
                <w:rFonts w:hint="eastAsia" w:ascii="宋体" w:hAnsi="宋体"/>
                <w:color w:val="000000"/>
                <w:sz w:val="18"/>
                <w:szCs w:val="18"/>
              </w:rPr>
            </w:pPr>
            <w:r>
              <w:rPr>
                <w:rFonts w:ascii="宋体" w:hAnsi="宋体"/>
                <w:color w:val="000000"/>
                <w:sz w:val="18"/>
                <w:szCs w:val="18"/>
              </w:rPr>
              <w:t>4</w:t>
            </w:r>
          </w:p>
        </w:tc>
        <w:tc>
          <w:tcPr>
            <w:tcW w:w="0" w:type="auto"/>
            <w:shd w:val="clear" w:color="auto" w:fill="auto"/>
            <w:noWrap/>
            <w:vAlign w:val="center"/>
          </w:tcPr>
          <w:p w14:paraId="3F574F1D">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算力资源配置确认及开通</w:t>
            </w:r>
          </w:p>
        </w:tc>
        <w:tc>
          <w:tcPr>
            <w:tcW w:w="0" w:type="auto"/>
            <w:shd w:val="clear" w:color="auto" w:fill="auto"/>
            <w:vAlign w:val="center"/>
          </w:tcPr>
          <w:p w14:paraId="185BCDAA">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客户提出算力资源租赁申请后，提供售前技术服务，包括但不限于：核对租赁要求，设计算力配套资源，确认智算集群服务内容，完成资源开通协助，提供必要的使用指引</w:t>
            </w:r>
          </w:p>
        </w:tc>
      </w:tr>
      <w:tr w14:paraId="5C3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05520C0D">
            <w:pPr>
              <w:spacing w:line="240" w:lineRule="auto"/>
              <w:ind w:firstLine="0" w:firstLineChars="0"/>
              <w:jc w:val="center"/>
              <w:rPr>
                <w:rFonts w:hint="eastAsia" w:ascii="宋体" w:hAnsi="宋体"/>
                <w:color w:val="000000"/>
                <w:sz w:val="18"/>
                <w:szCs w:val="18"/>
              </w:rPr>
            </w:pPr>
            <w:r>
              <w:rPr>
                <w:rFonts w:ascii="宋体" w:hAnsi="宋体"/>
                <w:color w:val="000000"/>
                <w:sz w:val="18"/>
                <w:szCs w:val="18"/>
              </w:rPr>
              <w:t>5</w:t>
            </w:r>
          </w:p>
        </w:tc>
        <w:tc>
          <w:tcPr>
            <w:tcW w:w="0" w:type="auto"/>
            <w:shd w:val="clear" w:color="auto" w:fill="auto"/>
            <w:noWrap/>
            <w:vAlign w:val="center"/>
          </w:tcPr>
          <w:p w14:paraId="0DCB5E03">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系统环境调整服务</w:t>
            </w:r>
          </w:p>
        </w:tc>
        <w:tc>
          <w:tcPr>
            <w:tcW w:w="0" w:type="auto"/>
            <w:shd w:val="clear" w:color="auto" w:fill="auto"/>
            <w:vAlign w:val="center"/>
          </w:tcPr>
          <w:p w14:paraId="0A06D697">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基于客户的算力资源需求，提供</w:t>
            </w:r>
            <w:r>
              <w:rPr>
                <w:rFonts w:ascii="宋体" w:hAnsi="宋体"/>
                <w:color w:val="000000"/>
                <w:sz w:val="18"/>
                <w:szCs w:val="18"/>
              </w:rPr>
              <w:t>操作系统、驱动、</w:t>
            </w:r>
            <w:r>
              <w:rPr>
                <w:rFonts w:hint="eastAsia" w:ascii="宋体" w:hAnsi="宋体"/>
                <w:color w:val="000000"/>
                <w:sz w:val="18"/>
                <w:szCs w:val="18"/>
              </w:rPr>
              <w:t>容器、</w:t>
            </w:r>
            <w:r>
              <w:rPr>
                <w:rFonts w:ascii="宋体" w:hAnsi="宋体"/>
                <w:color w:val="000000"/>
                <w:sz w:val="18"/>
                <w:szCs w:val="18"/>
              </w:rPr>
              <w:t>K8S的</w:t>
            </w:r>
            <w:r>
              <w:rPr>
                <w:rFonts w:hint="eastAsia" w:ascii="宋体" w:hAnsi="宋体"/>
                <w:color w:val="000000"/>
                <w:sz w:val="18"/>
                <w:szCs w:val="18"/>
              </w:rPr>
              <w:t>重新</w:t>
            </w:r>
            <w:r>
              <w:rPr>
                <w:rFonts w:ascii="宋体" w:hAnsi="宋体"/>
                <w:color w:val="000000"/>
                <w:sz w:val="18"/>
                <w:szCs w:val="18"/>
              </w:rPr>
              <w:t>部署服务</w:t>
            </w:r>
          </w:p>
        </w:tc>
      </w:tr>
      <w:tr w14:paraId="4245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2FF067EF">
            <w:pPr>
              <w:spacing w:line="240" w:lineRule="auto"/>
              <w:ind w:firstLine="0" w:firstLineChars="0"/>
              <w:jc w:val="center"/>
              <w:rPr>
                <w:rFonts w:hint="eastAsia" w:ascii="宋体" w:hAnsi="宋体"/>
                <w:color w:val="000000"/>
                <w:sz w:val="18"/>
                <w:szCs w:val="18"/>
              </w:rPr>
            </w:pPr>
            <w:r>
              <w:rPr>
                <w:rFonts w:ascii="宋体" w:hAnsi="宋体"/>
                <w:color w:val="000000"/>
                <w:sz w:val="18"/>
                <w:szCs w:val="18"/>
              </w:rPr>
              <w:t>6</w:t>
            </w:r>
          </w:p>
        </w:tc>
        <w:tc>
          <w:tcPr>
            <w:tcW w:w="0" w:type="auto"/>
            <w:shd w:val="clear" w:color="auto" w:fill="auto"/>
            <w:noWrap/>
            <w:vAlign w:val="center"/>
          </w:tcPr>
          <w:p w14:paraId="109A57D9">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监控数据报表</w:t>
            </w:r>
          </w:p>
        </w:tc>
        <w:tc>
          <w:tcPr>
            <w:tcW w:w="0" w:type="auto"/>
            <w:shd w:val="clear" w:color="auto" w:fill="auto"/>
            <w:vAlign w:val="center"/>
          </w:tcPr>
          <w:p w14:paraId="5D16355B">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服务周期内，周期性（通常是月）向客户发布邮件，统计算力资源使用情况报表，并提供数据监控的原始点文件</w:t>
            </w:r>
          </w:p>
        </w:tc>
      </w:tr>
      <w:tr w14:paraId="1578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350459CA">
            <w:pPr>
              <w:spacing w:line="240" w:lineRule="auto"/>
              <w:ind w:firstLine="0" w:firstLineChars="0"/>
              <w:jc w:val="center"/>
              <w:rPr>
                <w:rFonts w:hint="eastAsia" w:ascii="宋体" w:hAnsi="宋体"/>
                <w:color w:val="000000"/>
                <w:sz w:val="18"/>
                <w:szCs w:val="18"/>
              </w:rPr>
            </w:pPr>
            <w:r>
              <w:rPr>
                <w:rFonts w:ascii="宋体" w:hAnsi="宋体"/>
                <w:color w:val="000000"/>
                <w:sz w:val="18"/>
                <w:szCs w:val="18"/>
              </w:rPr>
              <w:t>7</w:t>
            </w:r>
          </w:p>
        </w:tc>
        <w:tc>
          <w:tcPr>
            <w:tcW w:w="0" w:type="auto"/>
            <w:shd w:val="clear" w:color="auto" w:fill="auto"/>
            <w:noWrap/>
            <w:vAlign w:val="center"/>
          </w:tcPr>
          <w:p w14:paraId="25A3E151">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独享带宽保障</w:t>
            </w:r>
          </w:p>
        </w:tc>
        <w:tc>
          <w:tcPr>
            <w:tcW w:w="0" w:type="auto"/>
            <w:shd w:val="clear" w:color="auto" w:fill="auto"/>
            <w:vAlign w:val="center"/>
          </w:tcPr>
          <w:p w14:paraId="77716E68">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按套餐包含的公网出口带宽为客户提供独享带宽，包括用户portal；用户文件上传；用户ssh访问等</w:t>
            </w:r>
          </w:p>
        </w:tc>
      </w:tr>
      <w:tr w14:paraId="11D3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2227EA56">
            <w:pPr>
              <w:spacing w:line="240" w:lineRule="auto"/>
              <w:ind w:firstLine="0" w:firstLineChars="0"/>
              <w:jc w:val="center"/>
              <w:rPr>
                <w:rFonts w:hint="eastAsia" w:ascii="宋体" w:hAnsi="宋体"/>
                <w:color w:val="000000"/>
                <w:sz w:val="18"/>
                <w:szCs w:val="18"/>
              </w:rPr>
            </w:pPr>
            <w:r>
              <w:rPr>
                <w:rFonts w:ascii="宋体" w:hAnsi="宋体"/>
                <w:color w:val="000000"/>
                <w:sz w:val="18"/>
                <w:szCs w:val="18"/>
              </w:rPr>
              <w:t>8</w:t>
            </w:r>
          </w:p>
        </w:tc>
        <w:tc>
          <w:tcPr>
            <w:tcW w:w="0" w:type="auto"/>
            <w:shd w:val="clear" w:color="auto" w:fill="auto"/>
            <w:noWrap/>
            <w:vAlign w:val="center"/>
          </w:tcPr>
          <w:p w14:paraId="4D2D4E61">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数据备份恢复服务</w:t>
            </w:r>
          </w:p>
        </w:tc>
        <w:tc>
          <w:tcPr>
            <w:tcW w:w="0" w:type="auto"/>
            <w:shd w:val="clear" w:color="auto" w:fill="auto"/>
            <w:vAlign w:val="center"/>
          </w:tcPr>
          <w:p w14:paraId="20D0B82E">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客户提出数据备份/恢复申请，备份来源为空间内所有有访问权限数据和文件；恢复则为同客户下的前期数据备份</w:t>
            </w:r>
          </w:p>
        </w:tc>
      </w:tr>
      <w:tr w14:paraId="58D1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2613484E">
            <w:pPr>
              <w:spacing w:line="240" w:lineRule="auto"/>
              <w:ind w:firstLine="0" w:firstLineChars="0"/>
              <w:jc w:val="center"/>
              <w:rPr>
                <w:rFonts w:hint="eastAsia" w:ascii="宋体" w:hAnsi="宋体"/>
                <w:color w:val="000000"/>
                <w:sz w:val="18"/>
                <w:szCs w:val="18"/>
              </w:rPr>
            </w:pPr>
            <w:r>
              <w:rPr>
                <w:rFonts w:ascii="宋体" w:hAnsi="宋体"/>
                <w:color w:val="000000"/>
                <w:sz w:val="18"/>
                <w:szCs w:val="18"/>
              </w:rPr>
              <w:t>9</w:t>
            </w:r>
          </w:p>
        </w:tc>
        <w:tc>
          <w:tcPr>
            <w:tcW w:w="0" w:type="auto"/>
            <w:shd w:val="clear" w:color="auto" w:fill="auto"/>
            <w:noWrap/>
            <w:vAlign w:val="center"/>
          </w:tcPr>
          <w:p w14:paraId="478A2A12">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故障诊断及处理</w:t>
            </w:r>
          </w:p>
        </w:tc>
        <w:tc>
          <w:tcPr>
            <w:tcW w:w="0" w:type="auto"/>
            <w:shd w:val="clear" w:color="auto" w:fill="auto"/>
            <w:vAlign w:val="center"/>
          </w:tcPr>
          <w:p w14:paraId="0E07745D">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平台发生故障或客户使用过程中出现故障，及时安排技术人员进行排查诊断，对故障进行处理和恢复。</w:t>
            </w:r>
          </w:p>
        </w:tc>
      </w:tr>
      <w:tr w14:paraId="446A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noWrap/>
            <w:vAlign w:val="center"/>
          </w:tcPr>
          <w:p w14:paraId="577928F2">
            <w:pPr>
              <w:spacing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10</w:t>
            </w:r>
          </w:p>
        </w:tc>
        <w:tc>
          <w:tcPr>
            <w:tcW w:w="0" w:type="auto"/>
            <w:shd w:val="clear" w:color="auto" w:fill="auto"/>
            <w:noWrap/>
            <w:vAlign w:val="center"/>
          </w:tcPr>
          <w:p w14:paraId="5E75A0B6">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专线运维服务</w:t>
            </w:r>
          </w:p>
        </w:tc>
        <w:tc>
          <w:tcPr>
            <w:tcW w:w="0" w:type="auto"/>
            <w:shd w:val="clear" w:color="auto" w:fill="auto"/>
            <w:vAlign w:val="center"/>
          </w:tcPr>
          <w:p w14:paraId="50F24DED">
            <w:pPr>
              <w:spacing w:line="240" w:lineRule="auto"/>
              <w:ind w:firstLine="0" w:firstLineChars="0"/>
              <w:rPr>
                <w:rFonts w:hint="eastAsia" w:ascii="宋体" w:hAnsi="宋体"/>
                <w:color w:val="000000"/>
                <w:sz w:val="18"/>
                <w:szCs w:val="18"/>
              </w:rPr>
            </w:pPr>
            <w:r>
              <w:rPr>
                <w:rFonts w:hint="eastAsia" w:ascii="宋体" w:hAnsi="宋体"/>
                <w:color w:val="000000"/>
                <w:sz w:val="18"/>
                <w:szCs w:val="18"/>
              </w:rPr>
              <w:t>智算集群跨城专线的运维，主要服务于客户数据集的上传导入，包括带宽、时延及抖动等品质管理</w:t>
            </w:r>
          </w:p>
        </w:tc>
      </w:tr>
    </w:tbl>
    <w:p w14:paraId="003072AB">
      <w:pPr>
        <w:ind w:firstLine="420"/>
      </w:pPr>
      <w:r>
        <w:rPr>
          <w:rFonts w:hint="eastAsia"/>
        </w:rPr>
        <w:t>注：本文所写“客户”是指与本项目采购人签署算力租赁服务合同、并实际使用本项目算力集群资源的单位。</w:t>
      </w:r>
    </w:p>
    <w:p w14:paraId="68B70138">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1）算力资源开通的技术支持</w:t>
      </w:r>
    </w:p>
    <w:p w14:paraId="673185D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为客户提供智算中心平台相关的技术支持，协助客户算力资源管理团队推动客户完成试用</w:t>
      </w:r>
      <w:bookmarkStart w:id="33" w:name="_GoBack"/>
      <w:r>
        <w:rPr>
          <w:rFonts w:hint="eastAsia" w:ascii="宋体" w:hAnsi="宋体" w:cs="宋体"/>
          <w:sz w:val="24"/>
        </w:rPr>
        <w:t>、或</w:t>
      </w:r>
      <w:bookmarkEnd w:id="33"/>
      <w:r>
        <w:rPr>
          <w:rFonts w:hint="eastAsia" w:ascii="宋体" w:hAnsi="宋体" w:cs="宋体"/>
          <w:sz w:val="24"/>
        </w:rPr>
        <w:t>长期租用算力中心的智算资源服务；</w:t>
      </w:r>
    </w:p>
    <w:p w14:paraId="1DDE65A0">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①采取线下约谈或线上会议方式与智算中心客户进行算力服务需求的技术方案交流。</w:t>
      </w:r>
    </w:p>
    <w:p w14:paraId="6628B8C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②对智算中心客户的需求进行分析，协助智算中心管理人员 收集需求信息，并完成相关方案编写工作。</w:t>
      </w:r>
    </w:p>
    <w:p w14:paraId="73A00BAF">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③技术方案POC测试：</w:t>
      </w:r>
    </w:p>
    <w:p w14:paraId="5EAEB396">
      <w:pPr>
        <w:pStyle w:val="8"/>
        <w:widowControl w:val="0"/>
        <w:numPr>
          <w:ilvl w:val="0"/>
          <w:numId w:val="1"/>
        </w:numPr>
        <w:autoSpaceDE w:val="0"/>
        <w:autoSpaceDN w:val="0"/>
        <w:adjustRightInd w:val="0"/>
        <w:snapToGrid w:val="0"/>
        <w:ind w:left="0" w:firstLine="480"/>
        <w:rPr>
          <w:rFonts w:hint="eastAsia" w:ascii="宋体" w:hAnsi="宋体" w:cs="宋体"/>
          <w:sz w:val="24"/>
        </w:rPr>
      </w:pPr>
      <w:r>
        <w:rPr>
          <w:rFonts w:hint="eastAsia" w:ascii="宋体" w:hAnsi="宋体" w:cs="宋体"/>
          <w:sz w:val="24"/>
        </w:rPr>
        <w:t>根据收到的试用、租用智算资源需求，负责评估当前智算平台能否满足测试或租用需求，资源具备则及时调整智算中心平台的虚拟算力资源或裸金属算力资源；</w:t>
      </w:r>
    </w:p>
    <w:p w14:paraId="6EC00F60">
      <w:pPr>
        <w:pStyle w:val="8"/>
        <w:widowControl w:val="0"/>
        <w:numPr>
          <w:ilvl w:val="0"/>
          <w:numId w:val="1"/>
        </w:numPr>
        <w:autoSpaceDE w:val="0"/>
        <w:autoSpaceDN w:val="0"/>
        <w:adjustRightInd w:val="0"/>
        <w:snapToGrid w:val="0"/>
        <w:ind w:left="0" w:firstLine="480"/>
        <w:rPr>
          <w:rFonts w:hint="eastAsia" w:ascii="宋体" w:hAnsi="宋体" w:cs="宋体"/>
          <w:sz w:val="24"/>
        </w:rPr>
      </w:pPr>
      <w:r>
        <w:rPr>
          <w:rFonts w:hint="eastAsia" w:ascii="宋体" w:hAnsi="宋体" w:cs="宋体"/>
          <w:sz w:val="24"/>
        </w:rPr>
        <w:t>根据收到的客户试用、租用或购买需求，提供相应的</w:t>
      </w:r>
      <w:r>
        <w:rPr>
          <w:rFonts w:ascii="宋体" w:hAnsi="宋体" w:cs="宋体"/>
          <w:sz w:val="24"/>
        </w:rPr>
        <w:t>IB</w:t>
      </w:r>
      <w:r>
        <w:rPr>
          <w:rFonts w:hint="eastAsia" w:ascii="宋体" w:hAnsi="宋体" w:cs="宋体"/>
          <w:sz w:val="24"/>
        </w:rPr>
        <w:t>组网方案；若组网不满足客户需求，需在买方数据中心机房进行相应的设备上架、设备调整、线缆布线和组网变更等；</w:t>
      </w:r>
    </w:p>
    <w:p w14:paraId="5B2ABBC7">
      <w:pPr>
        <w:pStyle w:val="8"/>
        <w:widowControl w:val="0"/>
        <w:numPr>
          <w:ilvl w:val="0"/>
          <w:numId w:val="1"/>
        </w:numPr>
        <w:autoSpaceDE w:val="0"/>
        <w:autoSpaceDN w:val="0"/>
        <w:adjustRightInd w:val="0"/>
        <w:snapToGrid w:val="0"/>
        <w:ind w:left="0" w:firstLine="480"/>
        <w:rPr>
          <w:rFonts w:hint="eastAsia" w:ascii="宋体" w:hAnsi="宋体" w:cs="宋体"/>
          <w:sz w:val="24"/>
        </w:rPr>
      </w:pPr>
      <w:r>
        <w:rPr>
          <w:rFonts w:hint="eastAsia" w:ascii="宋体" w:hAnsi="宋体" w:cs="宋体"/>
          <w:sz w:val="24"/>
        </w:rPr>
        <w:t>负责为测试客户开通或回收智算平台资源及账号信息：包括裸金属服务器数量、</w:t>
      </w:r>
      <w:r>
        <w:rPr>
          <w:rFonts w:ascii="宋体" w:hAnsi="宋体" w:cs="宋体"/>
          <w:sz w:val="24"/>
        </w:rPr>
        <w:t>VPN</w:t>
      </w:r>
      <w:r>
        <w:rPr>
          <w:rFonts w:hint="eastAsia" w:ascii="宋体" w:hAnsi="宋体" w:cs="宋体"/>
          <w:sz w:val="24"/>
        </w:rPr>
        <w:t>账号、操作系统账号及登录方式，提供</w:t>
      </w:r>
      <w:r>
        <w:rPr>
          <w:rFonts w:ascii="宋体" w:hAnsi="宋体" w:cs="宋体"/>
          <w:sz w:val="24"/>
        </w:rPr>
        <w:t>VPN</w:t>
      </w:r>
      <w:r>
        <w:rPr>
          <w:rFonts w:hint="eastAsia" w:ascii="宋体" w:hAnsi="宋体" w:cs="宋体"/>
          <w:sz w:val="24"/>
        </w:rPr>
        <w:t>客户端、</w:t>
      </w:r>
      <w:r>
        <w:rPr>
          <w:rFonts w:ascii="宋体" w:hAnsi="宋体" w:cs="宋体"/>
          <w:sz w:val="24"/>
        </w:rPr>
        <w:t>VPN</w:t>
      </w:r>
      <w:r>
        <w:rPr>
          <w:rFonts w:hint="eastAsia" w:ascii="宋体" w:hAnsi="宋体" w:cs="宋体"/>
          <w:sz w:val="24"/>
        </w:rPr>
        <w:t>网关地址、共享存储空间、跳板机登录地址，并为客户提供配套使用手册。</w:t>
      </w:r>
    </w:p>
    <w:p w14:paraId="6FC0F11C">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④根据采购人要求，积极配合智算中心管理团队提供智算中心客户招投标相关材料支持。</w:t>
      </w:r>
    </w:p>
    <w:p w14:paraId="44FA051E">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2）客户接入及业务开通服务</w:t>
      </w:r>
    </w:p>
    <w:p w14:paraId="1BFF092B">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①根据收到的客户租用或购买需求，提供相应的</w:t>
      </w:r>
      <w:r>
        <w:rPr>
          <w:rFonts w:ascii="宋体" w:hAnsi="宋体" w:cs="宋体"/>
          <w:sz w:val="24"/>
        </w:rPr>
        <w:t>IB</w:t>
      </w:r>
      <w:r>
        <w:rPr>
          <w:rFonts w:hint="eastAsia" w:ascii="宋体" w:hAnsi="宋体" w:cs="宋体"/>
          <w:sz w:val="24"/>
        </w:rPr>
        <w:t>组网方案；若组网不满足客户需求，在采购人数据中心机房进行相应的设备调整及当前范围内的线缆布线和组网变更等；</w:t>
      </w:r>
    </w:p>
    <w:p w14:paraId="322FB79C">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②负责根据正式客户业务开通需求，规划和调整共享存储空间，指导第三方团队进行共享存储的组网规划和调整，初始化共享存储空间以及共享存储空间的整体分配；</w:t>
      </w:r>
    </w:p>
    <w:p w14:paraId="4F71118D">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③负责根据客户需求进行智算服务器设备加电、操作系统的批量安装与重装、带外管理网配置、管理网卡绑定和配置、网卡驱动和</w:t>
      </w:r>
      <w:r>
        <w:rPr>
          <w:rFonts w:ascii="宋体" w:hAnsi="宋体" w:cs="宋体"/>
          <w:sz w:val="24"/>
        </w:rPr>
        <w:t>GPU</w:t>
      </w:r>
      <w:r>
        <w:rPr>
          <w:rFonts w:hint="eastAsia" w:ascii="宋体" w:hAnsi="宋体" w:cs="宋体"/>
          <w:sz w:val="24"/>
        </w:rPr>
        <w:t>驱动的安装、</w:t>
      </w:r>
      <w:r>
        <w:rPr>
          <w:rFonts w:ascii="宋体" w:hAnsi="宋体" w:cs="宋体"/>
          <w:sz w:val="24"/>
        </w:rPr>
        <w:t>IB</w:t>
      </w:r>
      <w:r>
        <w:rPr>
          <w:rFonts w:hint="eastAsia" w:ascii="宋体" w:hAnsi="宋体" w:cs="宋体"/>
          <w:sz w:val="24"/>
        </w:rPr>
        <w:t>网卡配置；</w:t>
      </w:r>
    </w:p>
    <w:p w14:paraId="179F89F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④负责在客户测试或正式业务上线交付前的带宽时延测试，包括读、写操作带宽测试，读写操作时延测试，发送操作带宽和时延测试，以及其他必要的测试；</w:t>
      </w:r>
    </w:p>
    <w:p w14:paraId="4868A237">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⑤负责智算中心堡垒机资源的添加和维护，角色和权限的分配；因人为误操作或资源不可用等故障，责任无法判断时，负责查看和回溯堡垒机上的录屏内容，明确各方责任；</w:t>
      </w:r>
    </w:p>
    <w:p w14:paraId="6EA71CFB">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⑥负责为正式客户开通或回收智算平台资源及账号信息：包括裸金属服务器数量、</w:t>
      </w:r>
      <w:r>
        <w:rPr>
          <w:rFonts w:ascii="宋体" w:hAnsi="宋体" w:cs="宋体"/>
          <w:sz w:val="24"/>
        </w:rPr>
        <w:t>VPN</w:t>
      </w:r>
      <w:r>
        <w:rPr>
          <w:rFonts w:hint="eastAsia" w:ascii="宋体" w:hAnsi="宋体" w:cs="宋体"/>
          <w:sz w:val="24"/>
        </w:rPr>
        <w:t>账号、操作系统账号及登录方式，提供</w:t>
      </w:r>
      <w:r>
        <w:rPr>
          <w:rFonts w:ascii="宋体" w:hAnsi="宋体" w:cs="宋体"/>
          <w:sz w:val="24"/>
        </w:rPr>
        <w:t>VPN</w:t>
      </w:r>
      <w:r>
        <w:rPr>
          <w:rFonts w:hint="eastAsia" w:ascii="宋体" w:hAnsi="宋体" w:cs="宋体"/>
          <w:sz w:val="24"/>
        </w:rPr>
        <w:t>客户端、</w:t>
      </w:r>
      <w:r>
        <w:rPr>
          <w:rFonts w:ascii="宋体" w:hAnsi="宋体" w:cs="宋体"/>
          <w:sz w:val="24"/>
        </w:rPr>
        <w:t>VPN</w:t>
      </w:r>
      <w:r>
        <w:rPr>
          <w:rFonts w:hint="eastAsia" w:ascii="宋体" w:hAnsi="宋体" w:cs="宋体"/>
          <w:sz w:val="24"/>
        </w:rPr>
        <w:t>网关地址、共享存储空间、跳板机登录地址，并为客户提供配套使用手册；</w:t>
      </w:r>
    </w:p>
    <w:p w14:paraId="0CA97E42">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⑦负责客户数据集磁盘或磁盘矩阵的挂载、客户数据集导入、磁盘或磁盘阵列卸载，并通知客户数据集是否导入成功，由客户确认下一步操作。</w:t>
      </w:r>
    </w:p>
    <w:p w14:paraId="1276E92A">
      <w:pPr>
        <w:widowControl w:val="0"/>
        <w:autoSpaceDE w:val="0"/>
        <w:autoSpaceDN w:val="0"/>
        <w:adjustRightInd w:val="0"/>
        <w:snapToGrid w:val="0"/>
        <w:ind w:firstLine="480"/>
        <w:rPr>
          <w:rFonts w:hint="default" w:ascii="宋体" w:hAnsi="宋体" w:cs="宋体"/>
          <w:sz w:val="24"/>
        </w:rPr>
      </w:pPr>
      <w:r>
        <w:rPr>
          <w:rFonts w:hint="eastAsia" w:ascii="宋体" w:hAnsi="宋体" w:cs="宋体"/>
          <w:sz w:val="24"/>
          <w:lang w:val="en-US" w:eastAsia="zh-CN"/>
        </w:rPr>
        <w:t>⑧协助采购人</w:t>
      </w:r>
      <w:r>
        <w:rPr>
          <w:rFonts w:hint="eastAsia" w:ascii="宋体" w:hAnsi="宋体" w:cs="宋体"/>
          <w:sz w:val="24"/>
        </w:rPr>
        <w:t>在每个月【5】日前（如遇节日则相应顺延）</w:t>
      </w:r>
      <w:r>
        <w:rPr>
          <w:rFonts w:hint="eastAsia" w:ascii="宋体" w:hAnsi="宋体" w:cs="宋体"/>
          <w:sz w:val="24"/>
          <w:lang w:val="en-US" w:eastAsia="zh-CN"/>
        </w:rPr>
        <w:t>填报</w:t>
      </w:r>
      <w:r>
        <w:rPr>
          <w:rFonts w:hint="eastAsia" w:ascii="宋体" w:hAnsi="宋体" w:cs="宋体"/>
          <w:sz w:val="24"/>
        </w:rPr>
        <w:t>上一月</w:t>
      </w:r>
      <w:r>
        <w:rPr>
          <w:rFonts w:hint="eastAsia" w:ascii="宋体" w:hAnsi="宋体" w:cs="宋体"/>
          <w:sz w:val="24"/>
          <w:lang w:val="en-US" w:eastAsia="zh-CN"/>
        </w:rPr>
        <w:t>租户</w:t>
      </w:r>
      <w:r>
        <w:rPr>
          <w:rFonts w:hint="eastAsia" w:ascii="宋体" w:hAnsi="宋体" w:cs="宋体"/>
          <w:sz w:val="24"/>
        </w:rPr>
        <w:t>服务费用结算单</w:t>
      </w:r>
      <w:r>
        <w:rPr>
          <w:rFonts w:hint="eastAsia" w:ascii="宋体" w:hAnsi="宋体" w:cs="宋体"/>
          <w:sz w:val="24"/>
          <w:lang w:val="en-US" w:eastAsia="zh-CN"/>
        </w:rPr>
        <w:t>中相关技术部分的内容，</w:t>
      </w:r>
      <w:r>
        <w:rPr>
          <w:rFonts w:hint="eastAsia" w:ascii="宋体" w:hAnsi="宋体" w:cs="宋体"/>
          <w:sz w:val="24"/>
        </w:rPr>
        <w:t>发送给</w:t>
      </w:r>
      <w:r>
        <w:rPr>
          <w:rFonts w:hint="eastAsia" w:ascii="宋体" w:hAnsi="宋体" w:cs="宋体"/>
          <w:sz w:val="24"/>
          <w:lang w:val="en-US" w:eastAsia="zh-CN"/>
        </w:rPr>
        <w:t>采购人。</w:t>
      </w:r>
    </w:p>
    <w:p w14:paraId="0D8CB4A7">
      <w:pPr>
        <w:widowControl w:val="0"/>
        <w:autoSpaceDE w:val="0"/>
        <w:autoSpaceDN w:val="0"/>
        <w:adjustRightInd w:val="0"/>
        <w:snapToGrid w:val="0"/>
        <w:ind w:firstLine="482"/>
        <w:rPr>
          <w:rFonts w:hint="eastAsia" w:ascii="宋体" w:hAnsi="宋体" w:cs="宋体"/>
          <w:b/>
          <w:bCs/>
          <w:sz w:val="24"/>
        </w:rPr>
      </w:pPr>
    </w:p>
    <w:p w14:paraId="5366CB87">
      <w:pPr>
        <w:widowControl w:val="0"/>
        <w:autoSpaceDE w:val="0"/>
        <w:autoSpaceDN w:val="0"/>
        <w:adjustRightInd w:val="0"/>
        <w:snapToGrid w:val="0"/>
        <w:ind w:firstLine="482"/>
        <w:rPr>
          <w:rFonts w:hint="eastAsia" w:ascii="宋体" w:hAnsi="宋体" w:cs="宋体"/>
          <w:sz w:val="24"/>
        </w:rPr>
      </w:pPr>
      <w:r>
        <w:rPr>
          <w:rFonts w:hint="eastAsia" w:ascii="宋体" w:hAnsi="宋体" w:cs="宋体"/>
          <w:b/>
          <w:bCs/>
          <w:sz w:val="24"/>
        </w:rPr>
        <w:t>（2）算力集群日常运行维护服务</w:t>
      </w:r>
    </w:p>
    <w:p w14:paraId="1D5B256A">
      <w:pPr>
        <w:widowControl w:val="0"/>
        <w:autoSpaceDE w:val="0"/>
        <w:autoSpaceDN w:val="0"/>
        <w:adjustRightInd w:val="0"/>
        <w:snapToGrid w:val="0"/>
        <w:ind w:firstLine="482"/>
        <w:rPr>
          <w:rFonts w:hint="eastAsia" w:ascii="宋体" w:hAnsi="宋体" w:cs="宋体"/>
          <w:b/>
          <w:bCs/>
          <w:sz w:val="24"/>
        </w:rPr>
      </w:pPr>
      <w:bookmarkStart w:id="9" w:name="_Toc464035670"/>
      <w:bookmarkStart w:id="10" w:name="_Toc293825755"/>
      <w:bookmarkStart w:id="11" w:name="_Toc428196132"/>
      <w:bookmarkStart w:id="12" w:name="_Toc37772415"/>
      <w:bookmarkStart w:id="13" w:name="_Toc428447371"/>
      <w:bookmarkStart w:id="14" w:name="_Toc293777730"/>
      <w:bookmarkStart w:id="15" w:name="_Toc293825633"/>
      <w:bookmarkStart w:id="16" w:name="_Toc416370439"/>
      <w:r>
        <w:rPr>
          <w:rFonts w:hint="eastAsia" w:ascii="宋体" w:hAnsi="宋体" w:cs="宋体"/>
          <w:b/>
          <w:bCs/>
          <w:sz w:val="24"/>
        </w:rPr>
        <w:t>1）基础维护</w:t>
      </w:r>
      <w:bookmarkEnd w:id="9"/>
      <w:bookmarkEnd w:id="10"/>
      <w:bookmarkEnd w:id="11"/>
      <w:bookmarkEnd w:id="12"/>
      <w:bookmarkEnd w:id="13"/>
      <w:bookmarkEnd w:id="14"/>
      <w:bookmarkEnd w:id="15"/>
      <w:bookmarkEnd w:id="16"/>
      <w:r>
        <w:rPr>
          <w:rFonts w:hint="eastAsia" w:ascii="宋体" w:hAnsi="宋体" w:cs="宋体"/>
          <w:b/>
          <w:bCs/>
          <w:sz w:val="24"/>
        </w:rPr>
        <w:t>要求</w:t>
      </w:r>
    </w:p>
    <w:p w14:paraId="632BA3E7">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基础维护指为保证系统正常运行所需的预防性维护，日常维护支持，网络调整支持，数据备份支持等工作。包括：</w:t>
      </w:r>
    </w:p>
    <w:p w14:paraId="03468C9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①日常维护技术支持：对系统的网络、硬件、软件系统进行维护，监控运行情况，保证系统正常运行。</w:t>
      </w:r>
    </w:p>
    <w:p w14:paraId="07F35F5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②日常投诉处理：支撑采购人智算中心管理人员处理客户投诉，并提供相关技术支撑工作。</w:t>
      </w:r>
    </w:p>
    <w:p w14:paraId="10B0118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③系统重装技术支持：负责系统服务端软件的安装。</w:t>
      </w:r>
    </w:p>
    <w:p w14:paraId="01C4BB82">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④数据安全性管理技术支持：对系统的数据备份和恢复进行技术支持，以备在异常情况下尽快恢复系统。</w:t>
      </w:r>
    </w:p>
    <w:p w14:paraId="490CFD42">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⑤成立专门的技术支持部门，由运维服务部经理统一协调技术服务工作。</w:t>
      </w:r>
    </w:p>
    <w:p w14:paraId="121B476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⑥支持电话、传真、电子邮件、WWW等方式的售后技术服务要求。</w:t>
      </w:r>
    </w:p>
    <w:p w14:paraId="44D0F0B6">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⑦远程无法解决的，需协调人员到现场进行更高层面的售后技术支持服务，同时协调第三方相关设备厂家共同到达客户问题现场。具体故障响应时间以及故障恢复时间，需要依据第三方相关设备厂商技术服务承诺要求。</w:t>
      </w:r>
    </w:p>
    <w:p w14:paraId="016DFF2E">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⑧对智算中心的运行状况提供定期巡检服务。</w:t>
      </w:r>
      <w:bookmarkStart w:id="17" w:name="OLE_LINK7"/>
      <w:r>
        <w:rPr>
          <w:rFonts w:hint="eastAsia" w:ascii="宋体" w:hAnsi="宋体" w:cs="宋体"/>
          <w:sz w:val="24"/>
        </w:rPr>
        <w:t>每周一次巡检</w:t>
      </w:r>
      <w:bookmarkEnd w:id="17"/>
      <w:r>
        <w:rPr>
          <w:rFonts w:hint="eastAsia" w:ascii="宋体" w:hAnsi="宋体" w:cs="宋体"/>
          <w:sz w:val="24"/>
        </w:rPr>
        <w:t>，</w:t>
      </w:r>
      <w:r>
        <w:rPr>
          <w:rFonts w:ascii="宋体" w:hAnsi="宋体" w:cs="宋体"/>
          <w:sz w:val="24"/>
        </w:rPr>
        <w:t>每</w:t>
      </w:r>
      <w:r>
        <w:rPr>
          <w:rFonts w:hint="eastAsia" w:ascii="宋体" w:hAnsi="宋体" w:cs="宋体"/>
          <w:sz w:val="24"/>
        </w:rPr>
        <w:t>个月进行一次深度巡检工作，保证软件和业务报表的数据健康、平稳运行。对于巡检中出现的隐患、高危或异常情况，及时汇报给采购人，并提供建议的解决方案。</w:t>
      </w:r>
    </w:p>
    <w:p w14:paraId="3572FE4F">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⑨配备网络安全专业技术人员，对系统定期进行安全检查，对运行中存在的安全隐患、检查发现的漏洞、安全问题等及时进行修复和解决。</w:t>
      </w:r>
    </w:p>
    <w:p w14:paraId="5108CD9D">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⑩负责撰写智算中心月报，并提供给采购人运营团队。基于目前智算集群所有软硬件资源，定期提供满足采购方资源监控平台所要求</w:t>
      </w:r>
      <w:r>
        <w:rPr>
          <w:rFonts w:hint="eastAsia" w:ascii="宋体" w:hAnsi="宋体" w:cs="宋体"/>
          <w:sz w:val="24"/>
          <w:lang w:eastAsia="zh-CN"/>
        </w:rPr>
        <w:t>的</w:t>
      </w:r>
      <w:r>
        <w:rPr>
          <w:rFonts w:hint="eastAsia" w:ascii="宋体" w:hAnsi="宋体" w:cs="宋体"/>
          <w:sz w:val="24"/>
        </w:rPr>
        <w:t>监控项列表，以及资源监控的详细信息。</w:t>
      </w:r>
    </w:p>
    <w:p w14:paraId="20B5EB77">
      <w:pPr>
        <w:widowControl w:val="0"/>
        <w:autoSpaceDE w:val="0"/>
        <w:autoSpaceDN w:val="0"/>
        <w:adjustRightInd w:val="0"/>
        <w:snapToGrid w:val="0"/>
        <w:ind w:firstLine="482"/>
        <w:rPr>
          <w:rFonts w:hint="eastAsia" w:ascii="宋体" w:hAnsi="宋体" w:cs="宋体"/>
          <w:b/>
          <w:bCs/>
          <w:sz w:val="24"/>
        </w:rPr>
      </w:pPr>
      <w:bookmarkStart w:id="18" w:name="_Toc464035671"/>
      <w:bookmarkStart w:id="19" w:name="_Toc37772416"/>
      <w:bookmarkStart w:id="20" w:name="_Toc293777731"/>
      <w:bookmarkStart w:id="21" w:name="_Toc416370440"/>
      <w:bookmarkStart w:id="22" w:name="_Toc293825634"/>
      <w:bookmarkStart w:id="23" w:name="_Toc428447372"/>
      <w:bookmarkStart w:id="24" w:name="_Toc428196133"/>
      <w:bookmarkStart w:id="25" w:name="_Toc293825756"/>
      <w:r>
        <w:rPr>
          <w:rFonts w:hint="eastAsia" w:ascii="宋体" w:hAnsi="宋体" w:cs="宋体"/>
          <w:b/>
          <w:bCs/>
          <w:sz w:val="24"/>
        </w:rPr>
        <w:t>2）升级支持服务</w:t>
      </w:r>
      <w:bookmarkEnd w:id="18"/>
      <w:bookmarkEnd w:id="19"/>
      <w:bookmarkEnd w:id="20"/>
      <w:bookmarkEnd w:id="21"/>
      <w:bookmarkEnd w:id="22"/>
      <w:bookmarkEnd w:id="23"/>
      <w:bookmarkEnd w:id="24"/>
      <w:bookmarkEnd w:id="25"/>
    </w:p>
    <w:p w14:paraId="0942546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①操作系统升级服务。</w:t>
      </w:r>
    </w:p>
    <w:p w14:paraId="7A72BB9B">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②版本升级技术支持：系统软件版本的升级。</w:t>
      </w:r>
    </w:p>
    <w:p w14:paraId="5832C833">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③漏洞补丁安装服务：定期做系统巡检，与租户确认后，对发现的漏洞进行补丁安装服务。</w:t>
      </w:r>
    </w:p>
    <w:p w14:paraId="4B9A8FDC">
      <w:pPr>
        <w:widowControl w:val="0"/>
        <w:autoSpaceDE w:val="0"/>
        <w:autoSpaceDN w:val="0"/>
        <w:adjustRightInd w:val="0"/>
        <w:snapToGrid w:val="0"/>
        <w:ind w:firstLine="482"/>
        <w:rPr>
          <w:rFonts w:hint="eastAsia" w:ascii="宋体" w:hAnsi="宋体" w:cs="宋体"/>
          <w:b/>
          <w:bCs/>
          <w:sz w:val="24"/>
        </w:rPr>
      </w:pPr>
      <w:bookmarkStart w:id="26" w:name="_Hlk192088895"/>
      <w:r>
        <w:rPr>
          <w:rFonts w:hint="eastAsia" w:ascii="宋体" w:hAnsi="宋体" w:cs="宋体"/>
          <w:b/>
          <w:bCs/>
          <w:sz w:val="24"/>
        </w:rPr>
        <w:t>3）网络及安全运维工作</w:t>
      </w:r>
    </w:p>
    <w:bookmarkEnd w:id="26"/>
    <w:p w14:paraId="64CE034C">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①负责整体智算中心网络安全策略的规划和动态调整，保障内部网络安全；</w:t>
      </w:r>
    </w:p>
    <w:p w14:paraId="5337951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②负责整体智算中心配套设备的安全加固和漏洞整改，保障平台自身安全；</w:t>
      </w:r>
    </w:p>
    <w:p w14:paraId="50F3023B">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4）故障处理服务</w:t>
      </w:r>
    </w:p>
    <w:p w14:paraId="533002B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用户在使用系统时如遇到问题，无论是软件、硬件或是网络，都应得到相应的支持与帮助，并提供故障诊断分析和解决方案；严重故障导致系统不能正常运行，通过电话或远程无法解决</w:t>
      </w:r>
      <w:r>
        <w:rPr>
          <w:rFonts w:hint="eastAsia" w:ascii="宋体" w:hAnsi="宋体" w:cs="宋体"/>
          <w:sz w:val="24"/>
          <w:lang w:eastAsia="zh-CN"/>
        </w:rPr>
        <w:t>，</w:t>
      </w:r>
      <w:r>
        <w:rPr>
          <w:rFonts w:hint="eastAsia" w:ascii="宋体" w:hAnsi="宋体" w:cs="宋体"/>
          <w:sz w:val="24"/>
        </w:rPr>
        <w:t>应在设备厂家备品备件准备就绪的情况下，满足现场故障处理的要求。应建立故障处理机制，原则上必须满足以下要求：</w:t>
      </w:r>
    </w:p>
    <w:p w14:paraId="000AF0D3">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w:t>
      </w:r>
      <w:r>
        <w:rPr>
          <w:rFonts w:ascii="宋体" w:hAnsi="宋体" w:cs="宋体"/>
          <w:sz w:val="24"/>
        </w:rPr>
        <w:t>建立故障单上报机制</w:t>
      </w:r>
    </w:p>
    <w:p w14:paraId="7B4D5200">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w:t>
      </w:r>
      <w:r>
        <w:rPr>
          <w:rFonts w:ascii="宋体" w:hAnsi="宋体" w:cs="宋体"/>
          <w:sz w:val="24"/>
        </w:rPr>
        <w:t>建</w:t>
      </w:r>
      <w:r>
        <w:rPr>
          <w:rFonts w:hint="eastAsia" w:ascii="宋体" w:hAnsi="宋体" w:cs="宋体"/>
          <w:sz w:val="24"/>
        </w:rPr>
        <w:t>立</w:t>
      </w:r>
      <w:r>
        <w:rPr>
          <w:rFonts w:ascii="宋体" w:hAnsi="宋体" w:cs="宋体"/>
          <w:sz w:val="24"/>
        </w:rPr>
        <w:t>故障报警机制</w:t>
      </w:r>
    </w:p>
    <w:p w14:paraId="023BC3AD">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③</w:t>
      </w:r>
      <w:r>
        <w:rPr>
          <w:rFonts w:ascii="宋体" w:hAnsi="宋体" w:cs="宋体"/>
          <w:sz w:val="24"/>
        </w:rPr>
        <w:t>建立故障表单并存储</w:t>
      </w:r>
    </w:p>
    <w:p w14:paraId="6ABD3F2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④业务影响确认：故障发生后，应尽快确认是否影响用户业务使用，采购人通过投诉预警、业务拨测、KPI性能指标监测、网络舆情等信息，以及通过登录信息进行用户业务影响情况确认，根据该信息判断是否为重大故障。</w:t>
      </w:r>
    </w:p>
    <w:p w14:paraId="6E5601FC">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⑤具体故障处理以及解决，需要依据第三方相关设备厂商技术服务承诺要求。</w:t>
      </w:r>
    </w:p>
    <w:p w14:paraId="054FAF53">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5）培训及其他服务</w:t>
      </w:r>
    </w:p>
    <w:p w14:paraId="535CB11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培训服务：向采购人或算力集群使用客户提供免费运维培训，包括平台使用、运维、故障排查等。</w:t>
      </w:r>
    </w:p>
    <w:p w14:paraId="11D32DA7">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专家服务：参与采购人有关智算集群运维、扩容等事项的重大技术论证会，提供专家意见。</w:t>
      </w:r>
    </w:p>
    <w:p w14:paraId="7DD0B508">
      <w:pPr>
        <w:widowControl w:val="0"/>
        <w:numPr>
          <w:ilvl w:val="0"/>
          <w:numId w:val="2"/>
        </w:numPr>
        <w:autoSpaceDE w:val="0"/>
        <w:autoSpaceDN w:val="0"/>
        <w:adjustRightInd w:val="0"/>
        <w:snapToGrid w:val="0"/>
        <w:ind w:firstLine="480"/>
        <w:rPr>
          <w:rFonts w:hint="eastAsia" w:ascii="宋体" w:hAnsi="宋体" w:cs="宋体"/>
          <w:sz w:val="24"/>
        </w:rPr>
      </w:pPr>
      <w:r>
        <w:rPr>
          <w:rFonts w:hint="eastAsia" w:ascii="宋体" w:hAnsi="宋体" w:cs="宋体"/>
          <w:sz w:val="24"/>
        </w:rPr>
        <w:t>定期总结报告</w:t>
      </w:r>
    </w:p>
    <w:p w14:paraId="51CBB4AB">
      <w:pPr>
        <w:widowControl w:val="0"/>
        <w:numPr>
          <w:ilvl w:val="255"/>
          <w:numId w:val="0"/>
        </w:numPr>
        <w:autoSpaceDE w:val="0"/>
        <w:autoSpaceDN w:val="0"/>
        <w:adjustRightInd w:val="0"/>
        <w:snapToGrid w:val="0"/>
        <w:ind w:firstLine="480"/>
        <w:rPr>
          <w:rFonts w:hint="eastAsia" w:ascii="宋体" w:hAnsi="宋体" w:cs="宋体"/>
          <w:sz w:val="24"/>
        </w:rPr>
      </w:pPr>
      <w:r>
        <w:rPr>
          <w:rFonts w:hint="eastAsia" w:ascii="宋体" w:hAnsi="宋体" w:cs="宋体"/>
          <w:sz w:val="24"/>
        </w:rPr>
        <w:t>周报告：根据甲方要求，每周提供一份书面形式的运维报告，报告简明扼要的汇报智算集群当月运维工作情况。</w:t>
      </w:r>
    </w:p>
    <w:p w14:paraId="7ECE669C">
      <w:pPr>
        <w:widowControl w:val="0"/>
        <w:numPr>
          <w:ilvl w:val="255"/>
          <w:numId w:val="0"/>
        </w:numPr>
        <w:autoSpaceDE w:val="0"/>
        <w:autoSpaceDN w:val="0"/>
        <w:adjustRightInd w:val="0"/>
        <w:snapToGrid w:val="0"/>
        <w:ind w:firstLine="480"/>
        <w:rPr>
          <w:rFonts w:ascii="宋体" w:hAnsi="宋体" w:cs="宋体"/>
          <w:sz w:val="24"/>
        </w:rPr>
      </w:pPr>
      <w:r>
        <w:rPr>
          <w:rFonts w:hint="eastAsia" w:ascii="宋体" w:hAnsi="宋体" w:cs="宋体"/>
          <w:sz w:val="24"/>
        </w:rPr>
        <w:t>月度报告：根据采购人要求，每月提供一份书面的智算集群运维月度报告。报告内容应包含集群设备当月的运行状况、集群使用客户资源利用情况、质保事件情况、备件使用情况等其他相关信息。</w:t>
      </w:r>
    </w:p>
    <w:p w14:paraId="309CBC46">
      <w:pPr>
        <w:widowControl w:val="0"/>
        <w:numPr>
          <w:ilvl w:val="255"/>
          <w:numId w:val="0"/>
        </w:numPr>
        <w:autoSpaceDE w:val="0"/>
        <w:autoSpaceDN w:val="0"/>
        <w:adjustRightInd w:val="0"/>
        <w:snapToGrid w:val="0"/>
        <w:ind w:firstLine="480"/>
        <w:rPr>
          <w:rFonts w:hint="eastAsia" w:ascii="宋体" w:hAnsi="宋体" w:cs="宋体"/>
          <w:sz w:val="24"/>
        </w:rPr>
      </w:pPr>
      <w:r>
        <w:rPr>
          <w:rFonts w:hint="eastAsia" w:ascii="宋体" w:hAnsi="宋体" w:cs="宋体"/>
          <w:sz w:val="24"/>
        </w:rPr>
        <w:t>季度例会：根据甲方要求，每季度开展一次季度会议，线上或线下会议形式的汇报当季度的运维情况。汇报内容应包含集群设备当季度的运行状况、集群使用客户资源利用情况、质保事件情况、备件使用情况等其他相关信息。</w:t>
      </w:r>
    </w:p>
    <w:p w14:paraId="5887BCC3">
      <w:pPr>
        <w:widowControl w:val="0"/>
        <w:autoSpaceDE w:val="0"/>
        <w:autoSpaceDN w:val="0"/>
        <w:adjustRightInd w:val="0"/>
        <w:snapToGrid w:val="0"/>
        <w:ind w:firstLine="480" w:firstLineChars="0"/>
        <w:rPr>
          <w:rFonts w:hint="eastAsia" w:ascii="宋体" w:hAnsi="宋体" w:cs="宋体"/>
          <w:sz w:val="24"/>
        </w:rPr>
      </w:pPr>
      <w:r>
        <w:rPr>
          <w:rFonts w:hint="eastAsia" w:ascii="宋体" w:hAnsi="宋体" w:cs="宋体"/>
          <w:sz w:val="24"/>
        </w:rPr>
        <w:t>年度报告：根据采购人要求，每年提供一份智算集群运维总结报告。报告应对全年集群的运行状况、集群使用客户资源利用情况、质保事件情况、备件使用情况进行统计分析，对常见故障及处理方案进行总结。</w:t>
      </w:r>
    </w:p>
    <w:p w14:paraId="1B7DD329">
      <w:pPr>
        <w:widowControl w:val="0"/>
        <w:autoSpaceDE w:val="0"/>
        <w:autoSpaceDN w:val="0"/>
        <w:adjustRightInd w:val="0"/>
        <w:snapToGrid w:val="0"/>
        <w:ind w:firstLine="480" w:firstLineChars="0"/>
        <w:rPr>
          <w:rFonts w:hint="eastAsia" w:ascii="宋体" w:hAnsi="宋体" w:cs="宋体"/>
          <w:sz w:val="24"/>
        </w:rPr>
      </w:pPr>
    </w:p>
    <w:p w14:paraId="284D05EA">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2、备品备件支持服务</w:t>
      </w:r>
    </w:p>
    <w:p w14:paraId="21A9B370">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（1）对智算集群除GPU服务器以外的硬件部分，提供</w:t>
      </w:r>
      <w:r>
        <w:rPr>
          <w:rFonts w:hint="eastAsia" w:ascii="宋体" w:hAnsi="宋体" w:cs="宋体"/>
          <w:sz w:val="24"/>
          <w:lang w:val="en-US" w:eastAsia="zh-CN"/>
        </w:rPr>
        <w:t>3%-5</w:t>
      </w:r>
      <w:r>
        <w:rPr>
          <w:rFonts w:hint="eastAsia" w:ascii="宋体" w:hAnsi="宋体" w:cs="宋体"/>
          <w:sz w:val="24"/>
        </w:rPr>
        <w:t>%的备品备件支持服务</w:t>
      </w:r>
      <w:r>
        <w:rPr>
          <w:rFonts w:hint="eastAsia" w:ascii="宋体" w:hAnsi="宋体" w:cs="宋体"/>
          <w:sz w:val="24"/>
          <w:lang w:eastAsia="zh-CN"/>
        </w:rPr>
        <w:t>（</w:t>
      </w:r>
      <w:r>
        <w:rPr>
          <w:rFonts w:hint="eastAsia" w:ascii="宋体" w:hAnsi="宋体" w:cs="宋体"/>
          <w:sz w:val="24"/>
          <w:lang w:val="en-US" w:eastAsia="zh-CN"/>
        </w:rPr>
        <w:t>供应商在范围内承诺备件比例</w:t>
      </w:r>
      <w:r>
        <w:rPr>
          <w:rFonts w:hint="eastAsia" w:ascii="宋体" w:hAnsi="宋体" w:cs="宋体"/>
          <w:sz w:val="24"/>
          <w:lang w:eastAsia="zh-CN"/>
        </w:rPr>
        <w:t>）</w:t>
      </w:r>
      <w:r>
        <w:rPr>
          <w:rFonts w:hint="eastAsia" w:ascii="宋体" w:hAnsi="宋体" w:cs="宋体"/>
          <w:sz w:val="24"/>
        </w:rPr>
        <w:t>，确保服务期内智算集群的正常运转和使用。</w:t>
      </w:r>
    </w:p>
    <w:p w14:paraId="0A5BF9F2">
      <w:pPr>
        <w:widowControl w:val="0"/>
        <w:autoSpaceDE w:val="0"/>
        <w:autoSpaceDN w:val="0"/>
        <w:adjustRightInd w:val="0"/>
        <w:snapToGrid w:val="0"/>
        <w:ind w:firstLine="480"/>
        <w:rPr>
          <w:rFonts w:hint="eastAsia" w:ascii="宋体" w:hAnsi="宋体" w:eastAsia="宋体" w:cs="宋体"/>
          <w:sz w:val="24"/>
          <w:lang w:eastAsia="zh-CN"/>
        </w:rPr>
      </w:pPr>
      <w:r>
        <w:rPr>
          <w:rFonts w:hint="eastAsia" w:ascii="宋体" w:hAnsi="宋体" w:cs="宋体"/>
          <w:sz w:val="24"/>
        </w:rPr>
        <w:t>（2）集群设备硬件易坏部件应建立现场备件库（详见下表），确保快速更换。硬件故障恢复要求7*24小时覆盖，实时响应</w:t>
      </w:r>
      <w:r>
        <w:rPr>
          <w:rFonts w:hint="eastAsia" w:ascii="宋体" w:hAnsi="宋体" w:cs="宋体"/>
          <w:sz w:val="24"/>
          <w:lang w:eastAsia="zh-CN"/>
        </w:rPr>
        <w:t>，</w:t>
      </w:r>
      <w:r>
        <w:rPr>
          <w:rFonts w:hint="eastAsia" w:ascii="宋体" w:hAnsi="宋体" w:cs="宋体"/>
          <w:sz w:val="24"/>
          <w:lang w:val="en-US" w:eastAsia="zh-CN"/>
        </w:rPr>
        <w:t>备件库存放单个</w:t>
      </w:r>
      <w:r>
        <w:rPr>
          <w:rFonts w:hint="eastAsia" w:ascii="宋体" w:hAnsi="宋体" w:cs="宋体"/>
          <w:sz w:val="24"/>
          <w:lang w:eastAsia="zh-CN"/>
        </w:rPr>
        <w:t>产品型号</w:t>
      </w:r>
      <w:r>
        <w:rPr>
          <w:rFonts w:hint="eastAsia" w:ascii="宋体" w:hAnsi="宋体" w:cs="宋体"/>
          <w:sz w:val="24"/>
          <w:lang w:val="en-US" w:eastAsia="zh-CN"/>
        </w:rPr>
        <w:t>备件需大于等于一件，不足一件的</w:t>
      </w:r>
      <w:r>
        <w:rPr>
          <w:rFonts w:hint="eastAsia" w:ascii="宋体" w:hAnsi="宋体" w:cs="宋体"/>
          <w:sz w:val="24"/>
          <w:szCs w:val="24"/>
        </w:rPr>
        <w:t>备件</w:t>
      </w:r>
      <w:r>
        <w:rPr>
          <w:rFonts w:hint="eastAsia" w:ascii="宋体" w:hAnsi="宋体" w:cs="宋体"/>
          <w:sz w:val="24"/>
          <w:szCs w:val="24"/>
          <w:lang w:eastAsia="zh-CN"/>
        </w:rPr>
        <w:t>（</w:t>
      </w:r>
      <w:r>
        <w:rPr>
          <w:rFonts w:hint="eastAsia" w:ascii="宋体" w:hAnsi="宋体" w:cs="宋体"/>
          <w:b w:val="0"/>
          <w:sz w:val="24"/>
          <w:szCs w:val="24"/>
        </w:rPr>
        <w:t>除GPU服务器和显卡外</w:t>
      </w:r>
      <w:r>
        <w:rPr>
          <w:rFonts w:hint="eastAsia" w:ascii="宋体" w:hAnsi="宋体" w:cs="宋体"/>
          <w:b w:val="0"/>
          <w:sz w:val="24"/>
          <w:szCs w:val="24"/>
          <w:lang w:eastAsia="zh-CN"/>
        </w:rPr>
        <w:t>）</w:t>
      </w:r>
      <w:r>
        <w:rPr>
          <w:rFonts w:hint="eastAsia" w:ascii="宋体" w:hAnsi="宋体" w:cs="宋体"/>
          <w:b w:val="0"/>
          <w:sz w:val="24"/>
          <w:szCs w:val="24"/>
          <w:lang w:val="en-US" w:eastAsia="zh-CN"/>
        </w:rPr>
        <w:t>需4</w:t>
      </w:r>
      <w:r>
        <w:rPr>
          <w:rFonts w:hint="eastAsia" w:ascii="宋体" w:hAnsi="宋体" w:cs="宋体"/>
          <w:sz w:val="24"/>
          <w:szCs w:val="24"/>
        </w:rPr>
        <w:t>小时内到现场</w:t>
      </w:r>
      <w:r>
        <w:rPr>
          <w:rFonts w:hint="eastAsia" w:ascii="宋体" w:hAnsi="宋体" w:cs="宋体"/>
          <w:sz w:val="24"/>
          <w:szCs w:val="24"/>
          <w:lang w:eastAsia="zh-CN"/>
        </w:rPr>
        <w:t>。</w:t>
      </w:r>
    </w:p>
    <w:p w14:paraId="2B4D8F95">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（3）原则上备品备件型号需与现有在用设备型号严格对应配套，确保兼容性及功能一致性</w:t>
      </w:r>
      <w:r>
        <w:rPr>
          <w:rFonts w:hint="eastAsia" w:ascii="宋体" w:hAnsi="宋体" w:cs="宋体"/>
          <w:sz w:val="24"/>
          <w:lang w:eastAsia="zh-CN"/>
        </w:rPr>
        <w:t>（</w:t>
      </w:r>
      <w:r>
        <w:rPr>
          <w:rFonts w:hint="eastAsia" w:ascii="宋体" w:hAnsi="宋体" w:cs="宋体"/>
          <w:sz w:val="24"/>
          <w:lang w:val="en-US" w:eastAsia="zh-CN"/>
        </w:rPr>
        <w:t>详见下表</w:t>
      </w:r>
      <w:r>
        <w:rPr>
          <w:rFonts w:hint="eastAsia" w:ascii="宋体" w:hAnsi="宋体" w:cs="宋体"/>
          <w:sz w:val="24"/>
          <w:lang w:eastAsia="zh-CN"/>
        </w:rPr>
        <w:t>）</w:t>
      </w:r>
      <w:r>
        <w:rPr>
          <w:rFonts w:hint="eastAsia" w:ascii="宋体" w:hAnsi="宋体" w:cs="宋体"/>
          <w:sz w:val="24"/>
        </w:rPr>
        <w:t>。如有特殊情况（如原设备部件已停产、其他客观原因无法采购、不可抗力等情况），投标人应通知采购人，提供不降低性能且适配原设备的备件。</w:t>
      </w:r>
    </w:p>
    <w:p w14:paraId="1C69DF47">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（4）</w:t>
      </w:r>
      <w:bookmarkStart w:id="27" w:name="OLE_LINK4"/>
      <w:r>
        <w:rPr>
          <w:rFonts w:hint="eastAsia" w:ascii="宋体" w:hAnsi="宋体" w:cs="宋体"/>
          <w:sz w:val="24"/>
        </w:rPr>
        <w:t>备件资产产权归属投标人，投标人以备件支持的形式提供服务。如备件被使用，成为智算集群的一部分，对应资产产权归属转为采购人。</w:t>
      </w:r>
    </w:p>
    <w:bookmarkEnd w:id="27"/>
    <w:p w14:paraId="0D7FC39F">
      <w:pPr>
        <w:widowControl w:val="0"/>
        <w:autoSpaceDE w:val="0"/>
        <w:autoSpaceDN w:val="0"/>
        <w:adjustRightInd w:val="0"/>
        <w:snapToGrid w:val="0"/>
        <w:ind w:firstLine="0" w:firstLineChars="0"/>
        <w:jc w:val="center"/>
        <w:rPr>
          <w:rFonts w:hint="eastAsia" w:ascii="宋体" w:hAnsi="宋体" w:cs="宋体"/>
          <w:b/>
          <w:bCs/>
          <w:sz w:val="24"/>
        </w:rPr>
      </w:pPr>
      <w:r>
        <w:rPr>
          <w:rFonts w:hint="eastAsia" w:ascii="宋体" w:hAnsi="宋体" w:cs="宋体"/>
          <w:b/>
          <w:bCs/>
          <w:sz w:val="24"/>
        </w:rPr>
        <w:t>备品备件支持服务要求</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59"/>
        <w:gridCol w:w="2016"/>
        <w:gridCol w:w="2869"/>
        <w:gridCol w:w="1656"/>
      </w:tblGrid>
      <w:tr w14:paraId="628848D1">
        <w:tblPrEx>
          <w:tblCellMar>
            <w:top w:w="0" w:type="dxa"/>
            <w:left w:w="108" w:type="dxa"/>
            <w:bottom w:w="0" w:type="dxa"/>
            <w:right w:w="108" w:type="dxa"/>
          </w:tblCellMar>
        </w:tblPrEx>
        <w:trPr>
          <w:trHeight w:val="340" w:hRule="atLeast"/>
          <w:tblHeader/>
          <w:jc w:val="center"/>
        </w:trPr>
        <w:tc>
          <w:tcPr>
            <w:tcW w:w="0" w:type="auto"/>
            <w:shd w:val="clear" w:color="auto" w:fill="auto"/>
            <w:vAlign w:val="center"/>
          </w:tcPr>
          <w:p w14:paraId="41EC8E40">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0" w:type="auto"/>
            <w:shd w:val="clear" w:color="auto" w:fill="auto"/>
            <w:vAlign w:val="center"/>
          </w:tcPr>
          <w:p w14:paraId="40C66F6D">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2869" w:type="dxa"/>
            <w:shd w:val="clear" w:color="auto" w:fill="auto"/>
            <w:vAlign w:val="center"/>
          </w:tcPr>
          <w:p w14:paraId="30568112">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产品型号</w:t>
            </w:r>
          </w:p>
        </w:tc>
        <w:tc>
          <w:tcPr>
            <w:tcW w:w="0" w:type="auto"/>
            <w:vAlign w:val="center"/>
          </w:tcPr>
          <w:p w14:paraId="185CEABF">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备件支持要求</w:t>
            </w:r>
          </w:p>
        </w:tc>
      </w:tr>
      <w:tr w14:paraId="715DD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FC3ADCB">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（一）</w:t>
            </w:r>
          </w:p>
        </w:tc>
        <w:tc>
          <w:tcPr>
            <w:tcW w:w="0" w:type="auto"/>
            <w:shd w:val="clear" w:color="auto" w:fill="auto"/>
            <w:vAlign w:val="center"/>
          </w:tcPr>
          <w:p w14:paraId="466BB66C">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服务器</w:t>
            </w:r>
          </w:p>
        </w:tc>
        <w:tc>
          <w:tcPr>
            <w:tcW w:w="2869" w:type="dxa"/>
            <w:shd w:val="clear" w:color="auto" w:fill="auto"/>
            <w:vAlign w:val="center"/>
          </w:tcPr>
          <w:p w14:paraId="410C6D37">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0" w:type="auto"/>
            <w:vAlign w:val="center"/>
          </w:tcPr>
          <w:p w14:paraId="66B6EBFF">
            <w:pPr>
              <w:spacing w:line="240" w:lineRule="auto"/>
              <w:ind w:firstLine="0" w:firstLineChars="0"/>
              <w:jc w:val="left"/>
              <w:rPr>
                <w:rFonts w:hint="eastAsia" w:ascii="宋体" w:hAnsi="宋体" w:cs="宋体"/>
                <w:b/>
                <w:bCs/>
                <w:color w:val="000000"/>
                <w:kern w:val="0"/>
                <w:sz w:val="18"/>
                <w:szCs w:val="18"/>
              </w:rPr>
            </w:pPr>
          </w:p>
        </w:tc>
      </w:tr>
      <w:tr w14:paraId="2A91B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6633922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14:paraId="17A12514">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并行文件存储服务器</w:t>
            </w:r>
          </w:p>
        </w:tc>
        <w:tc>
          <w:tcPr>
            <w:tcW w:w="2869" w:type="dxa"/>
            <w:shd w:val="clear" w:color="auto" w:fill="auto"/>
            <w:vAlign w:val="center"/>
          </w:tcPr>
          <w:p w14:paraId="33DB99A0">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浪潮/AS13000G7</w:t>
            </w:r>
          </w:p>
        </w:tc>
        <w:tc>
          <w:tcPr>
            <w:tcW w:w="0" w:type="auto"/>
            <w:vAlign w:val="center"/>
          </w:tcPr>
          <w:p w14:paraId="787110B7">
            <w:pPr>
              <w:spacing w:line="240" w:lineRule="auto"/>
              <w:ind w:firstLine="0" w:firstLineChars="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提供备件支持服务</w:t>
            </w:r>
          </w:p>
        </w:tc>
      </w:tr>
      <w:tr w14:paraId="546E6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226D77F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14:paraId="6CE9CA7C">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对象存储服务器</w:t>
            </w:r>
          </w:p>
        </w:tc>
        <w:tc>
          <w:tcPr>
            <w:tcW w:w="2869" w:type="dxa"/>
            <w:shd w:val="clear" w:color="auto" w:fill="auto"/>
            <w:vAlign w:val="center"/>
          </w:tcPr>
          <w:p w14:paraId="36872E5E">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华为/OceanStor Pacific 9540</w:t>
            </w:r>
          </w:p>
        </w:tc>
        <w:tc>
          <w:tcPr>
            <w:tcW w:w="0" w:type="auto"/>
            <w:vAlign w:val="center"/>
          </w:tcPr>
          <w:p w14:paraId="630B94F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2E666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249031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14:paraId="6FF819B5">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通用计算服务器</w:t>
            </w:r>
          </w:p>
        </w:tc>
        <w:tc>
          <w:tcPr>
            <w:tcW w:w="2869" w:type="dxa"/>
            <w:shd w:val="clear" w:color="auto" w:fill="auto"/>
            <w:vAlign w:val="center"/>
          </w:tcPr>
          <w:p w14:paraId="66CB1B22">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超聚变/FusionServer2288H V6</w:t>
            </w:r>
          </w:p>
        </w:tc>
        <w:tc>
          <w:tcPr>
            <w:tcW w:w="0" w:type="auto"/>
            <w:vAlign w:val="center"/>
          </w:tcPr>
          <w:p w14:paraId="191DD6F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4F6FA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7973D91">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44</w:t>
            </w:r>
          </w:p>
        </w:tc>
        <w:tc>
          <w:tcPr>
            <w:tcW w:w="0" w:type="auto"/>
            <w:shd w:val="clear" w:color="auto" w:fill="auto"/>
            <w:vAlign w:val="center"/>
          </w:tcPr>
          <w:p w14:paraId="640A4531">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IB网络监控服务器</w:t>
            </w:r>
          </w:p>
        </w:tc>
        <w:tc>
          <w:tcPr>
            <w:tcW w:w="2869" w:type="dxa"/>
            <w:shd w:val="clear" w:color="auto" w:fill="auto"/>
            <w:vAlign w:val="center"/>
          </w:tcPr>
          <w:p w14:paraId="2B9A0B99">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浪潮/NF5280M6</w:t>
            </w:r>
          </w:p>
        </w:tc>
        <w:tc>
          <w:tcPr>
            <w:tcW w:w="0" w:type="auto"/>
            <w:vAlign w:val="center"/>
          </w:tcPr>
          <w:p w14:paraId="3AFA243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124D9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32E04B39">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（二）</w:t>
            </w:r>
          </w:p>
        </w:tc>
        <w:tc>
          <w:tcPr>
            <w:tcW w:w="0" w:type="auto"/>
            <w:shd w:val="clear" w:color="auto" w:fill="auto"/>
            <w:vAlign w:val="center"/>
          </w:tcPr>
          <w:p w14:paraId="0BD1A4C9">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网络设备</w:t>
            </w:r>
          </w:p>
        </w:tc>
        <w:tc>
          <w:tcPr>
            <w:tcW w:w="2869" w:type="dxa"/>
            <w:shd w:val="clear" w:color="auto" w:fill="auto"/>
            <w:vAlign w:val="center"/>
          </w:tcPr>
          <w:p w14:paraId="3E3C89A0">
            <w:pPr>
              <w:spacing w:line="240" w:lineRule="auto"/>
              <w:ind w:firstLine="0" w:firstLineChars="0"/>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0" w:type="auto"/>
            <w:vAlign w:val="center"/>
          </w:tcPr>
          <w:p w14:paraId="198530E1">
            <w:pPr>
              <w:spacing w:line="240" w:lineRule="auto"/>
              <w:ind w:firstLine="0" w:firstLineChars="0"/>
              <w:jc w:val="left"/>
              <w:rPr>
                <w:rFonts w:hint="eastAsia" w:ascii="宋体" w:hAnsi="宋体" w:cs="宋体"/>
                <w:b/>
                <w:bCs/>
                <w:color w:val="000000"/>
                <w:kern w:val="0"/>
                <w:sz w:val="18"/>
                <w:szCs w:val="18"/>
              </w:rPr>
            </w:pPr>
          </w:p>
        </w:tc>
      </w:tr>
      <w:tr w14:paraId="258F9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746D8261">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14:paraId="476A7CCD">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IB交换机</w:t>
            </w:r>
          </w:p>
        </w:tc>
        <w:tc>
          <w:tcPr>
            <w:tcW w:w="2869" w:type="dxa"/>
            <w:shd w:val="clear" w:color="auto" w:fill="auto"/>
            <w:vAlign w:val="center"/>
          </w:tcPr>
          <w:p w14:paraId="01A0B759">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英伟达（mellanox）/MQM9790-NS2F</w:t>
            </w:r>
          </w:p>
        </w:tc>
        <w:tc>
          <w:tcPr>
            <w:tcW w:w="0" w:type="auto"/>
            <w:vAlign w:val="center"/>
          </w:tcPr>
          <w:p w14:paraId="15313627">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30549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5D26C16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14:paraId="1875F0B1">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800G光模块（多模）</w:t>
            </w:r>
          </w:p>
        </w:tc>
        <w:tc>
          <w:tcPr>
            <w:tcW w:w="2869" w:type="dxa"/>
            <w:shd w:val="clear" w:color="auto" w:fill="auto"/>
            <w:vAlign w:val="center"/>
          </w:tcPr>
          <w:p w14:paraId="60502CA8">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纳多德/OSFP-800G-2xSR4H</w:t>
            </w:r>
          </w:p>
        </w:tc>
        <w:tc>
          <w:tcPr>
            <w:tcW w:w="0" w:type="auto"/>
            <w:vAlign w:val="center"/>
          </w:tcPr>
          <w:p w14:paraId="6A822E4F">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1A69A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2A8D118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14:paraId="3953187D">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400G光模块（多模）</w:t>
            </w:r>
          </w:p>
        </w:tc>
        <w:tc>
          <w:tcPr>
            <w:tcW w:w="2869" w:type="dxa"/>
            <w:shd w:val="clear" w:color="auto" w:fill="auto"/>
            <w:vAlign w:val="center"/>
          </w:tcPr>
          <w:p w14:paraId="495D4D46">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纳多德/OSFP-400G-SR4H</w:t>
            </w:r>
          </w:p>
        </w:tc>
        <w:tc>
          <w:tcPr>
            <w:tcW w:w="0" w:type="auto"/>
            <w:vAlign w:val="center"/>
          </w:tcPr>
          <w:p w14:paraId="427A1159">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78D08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0" w:type="auto"/>
            <w:shd w:val="clear" w:color="auto" w:fill="auto"/>
            <w:vAlign w:val="center"/>
          </w:tcPr>
          <w:p w14:paraId="7F4A1425">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14:paraId="7DA9410D">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400G一分二AOC（IB）</w:t>
            </w:r>
          </w:p>
        </w:tc>
        <w:tc>
          <w:tcPr>
            <w:tcW w:w="2869" w:type="dxa"/>
            <w:shd w:val="clear" w:color="auto" w:fill="auto"/>
            <w:vAlign w:val="center"/>
          </w:tcPr>
          <w:p w14:paraId="5C895300">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纳多德/o2q56-400g-aoch</w:t>
            </w:r>
          </w:p>
        </w:tc>
        <w:tc>
          <w:tcPr>
            <w:tcW w:w="0" w:type="auto"/>
            <w:vAlign w:val="center"/>
          </w:tcPr>
          <w:p w14:paraId="0952D66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47509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477A7C2E">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14:paraId="47430FA9">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MPO线缆</w:t>
            </w:r>
          </w:p>
        </w:tc>
        <w:tc>
          <w:tcPr>
            <w:tcW w:w="2869" w:type="dxa"/>
            <w:shd w:val="clear" w:color="auto" w:fill="auto"/>
            <w:vAlign w:val="center"/>
          </w:tcPr>
          <w:p w14:paraId="0981F340">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纳多德/m4mpoa12fb</w:t>
            </w:r>
          </w:p>
        </w:tc>
        <w:tc>
          <w:tcPr>
            <w:tcW w:w="0" w:type="auto"/>
            <w:vAlign w:val="center"/>
          </w:tcPr>
          <w:p w14:paraId="656D72A7">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7C002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7AFEBDF2">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0" w:type="auto"/>
            <w:shd w:val="clear" w:color="auto" w:fill="auto"/>
            <w:vAlign w:val="center"/>
          </w:tcPr>
          <w:p w14:paraId="7A6809D6">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核心交换机</w:t>
            </w:r>
          </w:p>
        </w:tc>
        <w:tc>
          <w:tcPr>
            <w:tcW w:w="2869" w:type="dxa"/>
            <w:shd w:val="clear" w:color="auto" w:fill="auto"/>
            <w:vAlign w:val="center"/>
          </w:tcPr>
          <w:p w14:paraId="608982B2">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16808</w:t>
            </w:r>
          </w:p>
        </w:tc>
        <w:tc>
          <w:tcPr>
            <w:tcW w:w="0" w:type="auto"/>
            <w:vAlign w:val="center"/>
          </w:tcPr>
          <w:p w14:paraId="6A9BFEC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5EA44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724F71C7">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0" w:type="auto"/>
            <w:shd w:val="clear" w:color="auto" w:fill="auto"/>
            <w:vAlign w:val="center"/>
          </w:tcPr>
          <w:p w14:paraId="162F7438">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IPMI交换机</w:t>
            </w:r>
          </w:p>
        </w:tc>
        <w:tc>
          <w:tcPr>
            <w:tcW w:w="2869" w:type="dxa"/>
            <w:shd w:val="clear" w:color="auto" w:fill="auto"/>
            <w:vAlign w:val="center"/>
          </w:tcPr>
          <w:p w14:paraId="3C268377">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S5731-H48T4XC</w:t>
            </w:r>
          </w:p>
        </w:tc>
        <w:tc>
          <w:tcPr>
            <w:tcW w:w="0" w:type="auto"/>
            <w:vAlign w:val="center"/>
          </w:tcPr>
          <w:p w14:paraId="71872F39">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70C54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70534AE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0" w:type="auto"/>
            <w:shd w:val="clear" w:color="auto" w:fill="auto"/>
            <w:vAlign w:val="center"/>
          </w:tcPr>
          <w:p w14:paraId="1926C96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业务交换机</w:t>
            </w:r>
          </w:p>
        </w:tc>
        <w:tc>
          <w:tcPr>
            <w:tcW w:w="2869" w:type="dxa"/>
            <w:shd w:val="clear" w:color="auto" w:fill="auto"/>
            <w:noWrap/>
            <w:vAlign w:val="center"/>
          </w:tcPr>
          <w:p w14:paraId="117E8458">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6865E-48S8CQ</w:t>
            </w:r>
          </w:p>
        </w:tc>
        <w:tc>
          <w:tcPr>
            <w:tcW w:w="0" w:type="auto"/>
            <w:vAlign w:val="center"/>
          </w:tcPr>
          <w:p w14:paraId="25843648">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5BB9C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54B89B6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0" w:type="auto"/>
            <w:shd w:val="clear" w:color="auto" w:fill="auto"/>
            <w:vAlign w:val="center"/>
          </w:tcPr>
          <w:p w14:paraId="0109D725">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对象存储交换机</w:t>
            </w:r>
          </w:p>
        </w:tc>
        <w:tc>
          <w:tcPr>
            <w:tcW w:w="2869" w:type="dxa"/>
            <w:shd w:val="clear" w:color="auto" w:fill="auto"/>
            <w:noWrap/>
            <w:vAlign w:val="center"/>
          </w:tcPr>
          <w:p w14:paraId="7300BC6C">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6865E-48S8CQ</w:t>
            </w:r>
          </w:p>
        </w:tc>
        <w:tc>
          <w:tcPr>
            <w:tcW w:w="0" w:type="auto"/>
            <w:vAlign w:val="center"/>
          </w:tcPr>
          <w:p w14:paraId="358EF3DA">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6DE24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6E73FF56">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shd w:val="clear" w:color="auto" w:fill="auto"/>
            <w:vAlign w:val="center"/>
          </w:tcPr>
          <w:p w14:paraId="01739D3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安全接入交换机</w:t>
            </w:r>
          </w:p>
        </w:tc>
        <w:tc>
          <w:tcPr>
            <w:tcW w:w="2869" w:type="dxa"/>
            <w:shd w:val="clear" w:color="auto" w:fill="auto"/>
            <w:noWrap/>
            <w:vAlign w:val="center"/>
          </w:tcPr>
          <w:p w14:paraId="434120CA">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6857F-48S6CQ</w:t>
            </w:r>
          </w:p>
        </w:tc>
        <w:tc>
          <w:tcPr>
            <w:tcW w:w="0" w:type="auto"/>
            <w:vAlign w:val="center"/>
          </w:tcPr>
          <w:p w14:paraId="1443CECD">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0C146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23186685">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0" w:type="auto"/>
            <w:shd w:val="clear" w:color="auto" w:fill="auto"/>
            <w:vAlign w:val="center"/>
          </w:tcPr>
          <w:p w14:paraId="06E3C7C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公网接入路由器</w:t>
            </w:r>
          </w:p>
        </w:tc>
        <w:tc>
          <w:tcPr>
            <w:tcW w:w="2869" w:type="dxa"/>
            <w:shd w:val="clear" w:color="auto" w:fill="auto"/>
            <w:vAlign w:val="center"/>
          </w:tcPr>
          <w:p w14:paraId="3824AE35">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华为/NetEngine 8000 M14</w:t>
            </w:r>
          </w:p>
        </w:tc>
        <w:tc>
          <w:tcPr>
            <w:tcW w:w="0" w:type="auto"/>
            <w:vAlign w:val="center"/>
          </w:tcPr>
          <w:p w14:paraId="7A4A7C30">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6D740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31F9EE6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0" w:type="auto"/>
            <w:shd w:val="clear" w:color="auto" w:fill="auto"/>
            <w:vAlign w:val="center"/>
          </w:tcPr>
          <w:p w14:paraId="0B59E584">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100G单模模块</w:t>
            </w:r>
          </w:p>
        </w:tc>
        <w:tc>
          <w:tcPr>
            <w:tcW w:w="2869" w:type="dxa"/>
            <w:shd w:val="clear" w:color="auto" w:fill="auto"/>
            <w:vAlign w:val="center"/>
          </w:tcPr>
          <w:p w14:paraId="0D12ABFA">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华为/QSFP28-100G-LR4</w:t>
            </w:r>
          </w:p>
        </w:tc>
        <w:tc>
          <w:tcPr>
            <w:tcW w:w="0" w:type="auto"/>
            <w:vAlign w:val="center"/>
          </w:tcPr>
          <w:p w14:paraId="6530C848">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4EEEE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7EB4933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0" w:type="auto"/>
            <w:shd w:val="clear" w:color="auto" w:fill="auto"/>
            <w:vAlign w:val="center"/>
          </w:tcPr>
          <w:p w14:paraId="62E7599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25G多模模块</w:t>
            </w:r>
          </w:p>
        </w:tc>
        <w:tc>
          <w:tcPr>
            <w:tcW w:w="2869" w:type="dxa"/>
            <w:shd w:val="clear" w:color="auto" w:fill="auto"/>
            <w:vAlign w:val="center"/>
          </w:tcPr>
          <w:p w14:paraId="58E08563">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华为/SFP-25G-SR</w:t>
            </w:r>
          </w:p>
        </w:tc>
        <w:tc>
          <w:tcPr>
            <w:tcW w:w="0" w:type="auto"/>
            <w:vAlign w:val="center"/>
          </w:tcPr>
          <w:p w14:paraId="6236FFD6">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0C4FD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0050F099">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0" w:type="auto"/>
            <w:shd w:val="clear" w:color="auto" w:fill="auto"/>
            <w:vAlign w:val="center"/>
          </w:tcPr>
          <w:p w14:paraId="46EDBCEF">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10G单模模块</w:t>
            </w:r>
          </w:p>
        </w:tc>
        <w:tc>
          <w:tcPr>
            <w:tcW w:w="2869" w:type="dxa"/>
            <w:shd w:val="clear" w:color="auto" w:fill="auto"/>
            <w:vAlign w:val="center"/>
          </w:tcPr>
          <w:p w14:paraId="4E1BD5AD">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华为/SFP-10G-LR</w:t>
            </w:r>
          </w:p>
        </w:tc>
        <w:tc>
          <w:tcPr>
            <w:tcW w:w="0" w:type="auto"/>
            <w:vAlign w:val="center"/>
          </w:tcPr>
          <w:p w14:paraId="3076AE2B">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75514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5F9863A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0" w:type="auto"/>
            <w:shd w:val="clear" w:color="auto" w:fill="auto"/>
            <w:vAlign w:val="center"/>
          </w:tcPr>
          <w:p w14:paraId="5C498E82">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专线接入交换机</w:t>
            </w:r>
          </w:p>
        </w:tc>
        <w:tc>
          <w:tcPr>
            <w:tcW w:w="2869" w:type="dxa"/>
            <w:shd w:val="clear" w:color="auto" w:fill="auto"/>
            <w:vAlign w:val="center"/>
          </w:tcPr>
          <w:p w14:paraId="7563DBF6">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华为/CloudEngine 6857F-48S6CQ</w:t>
            </w:r>
          </w:p>
        </w:tc>
        <w:tc>
          <w:tcPr>
            <w:tcW w:w="0" w:type="auto"/>
            <w:vAlign w:val="center"/>
          </w:tcPr>
          <w:p w14:paraId="6ED2145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146F1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0BE5C618">
            <w:pPr>
              <w:spacing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（三）</w:t>
            </w:r>
          </w:p>
        </w:tc>
        <w:tc>
          <w:tcPr>
            <w:tcW w:w="0" w:type="auto"/>
            <w:shd w:val="clear" w:color="auto" w:fill="auto"/>
            <w:vAlign w:val="center"/>
          </w:tcPr>
          <w:p w14:paraId="23C6E33E">
            <w:pPr>
              <w:spacing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信息安全设备</w:t>
            </w:r>
          </w:p>
        </w:tc>
        <w:tc>
          <w:tcPr>
            <w:tcW w:w="2869" w:type="dxa"/>
            <w:shd w:val="clear" w:color="auto" w:fill="auto"/>
            <w:vAlign w:val="center"/>
          </w:tcPr>
          <w:p w14:paraId="0D776323">
            <w:pPr>
              <w:spacing w:line="240" w:lineRule="auto"/>
              <w:ind w:firstLine="0" w:firstLineChars="0"/>
              <w:rPr>
                <w:rFonts w:hint="eastAsia" w:ascii="宋体" w:hAnsi="宋体" w:cs="宋体"/>
                <w:b/>
                <w:bCs/>
                <w:color w:val="000000"/>
                <w:kern w:val="0"/>
                <w:sz w:val="18"/>
                <w:szCs w:val="18"/>
              </w:rPr>
            </w:pPr>
            <w:r>
              <w:rPr>
                <w:rFonts w:hint="eastAsia" w:ascii="宋体" w:hAnsi="宋体" w:cs="宋体"/>
                <w:b/>
                <w:bCs/>
                <w:color w:val="000000"/>
                <w:kern w:val="0"/>
                <w:sz w:val="18"/>
                <w:szCs w:val="18"/>
              </w:rPr>
              <w:t>　</w:t>
            </w:r>
          </w:p>
        </w:tc>
        <w:tc>
          <w:tcPr>
            <w:tcW w:w="0" w:type="auto"/>
            <w:vAlign w:val="center"/>
          </w:tcPr>
          <w:p w14:paraId="7C8CCEBC">
            <w:pPr>
              <w:spacing w:line="240" w:lineRule="auto"/>
              <w:ind w:firstLine="0" w:firstLineChars="0"/>
              <w:jc w:val="left"/>
              <w:rPr>
                <w:rFonts w:hint="eastAsia" w:ascii="宋体" w:hAnsi="宋体" w:cs="宋体"/>
                <w:b/>
                <w:bCs/>
                <w:color w:val="000000"/>
                <w:kern w:val="0"/>
                <w:sz w:val="18"/>
                <w:szCs w:val="18"/>
              </w:rPr>
            </w:pPr>
          </w:p>
        </w:tc>
      </w:tr>
      <w:tr w14:paraId="2CBE3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4B151F5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0" w:type="auto"/>
            <w:shd w:val="clear" w:color="auto" w:fill="auto"/>
            <w:vAlign w:val="center"/>
          </w:tcPr>
          <w:p w14:paraId="2C04FFBD">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堡垒机</w:t>
            </w:r>
          </w:p>
        </w:tc>
        <w:tc>
          <w:tcPr>
            <w:tcW w:w="2869" w:type="dxa"/>
            <w:shd w:val="clear" w:color="auto" w:fill="auto"/>
            <w:vAlign w:val="center"/>
          </w:tcPr>
          <w:p w14:paraId="46FE5054">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华为/UMA1520E</w:t>
            </w:r>
          </w:p>
        </w:tc>
        <w:tc>
          <w:tcPr>
            <w:tcW w:w="0" w:type="auto"/>
            <w:vAlign w:val="center"/>
          </w:tcPr>
          <w:p w14:paraId="70A34C30">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3AD6E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48AE3BA6">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0" w:type="auto"/>
            <w:shd w:val="clear" w:color="auto" w:fill="auto"/>
            <w:vAlign w:val="center"/>
          </w:tcPr>
          <w:p w14:paraId="6D97C78A">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互联网接入防火墙</w:t>
            </w:r>
          </w:p>
        </w:tc>
        <w:tc>
          <w:tcPr>
            <w:tcW w:w="2869" w:type="dxa"/>
            <w:shd w:val="clear" w:color="auto" w:fill="auto"/>
            <w:vAlign w:val="center"/>
          </w:tcPr>
          <w:p w14:paraId="4A536E7B">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华为/HiSecEngine USG6655F</w:t>
            </w:r>
          </w:p>
        </w:tc>
        <w:tc>
          <w:tcPr>
            <w:tcW w:w="0" w:type="auto"/>
            <w:vAlign w:val="center"/>
          </w:tcPr>
          <w:p w14:paraId="06B1EA5C">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45FD6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08683C87">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0" w:type="auto"/>
            <w:shd w:val="clear" w:color="auto" w:fill="auto"/>
            <w:vAlign w:val="center"/>
          </w:tcPr>
          <w:p w14:paraId="03AF9640">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WEB应用防火墙系统</w:t>
            </w:r>
          </w:p>
        </w:tc>
        <w:tc>
          <w:tcPr>
            <w:tcW w:w="2869" w:type="dxa"/>
            <w:shd w:val="clear" w:color="auto" w:fill="auto"/>
            <w:vAlign w:val="center"/>
          </w:tcPr>
          <w:p w14:paraId="746F9BD2">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绿盟/WAF-NX5-HD1700-HW</w:t>
            </w:r>
          </w:p>
        </w:tc>
        <w:tc>
          <w:tcPr>
            <w:tcW w:w="0" w:type="auto"/>
            <w:vAlign w:val="center"/>
          </w:tcPr>
          <w:p w14:paraId="1E883E77">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5B6E0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2E4E12EC">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0" w:type="auto"/>
            <w:shd w:val="clear" w:color="auto" w:fill="auto"/>
            <w:vAlign w:val="center"/>
          </w:tcPr>
          <w:p w14:paraId="192D1AF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漏洞扫描系统</w:t>
            </w:r>
          </w:p>
        </w:tc>
        <w:tc>
          <w:tcPr>
            <w:tcW w:w="2869" w:type="dxa"/>
            <w:shd w:val="clear" w:color="auto" w:fill="auto"/>
            <w:vAlign w:val="center"/>
          </w:tcPr>
          <w:p w14:paraId="2B74FFA8">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华为/VSCAN1508</w:t>
            </w:r>
          </w:p>
        </w:tc>
        <w:tc>
          <w:tcPr>
            <w:tcW w:w="0" w:type="auto"/>
            <w:vAlign w:val="center"/>
          </w:tcPr>
          <w:p w14:paraId="6FB60F21">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65C72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53C2EE3F">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0" w:type="auto"/>
            <w:shd w:val="clear" w:color="auto" w:fill="auto"/>
            <w:vAlign w:val="center"/>
          </w:tcPr>
          <w:p w14:paraId="0A5A72BF">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日志审计</w:t>
            </w:r>
          </w:p>
        </w:tc>
        <w:tc>
          <w:tcPr>
            <w:tcW w:w="2869" w:type="dxa"/>
            <w:shd w:val="clear" w:color="auto" w:fill="auto"/>
            <w:vAlign w:val="center"/>
          </w:tcPr>
          <w:p w14:paraId="3F87B149">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安恒/日志审计分析平台DAS-LOG-3500</w:t>
            </w:r>
          </w:p>
        </w:tc>
        <w:tc>
          <w:tcPr>
            <w:tcW w:w="0" w:type="auto"/>
            <w:vAlign w:val="center"/>
          </w:tcPr>
          <w:p w14:paraId="2544D058">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4C715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1DA3EF33">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0" w:type="auto"/>
            <w:shd w:val="clear" w:color="auto" w:fill="auto"/>
            <w:vAlign w:val="center"/>
          </w:tcPr>
          <w:p w14:paraId="2F0D087B">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终端威胁防御系统</w:t>
            </w:r>
          </w:p>
        </w:tc>
        <w:tc>
          <w:tcPr>
            <w:tcW w:w="2869" w:type="dxa"/>
            <w:shd w:val="clear" w:color="auto" w:fill="auto"/>
            <w:vAlign w:val="center"/>
          </w:tcPr>
          <w:p w14:paraId="4DBDA457">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华为/乾坤终端防护与响应</w:t>
            </w:r>
          </w:p>
        </w:tc>
        <w:tc>
          <w:tcPr>
            <w:tcW w:w="0" w:type="auto"/>
            <w:vAlign w:val="center"/>
          </w:tcPr>
          <w:p w14:paraId="588F51A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3B012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4D07143A">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0" w:type="auto"/>
            <w:shd w:val="clear" w:color="auto" w:fill="auto"/>
            <w:vAlign w:val="center"/>
          </w:tcPr>
          <w:p w14:paraId="6CC61F4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数据库审计</w:t>
            </w:r>
          </w:p>
        </w:tc>
        <w:tc>
          <w:tcPr>
            <w:tcW w:w="2869" w:type="dxa"/>
            <w:shd w:val="clear" w:color="auto" w:fill="auto"/>
            <w:vAlign w:val="center"/>
          </w:tcPr>
          <w:p w14:paraId="03D054FE">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华为/DAS1580</w:t>
            </w:r>
          </w:p>
        </w:tc>
        <w:tc>
          <w:tcPr>
            <w:tcW w:w="0" w:type="auto"/>
            <w:vAlign w:val="center"/>
          </w:tcPr>
          <w:p w14:paraId="54A40EBE">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r w14:paraId="1296A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0" w:type="auto"/>
            <w:shd w:val="clear" w:color="auto" w:fill="auto"/>
            <w:vAlign w:val="center"/>
          </w:tcPr>
          <w:p w14:paraId="4C1BFC68">
            <w:pPr>
              <w:spacing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0" w:type="auto"/>
            <w:shd w:val="clear" w:color="auto" w:fill="auto"/>
            <w:vAlign w:val="center"/>
          </w:tcPr>
          <w:p w14:paraId="322421D5">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专线接入防火墙</w:t>
            </w:r>
          </w:p>
        </w:tc>
        <w:tc>
          <w:tcPr>
            <w:tcW w:w="2869" w:type="dxa"/>
            <w:shd w:val="clear" w:color="auto" w:fill="auto"/>
            <w:vAlign w:val="center"/>
          </w:tcPr>
          <w:p w14:paraId="3987C29E">
            <w:pPr>
              <w:spacing w:line="240" w:lineRule="auto"/>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华为/HiSecEngine USG6655F</w:t>
            </w:r>
          </w:p>
        </w:tc>
        <w:tc>
          <w:tcPr>
            <w:tcW w:w="0" w:type="auto"/>
            <w:vAlign w:val="center"/>
          </w:tcPr>
          <w:p w14:paraId="2B9DAB03">
            <w:pPr>
              <w:spacing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提供备件支持服务</w:t>
            </w:r>
          </w:p>
        </w:tc>
      </w:tr>
    </w:tbl>
    <w:p w14:paraId="02C7AD4C">
      <w:pPr>
        <w:widowControl w:val="0"/>
        <w:autoSpaceDE w:val="0"/>
        <w:autoSpaceDN w:val="0"/>
        <w:adjustRightInd w:val="0"/>
        <w:snapToGrid w:val="0"/>
        <w:ind w:firstLine="0" w:firstLineChars="0"/>
        <w:rPr>
          <w:rFonts w:hint="eastAsia" w:ascii="宋体" w:hAnsi="宋体" w:cs="宋体"/>
          <w:sz w:val="24"/>
        </w:rPr>
      </w:pPr>
    </w:p>
    <w:p w14:paraId="5DA2AAC5">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3、智算集群运维管理办法的制定和可信AIDC能力认证</w:t>
      </w:r>
    </w:p>
    <w:p w14:paraId="0A3DFAE7">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（1）智算集群运维管理办法的制定</w:t>
      </w:r>
    </w:p>
    <w:p w14:paraId="2B0FF86E">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①结合采购人实际情况以及集群所在数据中心园区管理要求，在服务期内，为采购人完成《智算集群运行维护管理办法》的编写，并获得采购人认可。</w:t>
      </w:r>
    </w:p>
    <w:p w14:paraId="2B342FDD">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②结合采购人实际情况、集群所在数据中心园区管理要求以及算力集群使用单位的合理要求，在服务期内，为采购人完成《智算集群应急处理预案》的编写，并获得采购人认可。</w:t>
      </w:r>
    </w:p>
    <w:p w14:paraId="37F3A3A3">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③结合采购人实际情况、集群所在数据中心园区管理要求、算力集群使用单位的常规要求以及相关行业标准和惯例，在服务期内，为采购人完成《智算集群信息安全管理办法》的编写，并获得采购人认可。</w:t>
      </w:r>
    </w:p>
    <w:p w14:paraId="5ADA9A67">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（2）协助</w:t>
      </w:r>
      <w:bookmarkStart w:id="28" w:name="_Hlk193114076"/>
      <w:r>
        <w:rPr>
          <w:rFonts w:hint="eastAsia" w:ascii="宋体" w:hAnsi="宋体" w:cs="宋体"/>
          <w:b/>
          <w:bCs/>
          <w:sz w:val="24"/>
        </w:rPr>
        <w:t>采购人</w:t>
      </w:r>
      <w:bookmarkEnd w:id="28"/>
      <w:bookmarkStart w:id="29" w:name="_Hlk193114084"/>
      <w:r>
        <w:rPr>
          <w:rFonts w:hint="eastAsia" w:ascii="宋体" w:hAnsi="宋体" w:cs="宋体"/>
          <w:b/>
          <w:bCs/>
          <w:sz w:val="24"/>
        </w:rPr>
        <w:t>获得</w:t>
      </w:r>
      <w:bookmarkStart w:id="30" w:name="_Hlk193113785"/>
      <w:r>
        <w:rPr>
          <w:rFonts w:hint="eastAsia" w:ascii="宋体" w:hAnsi="宋体" w:cs="宋体"/>
          <w:b/>
          <w:bCs/>
          <w:sz w:val="24"/>
        </w:rPr>
        <w:t>中国信息通信研究院的可信AIDC能力认证证书</w:t>
      </w:r>
      <w:bookmarkEnd w:id="30"/>
    </w:p>
    <w:bookmarkEnd w:id="29"/>
    <w:p w14:paraId="337A2EF9">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①能力评估申报材料准备：准备本算力集群申报中国信息通信研究院的可信AIDC能力认证的相关材料。</w:t>
      </w:r>
    </w:p>
    <w:p w14:paraId="6D185643">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②评估过程的技术支持服务：评估过程中，提供专人跟进，提供必要的技术支持服务。解答评估机构相关技术疑问。</w:t>
      </w:r>
    </w:p>
    <w:p w14:paraId="683764BE">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③评估证书的获取：服务期内，协助采购人获得中国信息通信研究院的可信AIDC能力认证证书。</w:t>
      </w:r>
    </w:p>
    <w:p w14:paraId="18BB6A0C">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④评估费用：投标人承担该证书申报所需的相关费用。</w:t>
      </w:r>
    </w:p>
    <w:p w14:paraId="4FD6FC9A">
      <w:pPr>
        <w:widowControl w:val="0"/>
        <w:autoSpaceDE w:val="0"/>
        <w:autoSpaceDN w:val="0"/>
        <w:adjustRightInd w:val="0"/>
        <w:snapToGrid w:val="0"/>
        <w:ind w:firstLine="480"/>
        <w:rPr>
          <w:rFonts w:hint="eastAsia" w:ascii="宋体" w:hAnsi="宋体" w:cs="宋体"/>
          <w:sz w:val="24"/>
        </w:rPr>
      </w:pPr>
    </w:p>
    <w:p w14:paraId="05253883">
      <w:pPr>
        <w:widowControl w:val="0"/>
        <w:autoSpaceDE w:val="0"/>
        <w:autoSpaceDN w:val="0"/>
        <w:adjustRightInd w:val="0"/>
        <w:snapToGrid w:val="0"/>
        <w:ind w:firstLine="482"/>
        <w:rPr>
          <w:rFonts w:hint="eastAsia" w:ascii="宋体" w:hAnsi="宋体" w:cs="宋体"/>
          <w:sz w:val="24"/>
        </w:rPr>
      </w:pPr>
      <w:r>
        <w:rPr>
          <w:rFonts w:hint="eastAsia" w:ascii="宋体" w:hAnsi="宋体" w:cs="宋体"/>
          <w:b/>
          <w:bCs/>
          <w:sz w:val="24"/>
        </w:rPr>
        <w:t>4、专线服务</w:t>
      </w:r>
    </w:p>
    <w:p w14:paraId="0E362939">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（1）集群互联网专线服务要求</w:t>
      </w:r>
    </w:p>
    <w:p w14:paraId="7728ABA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 xml:space="preserve">1）互联网专线带宽：2Gb/s； </w:t>
      </w:r>
    </w:p>
    <w:p w14:paraId="01659136">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2）支持线路主备冗余；</w:t>
      </w:r>
    </w:p>
    <w:p w14:paraId="199A640E">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3）提供24个独享的公网IP地址；</w:t>
      </w:r>
    </w:p>
    <w:p w14:paraId="5BD89CB8">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（2）贵安新区内两个数据中心之间300G的专线服务要求</w:t>
      </w:r>
    </w:p>
    <w:p w14:paraId="12964AF7">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1）专线带宽：3*100Gb/s，支持扩容；</w:t>
      </w:r>
    </w:p>
    <w:p w14:paraId="242C4DF1">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2）专线网关服务支持BGP、静态路由协议；</w:t>
      </w:r>
    </w:p>
    <w:p w14:paraId="7783752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3）专线网关支持接收1000条路由；</w:t>
      </w:r>
    </w:p>
    <w:p w14:paraId="19CCEC91">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4）专线网关支持默认路由、明细路由接收；</w:t>
      </w:r>
    </w:p>
    <w:p w14:paraId="3E798BC7">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5）专线具体起止端信息由采购人指定（起止端均在贵安新区范围内）</w:t>
      </w:r>
    </w:p>
    <w:p w14:paraId="7880B8F1">
      <w:pPr>
        <w:widowControl w:val="0"/>
        <w:autoSpaceDE w:val="0"/>
        <w:autoSpaceDN w:val="0"/>
        <w:adjustRightInd w:val="0"/>
        <w:snapToGrid w:val="0"/>
        <w:ind w:firstLine="480"/>
        <w:rPr>
          <w:rFonts w:hint="eastAsia" w:ascii="宋体" w:hAnsi="宋体" w:cs="宋体"/>
          <w:sz w:val="24"/>
        </w:rPr>
      </w:pPr>
      <w:bookmarkStart w:id="31" w:name="OLE_LINK6"/>
      <w:r>
        <w:rPr>
          <w:rFonts w:hint="eastAsia" w:ascii="宋体" w:hAnsi="宋体" w:cs="宋体"/>
          <w:sz w:val="24"/>
        </w:rPr>
        <w:t>6）合同签订后</w:t>
      </w:r>
      <w:r>
        <w:rPr>
          <w:rFonts w:hint="eastAsia" w:ascii="宋体" w:hAnsi="宋体" w:cs="宋体"/>
          <w:sz w:val="24"/>
          <w:lang w:val="en-US" w:eastAsia="zh-CN"/>
        </w:rPr>
        <w:t>5</w:t>
      </w:r>
      <w:r>
        <w:rPr>
          <w:rFonts w:hint="eastAsia" w:ascii="宋体" w:hAnsi="宋体" w:cs="宋体"/>
          <w:sz w:val="24"/>
        </w:rPr>
        <w:t>天内实现专线的开通。</w:t>
      </w:r>
    </w:p>
    <w:p w14:paraId="5580507D">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7）专线支持平滑扩容。</w:t>
      </w:r>
    </w:p>
    <w:p w14:paraId="63B099A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8）专线完工后，需配合采购人完成专线验收测试，若测试带宽达不到要求，乙方需进行整改。</w:t>
      </w:r>
    </w:p>
    <w:p w14:paraId="30C14D4C">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9）需提供7*24小时报障邮箱以及专职技术接口人，有明确事件升级机制，在内部进行升级，并通报给采购人。</w:t>
      </w:r>
    </w:p>
    <w:p w14:paraId="0108BD7A">
      <w:pPr>
        <w:widowControl w:val="0"/>
        <w:autoSpaceDE w:val="0"/>
        <w:autoSpaceDN w:val="0"/>
        <w:adjustRightInd w:val="0"/>
        <w:snapToGrid w:val="0"/>
        <w:ind w:firstLine="480"/>
        <w:rPr>
          <w:rFonts w:ascii="宋体" w:hAnsi="宋体" w:cs="宋体"/>
          <w:sz w:val="24"/>
        </w:rPr>
      </w:pPr>
      <w:r>
        <w:rPr>
          <w:rFonts w:hint="eastAsia" w:ascii="宋体" w:hAnsi="宋体" w:cs="宋体"/>
          <w:sz w:val="24"/>
        </w:rPr>
        <w:t>10）事故响应:严格按照采购人要求针对专线故障问题进行响应和解决。事故回溯机制:在故障恢复后，3-5个工作日内向采购人提供故障报告，内容包括但不限于:详细的故障发生的原因、故障产生的影响、后续的保障措施和明确的改进计划。</w:t>
      </w:r>
      <w:bookmarkEnd w:id="31"/>
    </w:p>
    <w:p w14:paraId="4209B439">
      <w:pPr>
        <w:widowControl w:val="0"/>
        <w:autoSpaceDE w:val="0"/>
        <w:autoSpaceDN w:val="0"/>
        <w:adjustRightInd w:val="0"/>
        <w:snapToGrid w:val="0"/>
        <w:ind w:firstLine="482"/>
        <w:rPr>
          <w:rFonts w:hint="eastAsia" w:ascii="宋体" w:hAnsi="宋体" w:cs="宋体"/>
          <w:b/>
          <w:bCs/>
          <w:sz w:val="24"/>
        </w:rPr>
      </w:pPr>
      <w:r>
        <w:rPr>
          <w:rFonts w:hint="eastAsia" w:ascii="宋体" w:hAnsi="宋体" w:cs="宋体"/>
          <w:b/>
          <w:bCs/>
          <w:sz w:val="24"/>
        </w:rPr>
        <w:t>5、算力资源池监控管理</w:t>
      </w:r>
      <w:bookmarkStart w:id="32" w:name="_Hlk193115436"/>
      <w:r>
        <w:rPr>
          <w:rFonts w:hint="eastAsia" w:ascii="宋体" w:hAnsi="宋体" w:cs="宋体"/>
          <w:b/>
          <w:bCs/>
          <w:sz w:val="24"/>
        </w:rPr>
        <w:t>大屏可视化软件</w:t>
      </w:r>
      <w:bookmarkEnd w:id="32"/>
      <w:r>
        <w:rPr>
          <w:rFonts w:hint="eastAsia" w:ascii="宋体" w:hAnsi="宋体" w:cs="宋体"/>
          <w:b/>
          <w:bCs/>
          <w:sz w:val="24"/>
        </w:rPr>
        <w:t>开发服务</w:t>
      </w:r>
    </w:p>
    <w:p w14:paraId="479DA27A">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（1）根据采购人要求，适配采购人的管理中心大屏，负责算力资源池监控管理大屏可视化软件的开发。</w:t>
      </w:r>
    </w:p>
    <w:p w14:paraId="070FE4A1">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（2）大屏可视化软件按甲方提供的条件，与智算集群已建设的相关平台对接和数据调取。</w:t>
      </w:r>
    </w:p>
    <w:p w14:paraId="4B3DFA78">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（3）服务期内，对重大节点大屏演示提供必要的技术支持。</w:t>
      </w:r>
    </w:p>
    <w:p w14:paraId="7EAAC0B4">
      <w:pPr>
        <w:widowControl w:val="0"/>
        <w:autoSpaceDE w:val="0"/>
        <w:autoSpaceDN w:val="0"/>
        <w:adjustRightInd w:val="0"/>
        <w:snapToGrid w:val="0"/>
        <w:ind w:firstLine="442"/>
        <w:rPr>
          <w:rFonts w:hint="eastAsia" w:ascii="宋体" w:hAnsi="宋体" w:cs="宋体"/>
          <w:b/>
          <w:bCs/>
          <w:sz w:val="22"/>
          <w:szCs w:val="22"/>
        </w:rPr>
      </w:pPr>
      <w:r>
        <w:rPr>
          <w:rFonts w:hint="eastAsia" w:ascii="宋体" w:hAnsi="宋体" w:cs="宋体"/>
          <w:b/>
          <w:bCs/>
          <w:sz w:val="22"/>
          <w:szCs w:val="22"/>
          <w:lang w:eastAsia="zh-CN"/>
        </w:rPr>
        <w:t>（三）</w:t>
      </w:r>
      <w:r>
        <w:rPr>
          <w:rFonts w:hint="eastAsia" w:ascii="宋体" w:hAnsi="宋体" w:cs="宋体"/>
          <w:b/>
          <w:bCs/>
          <w:sz w:val="22"/>
          <w:szCs w:val="22"/>
        </w:rPr>
        <w:t>服务验收内容及标准</w:t>
      </w:r>
    </w:p>
    <w:p w14:paraId="2A6F3204">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（1）采购人以采购项目的招标文件、投标文件、采购合同作为验收依据，按照采购合同的约定逐项核对技术、服务、安全标准的履约情况并确认；</w:t>
      </w:r>
    </w:p>
    <w:p w14:paraId="41E31459">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（2）本项目具体验收内容及标准：</w:t>
      </w:r>
    </w:p>
    <w:p w14:paraId="0C96AC17">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①根据采购人要求，提供项目期间所产生的文档材料，包括并不限于：巡检服务报告、故障处理记录表、系统升级记录表、合同要求的智算集群运维管理办法等材料，如有缺失或遗漏，则不予验收。</w:t>
      </w:r>
    </w:p>
    <w:p w14:paraId="2BFE5BB1">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②根据采购人要求，本项目验收期间需由采购人填写合同履约评价表，如评价表总体评价为差（60分以下），则不予验收。</w:t>
      </w:r>
    </w:p>
    <w:p w14:paraId="03956385">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③根据采购人要求，本项目验收期间需采购人填写合同履约评价表，如评价表中任意一条分项评价为差，则不予验收。如有不适用的分项，则不纳入验收标准。</w:t>
      </w:r>
    </w:p>
    <w:p w14:paraId="3004E51E">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④本项目验收时，如未出现以上任意一条不予验收情况，则验收通过，后续可进行款项支付；如有需补充说明的问题，则待中标人响应完成补充问题后方可进行款项支付；如出现以上任意一条不予验收情况，则本项目不予验收。验收不通过的，则中标人必须限期整改，完成整改后重新申请验收，并重新按照上述标准完成验收。</w:t>
      </w:r>
    </w:p>
    <w:p w14:paraId="62401B5F">
      <w:pPr>
        <w:widowControl w:val="0"/>
        <w:autoSpaceDE w:val="0"/>
        <w:autoSpaceDN w:val="0"/>
        <w:adjustRightInd w:val="0"/>
        <w:snapToGrid w:val="0"/>
        <w:ind w:firstLine="442"/>
        <w:rPr>
          <w:rFonts w:hint="eastAsia" w:ascii="宋体" w:hAnsi="宋体" w:cs="宋体"/>
          <w:b/>
          <w:bCs/>
          <w:sz w:val="22"/>
          <w:szCs w:val="22"/>
        </w:rPr>
      </w:pPr>
      <w:r>
        <w:rPr>
          <w:rFonts w:hint="eastAsia" w:ascii="宋体" w:hAnsi="宋体" w:cs="宋体"/>
          <w:b/>
          <w:bCs/>
          <w:sz w:val="22"/>
          <w:szCs w:val="22"/>
        </w:rPr>
        <w:t>4、保密要求</w:t>
      </w:r>
    </w:p>
    <w:p w14:paraId="6F116B63">
      <w:pPr>
        <w:widowControl w:val="0"/>
        <w:autoSpaceDE w:val="0"/>
        <w:autoSpaceDN w:val="0"/>
        <w:adjustRightInd w:val="0"/>
        <w:snapToGrid w:val="0"/>
        <w:ind w:firstLine="480"/>
        <w:rPr>
          <w:rFonts w:hint="eastAsia" w:ascii="宋体" w:hAnsi="宋体" w:cs="宋体"/>
          <w:sz w:val="24"/>
        </w:rPr>
      </w:pPr>
      <w:r>
        <w:rPr>
          <w:rFonts w:hint="eastAsia" w:ascii="宋体" w:hAnsi="宋体" w:cs="宋体"/>
          <w:sz w:val="24"/>
        </w:rPr>
        <w:t>采购人、中标人双方在采购和履行合同过程中所获悉的所有信息（包括但不限于智算集群设备信息、智算集群用户信息、各方合同信息、集群设备供应链信息、采购人算力运营定价等）都属于保密的内容，采购</w:t>
      </w:r>
      <w:r>
        <w:rPr>
          <w:rFonts w:hint="eastAsia" w:ascii="宋体" w:hAnsi="宋体" w:cs="宋体"/>
          <w:sz w:val="24"/>
          <w:lang w:eastAsia="zh-CN"/>
        </w:rPr>
        <w:t>人和</w:t>
      </w:r>
      <w:r>
        <w:rPr>
          <w:rFonts w:hint="eastAsia" w:ascii="宋体" w:hAnsi="宋体" w:cs="宋体"/>
          <w:sz w:val="24"/>
        </w:rPr>
        <w:t>中标人双方均有保密义务。</w:t>
      </w:r>
    </w:p>
    <w:p w14:paraId="38B2D6CF">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906272"/>
    </w:sdtPr>
    <w:sdtContent>
      <w:sdt>
        <w:sdtPr>
          <w:id w:val="1728636285"/>
        </w:sdtPr>
        <w:sdtContent>
          <w:p w14:paraId="594EF5B3">
            <w:pPr>
              <w:pStyle w:val="3"/>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sz w:val="24"/>
                <w:szCs w:val="24"/>
              </w:rPr>
              <w:t>0</w:t>
            </w:r>
            <w:r>
              <w:rPr>
                <w:b/>
                <w:bCs/>
                <w:sz w:val="24"/>
                <w:szCs w:val="24"/>
              </w:rPr>
              <w:fldChar w:fldCharType="end"/>
            </w:r>
          </w:p>
        </w:sdtContent>
      </w:sdt>
    </w:sdtContent>
  </w:sdt>
  <w:p w14:paraId="33F90E19">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8AB9">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F4AD">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2554">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680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BE54">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D1820"/>
    <w:multiLevelType w:val="singleLevel"/>
    <w:tmpl w:val="971D1820"/>
    <w:lvl w:ilvl="0" w:tentative="0">
      <w:start w:val="6"/>
      <w:numFmt w:val="decimal"/>
      <w:suff w:val="nothing"/>
      <w:lvlText w:val="%1）"/>
      <w:lvlJc w:val="left"/>
    </w:lvl>
  </w:abstractNum>
  <w:abstractNum w:abstractNumId="1">
    <w:nsid w:val="00F57810"/>
    <w:multiLevelType w:val="multilevel"/>
    <w:tmpl w:val="00F5781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945A0"/>
    <w:rsid w:val="70AF5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pPr>
    <w:rPr>
      <w:sz w:val="18"/>
      <w:szCs w:val="18"/>
    </w:rPr>
  </w:style>
  <w:style w:type="paragraph" w:styleId="4">
    <w:name w:val="header"/>
    <w:basedOn w:val="1"/>
    <w:unhideWhenUsed/>
    <w:qFormat/>
    <w:uiPriority w:val="99"/>
    <w:pPr>
      <w:tabs>
        <w:tab w:val="center" w:pos="4153"/>
        <w:tab w:val="right" w:pos="8306"/>
      </w:tabs>
      <w:snapToGrid w:val="0"/>
      <w:spacing w:line="240" w:lineRule="auto"/>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1952</Words>
  <Characters>2453</Characters>
  <Lines>0</Lines>
  <Paragraphs>0</Paragraphs>
  <TotalTime>2</TotalTime>
  <ScaleCrop>false</ScaleCrop>
  <LinksUpToDate>false</LinksUpToDate>
  <CharactersWithSpaces>2480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2025-04-17T06:24:00Z</dcterms:created>
  <dc:creator>Administrator</dc:creator>
  <cp:lastModifiedBy>JUMENG</cp:lastModifiedBy>
  <dcterms:modified xsi:type="dcterms:W3CDTF">2025-04-17T09:29:13Z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1D214EC2E54E453A9C2EF3C7E68D9662</vt:lpwstr>
  </property>
  <property fmtid="{D5CDD505-2E9C-101B-9397-08002B2CF9AE}" pid="4" name="KSOTemplateDocerSaveRecord">
    <vt:lpwstr>eyJoZGlkIjoiZjYxZTUyYjc1MzQwNWRmNjlmMWQyYmQ2NmM1M2U4MmMiLCJ1c2VySWQiOiIzNDgzNjI3NzMifQ==</vt:lpwstr>
  </property>
</Properties>
</file>