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54" w:firstLineChars="1300"/>
        <w:rPr>
          <w:rFonts w:ascii="宋体" w:hAnsi="宋体"/>
          <w:color w:val="FF0000"/>
          <w:szCs w:val="21"/>
        </w:rPr>
      </w:pPr>
      <w:r>
        <w:rPr>
          <w:rFonts w:hint="eastAsia" w:ascii="宋体" w:hAnsi="宋体" w:eastAsia="黑体"/>
          <w:b/>
          <w:bCs/>
          <w:color w:val="FF0000"/>
          <w:kern w:val="44"/>
          <w:sz w:val="28"/>
          <w:szCs w:val="44"/>
        </w:rPr>
        <w:t>特别警示条款</w:t>
      </w:r>
    </w:p>
    <w:p>
      <w:pPr>
        <w:pBdr>
          <w:top w:val="none" w:color="auto" w:sz="0" w:space="1"/>
          <w:left w:val="none" w:color="auto" w:sz="0" w:space="4"/>
          <w:bottom w:val="none" w:color="auto" w:sz="0" w:space="1"/>
          <w:right w:val="none" w:color="auto" w:sz="0" w:space="4"/>
        </w:pBdr>
        <w:spacing w:after="240" w:afterLines="100" w:line="400" w:lineRule="exact"/>
        <w:ind w:firstLine="421" w:firstLineChars="200"/>
        <w:rPr>
          <w:rFonts w:ascii="宋体" w:hAnsi="宋体" w:cs="宋体"/>
          <w:b/>
          <w:bCs/>
          <w:color w:val="FF0000"/>
          <w:szCs w:val="21"/>
          <w:highlight w:val="yellow"/>
        </w:rPr>
      </w:pPr>
      <w:r>
        <w:rPr>
          <w:rFonts w:hint="eastAsia" w:ascii="宋体" w:hAnsi="宋体" w:cs="宋体"/>
          <w:b/>
          <w:bCs/>
          <w:color w:val="FF0000"/>
          <w:szCs w:val="21"/>
          <w:highlight w:val="yellow"/>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序号</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b/>
                <w:bCs/>
                <w:color w:val="FF0000"/>
                <w:szCs w:val="21"/>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1</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与其他投标供应商的法定代表人、主要经营负责人、投标授权代表人、项目负责人、主要技术人员为</w:t>
            </w:r>
            <w:r>
              <w:rPr>
                <w:rFonts w:hint="eastAsia" w:ascii="宋体" w:hAnsi="宋体" w:cs="宋体"/>
                <w:b/>
                <w:bCs/>
                <w:color w:val="FF0000"/>
                <w:szCs w:val="21"/>
              </w:rPr>
              <w:t>同一人、属同一单位或者在同一单位缴纳社会保险</w:t>
            </w:r>
            <w:r>
              <w:rPr>
                <w:rFonts w:hint="eastAsia" w:ascii="宋体" w:hAnsi="宋体" w:cs="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2</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参与本项目政府采购活动时，与其他投标供应商存在单位负责人为</w:t>
            </w:r>
            <w:r>
              <w:rPr>
                <w:rFonts w:hint="eastAsia" w:ascii="宋体" w:hAnsi="宋体" w:cs="宋体"/>
                <w:b/>
                <w:bCs/>
                <w:color w:val="FF0000"/>
                <w:szCs w:val="21"/>
              </w:rPr>
              <w:t>同一人或直接控股、管理关系</w:t>
            </w:r>
            <w:r>
              <w:rPr>
                <w:rFonts w:hint="eastAsia" w:ascii="宋体" w:hAnsi="宋体" w:cs="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3</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与其他投标供应商的投标文件或部分投标文件</w:t>
            </w:r>
            <w:r>
              <w:rPr>
                <w:rFonts w:hint="eastAsia" w:ascii="宋体" w:hAnsi="宋体" w:cs="宋体"/>
                <w:b/>
                <w:bCs/>
                <w:color w:val="FF0000"/>
                <w:szCs w:val="21"/>
              </w:rPr>
              <w:t>相互混装或存在非正常一致</w:t>
            </w:r>
            <w:r>
              <w:rPr>
                <w:rFonts w:hint="eastAsia" w:ascii="宋体" w:hAnsi="宋体" w:cs="宋体"/>
                <w:color w:val="FF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4</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与其他投标供应商的投标文件由</w:t>
            </w:r>
            <w:r>
              <w:rPr>
                <w:rFonts w:hint="eastAsia" w:ascii="宋体" w:hAnsi="宋体" w:cs="宋体"/>
                <w:b/>
                <w:bCs/>
                <w:color w:val="FF0000"/>
                <w:szCs w:val="21"/>
              </w:rPr>
              <w:t>同一单位或者同一人编制</w:t>
            </w:r>
            <w:r>
              <w:rPr>
                <w:rFonts w:hint="eastAsia" w:ascii="宋体" w:hAnsi="宋体" w:cs="宋体"/>
                <w:color w:val="FF0000"/>
                <w:szCs w:val="21"/>
              </w:rPr>
              <w:t>，或者使用</w:t>
            </w:r>
            <w:r>
              <w:rPr>
                <w:rFonts w:hint="eastAsia" w:ascii="宋体" w:hAnsi="宋体" w:cs="宋体"/>
                <w:b/>
                <w:bCs/>
                <w:color w:val="FF0000"/>
                <w:szCs w:val="21"/>
              </w:rPr>
              <w:t>同一设备编制</w:t>
            </w:r>
            <w:r>
              <w:rPr>
                <w:rFonts w:hint="eastAsia" w:ascii="宋体" w:hAnsi="宋体" w:cs="宋体"/>
                <w:color w:val="FF0000"/>
                <w:szCs w:val="21"/>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5</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提供</w:t>
            </w:r>
            <w:r>
              <w:rPr>
                <w:rFonts w:hint="eastAsia" w:ascii="宋体" w:hAnsi="宋体" w:cs="宋体"/>
                <w:b/>
                <w:bCs/>
                <w:color w:val="FF0000"/>
                <w:szCs w:val="21"/>
              </w:rPr>
              <w:t>未经出具机构核实</w:t>
            </w:r>
            <w:r>
              <w:rPr>
                <w:rFonts w:hint="eastAsia" w:ascii="宋体" w:hAnsi="宋体" w:cs="宋体"/>
                <w:color w:val="FF0000"/>
                <w:szCs w:val="21"/>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center"/>
              <w:rPr>
                <w:rFonts w:ascii="宋体" w:hAnsi="宋体" w:cs="宋体"/>
                <w:color w:val="FF0000"/>
                <w:szCs w:val="21"/>
              </w:rPr>
            </w:pPr>
            <w:r>
              <w:rPr>
                <w:rFonts w:hint="eastAsia" w:ascii="宋体" w:hAnsi="宋体" w:cs="宋体"/>
                <w:color w:val="FF0000"/>
                <w:szCs w:val="21"/>
              </w:rPr>
              <w:t>6</w:t>
            </w:r>
          </w:p>
        </w:tc>
        <w:tc>
          <w:tcPr>
            <w:tcW w:w="7711" w:type="dxa"/>
            <w:tcBorders>
              <w:tl2br w:val="nil"/>
              <w:tr2bl w:val="nil"/>
            </w:tcBorders>
            <w:vAlign w:val="center"/>
          </w:tcPr>
          <w:p>
            <w:pPr>
              <w:pBdr>
                <w:top w:val="none" w:color="auto" w:sz="0" w:space="1"/>
                <w:left w:val="none" w:color="auto" w:sz="0" w:space="4"/>
                <w:bottom w:val="none" w:color="auto" w:sz="0" w:space="1"/>
                <w:right w:val="none" w:color="auto" w:sz="0" w:space="4"/>
              </w:pBdr>
              <w:spacing w:line="400" w:lineRule="exact"/>
              <w:jc w:val="left"/>
              <w:rPr>
                <w:rFonts w:ascii="宋体" w:hAnsi="宋体" w:cs="宋体"/>
                <w:color w:val="FF0000"/>
                <w:szCs w:val="21"/>
              </w:rPr>
            </w:pPr>
            <w:r>
              <w:rPr>
                <w:rFonts w:hint="eastAsia" w:ascii="宋体" w:hAnsi="宋体" w:cs="宋体"/>
                <w:color w:val="FF0000"/>
                <w:szCs w:val="21"/>
              </w:rPr>
              <w:t>擅自将投标密钥或电子营业执照出借他人使用或未妥善保管。</w:t>
            </w:r>
          </w:p>
        </w:tc>
      </w:tr>
    </w:tbl>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（一）在采购活动中应当回避而未回避的；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（三）隐瞒真实情况，提供虚假资料的；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（四）以非法手段排斥其他供应商参与竞争的；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（五）与其他采购参加人串通投标的；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（六）恶意投诉的；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（八）阻碍、抗拒主管部门监督检查的；</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（九）其他违反本条例规定的行为。</w:t>
      </w:r>
    </w:p>
    <w:p>
      <w:pPr>
        <w:pBdr>
          <w:top w:val="none" w:color="auto" w:sz="0" w:space="1"/>
          <w:left w:val="none" w:color="auto" w:sz="0" w:space="4"/>
          <w:bottom w:val="none" w:color="auto" w:sz="0" w:space="1"/>
          <w:right w:val="none" w:color="auto" w:sz="0" w:space="4"/>
        </w:pBdr>
        <w:ind w:firstLine="401" w:firstLineChars="200"/>
        <w:rPr>
          <w:rFonts w:ascii="宋体" w:hAnsi="宋体"/>
          <w:color w:val="FF0000"/>
          <w:sz w:val="20"/>
          <w:szCs w:val="20"/>
        </w:rPr>
      </w:pPr>
      <w:r>
        <w:rPr>
          <w:rFonts w:hint="eastAsia" w:ascii="宋体" w:hAnsi="宋体"/>
          <w:b/>
          <w:bCs/>
          <w:color w:val="FF0000"/>
          <w:sz w:val="20"/>
          <w:szCs w:val="20"/>
        </w:rPr>
        <w:t xml:space="preserve">二、《深圳经济特区政府采购条例实施细则》第七十五条 </w:t>
      </w:r>
      <w:r>
        <w:rPr>
          <w:rFonts w:hint="eastAsia" w:ascii="宋体" w:hAnsi="宋体"/>
          <w:color w:val="FF0000"/>
          <w:sz w:val="20"/>
          <w:szCs w:val="20"/>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pBdr>
          <w:top w:val="none" w:color="auto" w:sz="0" w:space="1"/>
          <w:left w:val="none" w:color="auto" w:sz="0" w:space="4"/>
          <w:bottom w:val="none" w:color="auto" w:sz="0" w:space="1"/>
          <w:right w:val="none" w:color="auto" w:sz="0" w:space="4"/>
        </w:pBdr>
        <w:ind w:firstLine="401" w:firstLineChars="200"/>
        <w:rPr>
          <w:rFonts w:ascii="宋体" w:hAnsi="宋体"/>
          <w:color w:val="FF0000"/>
          <w:sz w:val="20"/>
          <w:szCs w:val="20"/>
        </w:rPr>
      </w:pPr>
      <w:r>
        <w:rPr>
          <w:rFonts w:hint="eastAsia" w:ascii="宋体" w:hAnsi="宋体"/>
          <w:b/>
          <w:bCs/>
          <w:color w:val="FF0000"/>
          <w:sz w:val="20"/>
          <w:szCs w:val="20"/>
        </w:rPr>
        <w:t xml:space="preserve">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pBdr>
          <w:top w:val="none" w:color="auto" w:sz="0" w:space="1"/>
          <w:left w:val="none" w:color="auto" w:sz="0" w:space="4"/>
          <w:bottom w:val="none" w:color="auto" w:sz="0" w:space="1"/>
          <w:right w:val="none" w:color="auto" w:sz="0" w:space="4"/>
        </w:pBdr>
        <w:ind w:firstLine="400" w:firstLineChars="200"/>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四、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为避免出现不同供应商投标文件的文件制作机器码、文件创建标识码、IP地址一致的异常情况，建议各供应商编制、上传投标文件时不要使用公共电脑设备或公共网络。</w:t>
      </w:r>
    </w:p>
    <w:p>
      <w:pPr>
        <w:pBdr>
          <w:top w:val="none" w:color="auto" w:sz="0" w:space="1"/>
          <w:left w:val="none" w:color="auto" w:sz="0" w:space="4"/>
          <w:bottom w:val="none" w:color="auto" w:sz="0" w:space="1"/>
          <w:right w:val="none" w:color="auto" w:sz="0" w:space="4"/>
        </w:pBdr>
        <w:ind w:firstLine="400" w:firstLineChars="200"/>
        <w:rPr>
          <w:bCs/>
          <w:color w:val="FF0000"/>
          <w:sz w:val="20"/>
          <w:szCs w:val="20"/>
        </w:rPr>
      </w:pPr>
      <w:r>
        <w:rPr>
          <w:rFonts w:hint="eastAsia"/>
          <w:bCs/>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rPr>
        <w:t>、</w:t>
      </w:r>
      <w:r>
        <w:rPr>
          <w:rFonts w:hint="eastAsia" w:ascii="宋体" w:hAnsi="宋体"/>
          <w:color w:val="FF0000"/>
          <w:sz w:val="20"/>
          <w:szCs w:val="20"/>
        </w:rPr>
        <w:t>依法吊销其营业</w:t>
      </w:r>
      <w:r>
        <w:rPr>
          <w:rFonts w:hint="eastAsia" w:hAnsi="宋体"/>
          <w:color w:val="FF0000"/>
          <w:sz w:val="20"/>
          <w:szCs w:val="20"/>
        </w:rPr>
        <w:t>执照等行政处罚，</w:t>
      </w:r>
      <w:r>
        <w:rPr>
          <w:rFonts w:hint="eastAsia" w:ascii="宋体" w:hAnsi="宋体"/>
          <w:color w:val="FF0000"/>
          <w:sz w:val="20"/>
          <w:szCs w:val="20"/>
        </w:rPr>
        <w:t>构成犯罪的，依法追究刑事责任</w:t>
      </w:r>
      <w:r>
        <w:rPr>
          <w:rFonts w:hint="eastAsia"/>
          <w:bCs/>
          <w:color w:val="FF0000"/>
          <w:sz w:val="20"/>
          <w:szCs w:val="20"/>
        </w:rPr>
        <w:t>，请各供应商独立编制、上传投标文件，妥善保管和使用电子秘钥。</w:t>
      </w:r>
    </w:p>
    <w:p>
      <w:pPr>
        <w:pBdr>
          <w:top w:val="none" w:color="auto" w:sz="0" w:space="1"/>
          <w:left w:val="none" w:color="auto" w:sz="0" w:space="4"/>
          <w:bottom w:val="none" w:color="auto" w:sz="0" w:space="1"/>
          <w:right w:val="none" w:color="auto" w:sz="0" w:space="4"/>
        </w:pBdr>
        <w:ind w:firstLine="421" w:firstLineChars="200"/>
      </w:pPr>
      <w:r>
        <w:rPr>
          <w:rFonts w:hint="eastAsia"/>
          <w:b/>
          <w:color w:val="FF0000"/>
        </w:rPr>
        <w:t>五、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pPr>
        <w:pStyle w:val="193"/>
        <w:pBdr>
          <w:top w:val="none" w:color="auto" w:sz="0" w:space="1"/>
          <w:left w:val="none" w:color="auto" w:sz="0" w:space="4"/>
          <w:bottom w:val="none" w:color="auto" w:sz="0" w:space="1"/>
          <w:right w:val="none" w:color="auto" w:sz="0" w:space="4"/>
        </w:pBdr>
        <w:rPr>
          <w:bCs/>
          <w:color w:val="FF0000"/>
          <w:sz w:val="20"/>
          <w:szCs w:val="20"/>
        </w:rPr>
      </w:pPr>
    </w:p>
    <w:p>
      <w:pPr>
        <w:widowControl/>
        <w:pBdr>
          <w:top w:val="none" w:color="auto" w:sz="0" w:space="1"/>
          <w:left w:val="none" w:color="auto" w:sz="0" w:space="4"/>
          <w:bottom w:val="none" w:color="auto" w:sz="0" w:space="1"/>
          <w:right w:val="none" w:color="auto" w:sz="0" w:space="4"/>
        </w:pBdr>
        <w:spacing w:beforeAutospacing="1" w:afterAutospacing="1"/>
        <w:outlineLvl w:val="1"/>
        <w:rPr>
          <w:b/>
          <w:color w:val="FF0000"/>
        </w:rPr>
      </w:pPr>
      <w:r>
        <w:rPr>
          <w:rFonts w:hint="eastAsia"/>
          <w:b/>
          <w:color w:val="FF0000"/>
        </w:rPr>
        <w:t>注：“特别警示条款”和《政府采购违法行为风险知悉确认书》用于对供应商违法行为的提醒，不作为供应商资格性审查及符合性审查条件。</w:t>
      </w:r>
    </w:p>
    <w:p>
      <w:pPr>
        <w:widowControl/>
        <w:spacing w:beforeAutospacing="1" w:afterAutospacing="1"/>
        <w:jc w:val="center"/>
        <w:rPr>
          <w:rFonts w:ascii="黑体" w:hAnsi="宋体" w:eastAsia="黑体" w:cs="黑体"/>
          <w:kern w:val="0"/>
          <w:sz w:val="40"/>
          <w:szCs w:val="40"/>
        </w:rPr>
      </w:pPr>
    </w:p>
    <w:p>
      <w:pPr>
        <w:widowControl/>
        <w:spacing w:beforeAutospacing="1" w:afterAutospacing="1"/>
        <w:jc w:val="center"/>
        <w:rPr>
          <w:rFonts w:ascii="黑体" w:hAnsi="宋体" w:eastAsia="黑体" w:cs="黑体"/>
          <w:kern w:val="0"/>
          <w:sz w:val="40"/>
          <w:szCs w:val="40"/>
        </w:rPr>
      </w:pPr>
    </w:p>
    <w:p>
      <w:pPr>
        <w:widowControl/>
        <w:spacing w:beforeAutospacing="1" w:afterAutospacing="1"/>
        <w:jc w:val="center"/>
        <w:rPr>
          <w:rFonts w:ascii="黑体" w:hAnsi="宋体" w:eastAsia="黑体" w:cs="黑体"/>
          <w:kern w:val="0"/>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p>
    <w:p>
      <w:pPr>
        <w:widowControl/>
        <w:spacing w:beforeAutospacing="1" w:afterAutospacing="1"/>
        <w:jc w:val="center"/>
        <w:outlineLvl w:val="1"/>
        <w:rPr>
          <w:rFonts w:ascii="黑体" w:hAnsi="宋体" w:eastAsia="黑体" w:cs="黑体"/>
          <w:kern w:val="0"/>
          <w:sz w:val="40"/>
          <w:szCs w:val="40"/>
        </w:rPr>
      </w:pPr>
      <w:r>
        <w:rPr>
          <w:rFonts w:hint="eastAsia" w:ascii="黑体" w:hAnsi="宋体" w:eastAsia="黑体" w:cs="黑体"/>
          <w:kern w:val="0"/>
          <w:sz w:val="40"/>
          <w:szCs w:val="40"/>
        </w:rPr>
        <w:t>招标文件信息</w:t>
      </w:r>
    </w:p>
    <w:tbl>
      <w:tblPr>
        <w:tblStyle w:val="43"/>
        <w:tblW w:w="7943" w:type="dxa"/>
        <w:jc w:val="center"/>
        <w:tblCellSpacing w:w="0" w:type="dxa"/>
        <w:tblLayout w:type="fixed"/>
        <w:tblCellMar>
          <w:top w:w="45" w:type="dxa"/>
          <w:left w:w="45" w:type="dxa"/>
          <w:bottom w:w="45" w:type="dxa"/>
          <w:right w:w="45" w:type="dxa"/>
        </w:tblCellMar>
      </w:tblPr>
      <w:tblGrid>
        <w:gridCol w:w="2723"/>
        <w:gridCol w:w="5220"/>
      </w:tblGrid>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项目编号：</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项目名称：</w:t>
            </w:r>
          </w:p>
        </w:tc>
        <w:tc>
          <w:tcPr>
            <w:tcW w:w="5220" w:type="dxa"/>
            <w:shd w:val="clear" w:color="auto" w:fill="auto"/>
            <w:vAlign w:val="center"/>
          </w:tcPr>
          <w:p>
            <w:pPr>
              <w:widowControl/>
              <w:jc w:val="left"/>
              <w:rPr>
                <w:sz w:val="30"/>
                <w:szCs w:val="30"/>
              </w:rPr>
            </w:pPr>
            <w:r>
              <w:rPr>
                <w:rFonts w:hint="eastAsia"/>
                <w:sz w:val="30"/>
                <w:szCs w:val="30"/>
              </w:rPr>
              <w:t>深圳大运中心一场两馆结构及幕墙安全鉴定项目</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包 号：</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A</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项目类型：</w:t>
            </w:r>
          </w:p>
        </w:tc>
        <w:tc>
          <w:tcPr>
            <w:tcW w:w="5220" w:type="dxa"/>
            <w:shd w:val="clear" w:color="auto" w:fill="auto"/>
            <w:vAlign w:val="center"/>
          </w:tcPr>
          <w:p>
            <w:pPr>
              <w:widowControl/>
              <w:jc w:val="left"/>
              <w:rPr>
                <w:sz w:val="30"/>
                <w:szCs w:val="30"/>
              </w:rPr>
            </w:pPr>
            <w:r>
              <w:rPr>
                <w:rFonts w:hint="eastAsia" w:ascii="宋体" w:hAnsi="宋体" w:cs="宋体"/>
                <w:kern w:val="0"/>
                <w:sz w:val="30"/>
                <w:szCs w:val="30"/>
                <w:lang w:bidi="ar"/>
              </w:rPr>
              <w:t>服务</w:t>
            </w:r>
            <w:r>
              <w:rPr>
                <w:rFonts w:ascii="宋体" w:hAnsi="宋体" w:cs="宋体"/>
                <w:kern w:val="0"/>
                <w:sz w:val="30"/>
                <w:szCs w:val="30"/>
                <w:lang w:bidi="ar"/>
              </w:rPr>
              <w:t>类</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采购方式：</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公开招标</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货币类型：</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人民币</w:t>
            </w:r>
          </w:p>
        </w:tc>
      </w:tr>
      <w:tr>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pPr>
              <w:widowControl/>
              <w:jc w:val="right"/>
              <w:rPr>
                <w:sz w:val="30"/>
                <w:szCs w:val="30"/>
              </w:rPr>
            </w:pPr>
            <w:r>
              <w:rPr>
                <w:rFonts w:ascii="宋体" w:hAnsi="宋体" w:cs="宋体"/>
                <w:kern w:val="0"/>
                <w:sz w:val="30"/>
                <w:szCs w:val="30"/>
                <w:lang w:bidi="ar"/>
              </w:rPr>
              <w:t>评标方法：</w:t>
            </w:r>
          </w:p>
        </w:tc>
        <w:tc>
          <w:tcPr>
            <w:tcW w:w="5220" w:type="dxa"/>
            <w:shd w:val="clear" w:color="auto" w:fill="auto"/>
            <w:vAlign w:val="center"/>
          </w:tcPr>
          <w:p>
            <w:pPr>
              <w:widowControl/>
              <w:jc w:val="left"/>
              <w:rPr>
                <w:sz w:val="30"/>
                <w:szCs w:val="30"/>
              </w:rPr>
            </w:pPr>
            <w:r>
              <w:rPr>
                <w:rFonts w:ascii="宋体" w:hAnsi="宋体" w:cs="宋体"/>
                <w:kern w:val="0"/>
                <w:sz w:val="30"/>
                <w:szCs w:val="30"/>
                <w:lang w:bidi="ar"/>
              </w:rPr>
              <w:t>综合评分法</w:t>
            </w:r>
          </w:p>
        </w:tc>
      </w:tr>
    </w:tbl>
    <w:p>
      <w:pPr>
        <w:pStyle w:val="38"/>
        <w:jc w:val="center"/>
        <w:rPr>
          <w:rFonts w:ascii="黑体" w:hAnsi="黑体" w:eastAsia="黑体"/>
          <w:sz w:val="40"/>
          <w:szCs w:val="40"/>
        </w:rPr>
      </w:pPr>
    </w:p>
    <w:p>
      <w:pPr>
        <w:pStyle w:val="38"/>
        <w:jc w:val="center"/>
        <w:rPr>
          <w:rFonts w:ascii="黑体" w:hAnsi="黑体" w:eastAsia="黑体"/>
          <w:sz w:val="40"/>
          <w:szCs w:val="40"/>
        </w:rPr>
        <w:sectPr>
          <w:pgSz w:w="11907" w:h="16840"/>
          <w:pgMar w:top="1440" w:right="1417" w:bottom="1440" w:left="1417" w:header="851" w:footer="992" w:gutter="0"/>
          <w:cols w:space="425" w:num="1"/>
          <w:titlePg/>
          <w:docGrid w:linePitch="462" w:charSpace="0"/>
        </w:sectPr>
      </w:pPr>
    </w:p>
    <w:p>
      <w:pPr>
        <w:pStyle w:val="38"/>
        <w:jc w:val="center"/>
        <w:outlineLvl w:val="1"/>
        <w:rPr>
          <w:rFonts w:ascii="黑体" w:hAnsi="黑体" w:eastAsia="黑体"/>
          <w:sz w:val="40"/>
          <w:szCs w:val="40"/>
        </w:rPr>
      </w:pPr>
      <w:r>
        <w:rPr>
          <w:rFonts w:hint="eastAsia" w:ascii="黑体" w:hAnsi="黑体" w:eastAsia="黑体"/>
          <w:sz w:val="40"/>
          <w:szCs w:val="40"/>
        </w:rPr>
        <w:t>资格性审查表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pPr>
        <w:pStyle w:val="38"/>
        <w:spacing w:before="280"/>
        <w:jc w:val="center"/>
        <w:outlineLvl w:val="1"/>
        <w:rPr>
          <w:rFonts w:ascii="黑体" w:hAnsi="黑体" w:eastAsia="黑体"/>
          <w:sz w:val="40"/>
          <w:szCs w:val="40"/>
        </w:rPr>
      </w:pPr>
      <w:r>
        <w:rPr>
          <w:rFonts w:hint="eastAsia" w:ascii="黑体" w:hAnsi="黑体" w:eastAsia="黑体"/>
          <w:sz w:val="40"/>
          <w:szCs w:val="40"/>
        </w:rPr>
        <w:t>符合性审查表</w:t>
      </w:r>
    </w:p>
    <w:tbl>
      <w:tblPr>
        <w:tblStyle w:val="43"/>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pPr>
              <w:jc w:val="center"/>
              <w:rPr>
                <w:rFonts w:ascii="宋体" w:hAnsi="宋体" w:cs="宋体"/>
                <w:sz w:val="28"/>
                <w:szCs w:val="28"/>
              </w:rPr>
            </w:pPr>
            <w:r>
              <w:rPr>
                <w:sz w:val="28"/>
                <w:szCs w:val="28"/>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不得将一个包的内容拆开投标；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2</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对同一项目投标时，不得提供两套以上的投标方案（招标文件另有规定的除外）；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3</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分项报价或投标总价不得高于相应预算金额（或设定的预算金额下的最高限价）；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4</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5</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6</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7</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采购标的/服务清单/报价等任意一类有缺漏项或响应不全，或者对招标文件规定的项目需求内容或者需求数量进行修改</w:t>
            </w:r>
            <w:r>
              <w:rPr>
                <w:rFonts w:hint="eastAsia"/>
                <w:szCs w:val="21"/>
              </w:rPr>
              <w:t>，评审委员会判定投标响应不满足采购需求</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8</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9</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投标文件电子文档不得带病毒；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10</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szCs w:val="21"/>
              </w:rPr>
            </w:pPr>
            <w:r>
              <w:rPr>
                <w:rFonts w:hint="eastAsia"/>
              </w:rPr>
              <w:t>11</w:t>
            </w:r>
          </w:p>
        </w:tc>
        <w:tc>
          <w:tcPr>
            <w:tcW w:w="8278" w:type="dxa"/>
            <w:tcBorders>
              <w:top w:val="single" w:color="000000" w:sz="8" w:space="0"/>
              <w:left w:val="single" w:color="000000" w:sz="8" w:space="0"/>
              <w:bottom w:val="single" w:color="000000" w:sz="8" w:space="0"/>
              <w:right w:val="single" w:color="000000" w:sz="8" w:space="0"/>
            </w:tcBorders>
          </w:tcPr>
          <w:p>
            <w:pPr>
              <w:widowControl/>
              <w:jc w:val="left"/>
              <w:textAlignment w:val="top"/>
            </w:pPr>
            <w:r>
              <w:rPr>
                <w:rFonts w:hint="eastAsia"/>
              </w:rPr>
              <w:t>不同投标供应商投标文件“文件制作机器码”一致；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widowControl/>
              <w:jc w:val="center"/>
              <w:textAlignment w:val="top"/>
              <w:rPr>
                <w:rFonts w:ascii="宋体" w:hAnsi="宋体" w:cs="宋体"/>
                <w:szCs w:val="21"/>
              </w:rPr>
            </w:pPr>
            <w:r>
              <w:rPr>
                <w:rFonts w:hint="eastAsia"/>
              </w:rPr>
              <w:t>12</w:t>
            </w:r>
          </w:p>
        </w:tc>
        <w:tc>
          <w:tcPr>
            <w:tcW w:w="8278" w:type="dxa"/>
            <w:tcBorders>
              <w:top w:val="single" w:color="000000" w:sz="8" w:space="0"/>
              <w:left w:val="single" w:color="000000" w:sz="8" w:space="0"/>
              <w:bottom w:val="single" w:color="000000" w:sz="8" w:space="0"/>
              <w:right w:val="single" w:color="000000" w:sz="8" w:space="0"/>
            </w:tcBorders>
          </w:tcPr>
          <w:p>
            <w:pPr>
              <w:widowControl/>
              <w:jc w:val="left"/>
              <w:textAlignment w:val="top"/>
            </w:pPr>
            <w:r>
              <w:rPr>
                <w:rFonts w:hint="eastAsia"/>
              </w:rPr>
              <w:t>不同投标供应商投标文件“文件创建标识码”一致；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pPr>
              <w:jc w:val="center"/>
              <w:rPr>
                <w:rFonts w:ascii="宋体" w:hAnsi="宋体" w:cs="宋体"/>
                <w:szCs w:val="21"/>
              </w:rPr>
            </w:pPr>
            <w:r>
              <w:rPr>
                <w:szCs w:val="21"/>
              </w:rPr>
              <w:t>1</w:t>
            </w:r>
            <w:r>
              <w:rPr>
                <w:rFonts w:hint="eastAsia"/>
                <w:szCs w:val="21"/>
              </w:rPr>
              <w:t>3</w:t>
            </w:r>
          </w:p>
        </w:tc>
        <w:tc>
          <w:tcPr>
            <w:tcW w:w="8278" w:type="dxa"/>
            <w:tcBorders>
              <w:top w:val="single" w:color="000000" w:sz="8" w:space="0"/>
              <w:left w:val="single" w:color="000000" w:sz="8" w:space="0"/>
              <w:bottom w:val="single" w:color="000000" w:sz="8" w:space="0"/>
              <w:right w:val="single" w:color="000000" w:sz="8" w:space="0"/>
            </w:tcBorders>
          </w:tcPr>
          <w:p>
            <w:pPr>
              <w:rPr>
                <w:rFonts w:ascii="宋体" w:hAnsi="宋体" w:cs="宋体"/>
                <w:szCs w:val="21"/>
              </w:rPr>
            </w:pPr>
            <w:r>
              <w:rPr>
                <w:rFonts w:hint="eastAsia"/>
              </w:rPr>
              <w:t>法律、法规、规章、规范性文件规定的其他情形。</w:t>
            </w:r>
          </w:p>
        </w:tc>
      </w:tr>
    </w:tbl>
    <w:p>
      <w:pPr>
        <w:pStyle w:val="38"/>
        <w:jc w:val="center"/>
        <w:rPr>
          <w:rFonts w:ascii="黑体" w:hAnsi="黑体" w:eastAsia="黑体"/>
          <w:sz w:val="40"/>
          <w:szCs w:val="40"/>
        </w:rPr>
      </w:pPr>
    </w:p>
    <w:p>
      <w:pPr>
        <w:pStyle w:val="38"/>
        <w:jc w:val="center"/>
        <w:rPr>
          <w:rFonts w:ascii="黑体" w:hAnsi="黑体" w:eastAsia="黑体"/>
          <w:sz w:val="40"/>
          <w:szCs w:val="40"/>
        </w:rPr>
        <w:sectPr>
          <w:pgSz w:w="11907" w:h="16840"/>
          <w:pgMar w:top="1440" w:right="1417" w:bottom="1440" w:left="1417" w:header="851" w:footer="992" w:gutter="0"/>
          <w:cols w:space="425" w:num="1"/>
          <w:titlePg/>
          <w:docGrid w:linePitch="462" w:charSpace="0"/>
        </w:sectPr>
      </w:pPr>
    </w:p>
    <w:p>
      <w:pPr>
        <w:pStyle w:val="38"/>
        <w:jc w:val="center"/>
        <w:outlineLvl w:val="1"/>
        <w:rPr>
          <w:rFonts w:ascii="黑体" w:hAnsi="黑体" w:eastAsia="黑体"/>
          <w:sz w:val="40"/>
          <w:szCs w:val="40"/>
        </w:rPr>
      </w:pPr>
      <w:r>
        <w:rPr>
          <w:rFonts w:hint="eastAsia" w:ascii="黑体" w:hAnsi="黑体" w:eastAsia="黑体"/>
          <w:sz w:val="40"/>
          <w:szCs w:val="40"/>
        </w:rPr>
        <w:t>评标信息</w:t>
      </w:r>
    </w:p>
    <w:tbl>
      <w:tblPr>
        <w:tblStyle w:val="43"/>
        <w:tblW w:w="9113"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873"/>
        <w:gridCol w:w="240"/>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8873" w:type="dxa"/>
            <w:shd w:val="clear" w:color="auto" w:fill="auto"/>
            <w:vAlign w:val="center"/>
          </w:tcPr>
          <w:p>
            <w:pPr>
              <w:widowControl/>
              <w:jc w:val="left"/>
              <w:rPr>
                <w:b/>
                <w:bCs/>
                <w:sz w:val="24"/>
              </w:rPr>
            </w:pPr>
            <w:r>
              <w:rPr>
                <w:b/>
                <w:bCs/>
              </w:rPr>
              <w:t>评标方法：综合评分法</w:t>
            </w:r>
          </w:p>
        </w:tc>
        <w:tc>
          <w:tcPr>
            <w:tcW w:w="240" w:type="dxa"/>
            <w:shd w:val="clear" w:color="auto" w:fill="auto"/>
            <w:vAlign w:val="center"/>
          </w:tcPr>
          <w:p>
            <w:pPr>
              <w:jc w:val="right"/>
              <w:rPr>
                <w:rFonts w:ascii="宋体"/>
                <w:b/>
                <w:bCs/>
                <w:sz w:val="24"/>
              </w:rPr>
            </w:pP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113" w:type="dxa"/>
            <w:gridSpan w:val="2"/>
            <w:shd w:val="clear" w:color="auto" w:fill="auto"/>
            <w:vAlign w:val="center"/>
          </w:tcPr>
          <w:p>
            <w:pPr>
              <w:ind w:firstLine="420"/>
              <w:rPr>
                <w:szCs w:val="21"/>
              </w:rPr>
            </w:pPr>
            <w:r>
              <w:rPr>
                <w:szCs w:val="21"/>
              </w:rPr>
              <w:t>综合评分法，是指</w:t>
            </w:r>
            <w:r>
              <w:rPr>
                <w:rFonts w:hint="eastAsia"/>
                <w:kern w:val="0"/>
                <w:szCs w:val="21"/>
              </w:rPr>
              <w:t>投标文件满足招标文件全部实质性要求</w:t>
            </w:r>
            <w:r>
              <w:rPr>
                <w:szCs w:val="21"/>
              </w:rPr>
              <w:t>，且按照</w:t>
            </w:r>
            <w:r>
              <w:rPr>
                <w:rFonts w:hint="eastAsia"/>
                <w:szCs w:val="21"/>
              </w:rPr>
              <w:t>招标文件规定的各项因素进行综合评审，评标总得分排名前列</w:t>
            </w:r>
            <w:r>
              <w:rPr>
                <w:szCs w:val="21"/>
              </w:rPr>
              <w:t>的投标人为中标候选人的评标方法。</w:t>
            </w:r>
            <w:r>
              <w:rPr>
                <w:rFonts w:hint="eastAsia"/>
                <w:szCs w:val="21"/>
              </w:rPr>
              <w:t>（适用于中标候选人为2家或以上的情形）</w:t>
            </w:r>
          </w:p>
          <w:p>
            <w:pPr>
              <w:ind w:firstLine="420"/>
              <w:rPr>
                <w:szCs w:val="21"/>
              </w:rPr>
            </w:pPr>
          </w:p>
          <w:p>
            <w:pPr>
              <w:ind w:firstLine="420"/>
              <w:rPr>
                <w:szCs w:val="21"/>
              </w:rPr>
            </w:pPr>
            <w:r>
              <w:rPr>
                <w:szCs w:val="21"/>
              </w:rPr>
              <w:t>价格分计算方法：</w:t>
            </w:r>
          </w:p>
          <w:p>
            <w:pPr>
              <w:widowControl/>
              <w:ind w:left="420"/>
              <w:jc w:val="left"/>
              <w:rPr>
                <w:rFonts w:hint="eastAsia" w:eastAsia="宋体"/>
                <w:szCs w:val="21"/>
                <w:lang w:eastAsia="zh-CN"/>
              </w:rPr>
            </w:pPr>
            <w:r>
              <w:rPr>
                <w:szCs w:val="21"/>
              </w:rPr>
              <w:t xml:space="preserve">采用低价优先法计算，即满足招标文件要求且投标价格最低的投标报价为评标基准价，其价格分为满分。其他投标人的价格分统一按照下列公式计算： </w:t>
            </w:r>
          </w:p>
          <w:p>
            <w:pPr>
              <w:widowControl/>
              <w:ind w:left="420"/>
              <w:jc w:val="left"/>
              <w:rPr>
                <w:rFonts w:hint="eastAsia" w:eastAsia="宋体"/>
                <w:szCs w:val="21"/>
                <w:lang w:eastAsia="zh-CN"/>
              </w:rPr>
            </w:pPr>
            <w:r>
              <w:rPr>
                <w:szCs w:val="21"/>
              </w:rPr>
              <w:t xml:space="preserve">投标报价得分=(评标基准价／投标报价)×100 </w:t>
            </w:r>
          </w:p>
          <w:p>
            <w:pPr>
              <w:widowControl/>
              <w:ind w:left="420"/>
              <w:jc w:val="left"/>
              <w:rPr>
                <w:rFonts w:hint="eastAsia" w:eastAsia="宋体"/>
                <w:szCs w:val="21"/>
                <w:lang w:eastAsia="zh-CN"/>
              </w:rPr>
            </w:pPr>
            <w:r>
              <w:rPr>
                <w:szCs w:val="21"/>
              </w:rPr>
              <w:t xml:space="preserve">评标总得分＝F1×A1＋F2×A2＋……＋Fn×An </w:t>
            </w:r>
          </w:p>
          <w:p>
            <w:pPr>
              <w:widowControl/>
              <w:ind w:left="420"/>
              <w:jc w:val="left"/>
              <w:rPr>
                <w:rFonts w:hint="eastAsia" w:eastAsia="宋体"/>
                <w:szCs w:val="21"/>
                <w:lang w:eastAsia="zh-CN"/>
              </w:rPr>
            </w:pPr>
            <w:r>
              <w:rPr>
                <w:szCs w:val="21"/>
              </w:rPr>
              <w:t xml:space="preserve">F1、F2……Fn分别为各项评审因素的得分； </w:t>
            </w:r>
          </w:p>
          <w:p>
            <w:pPr>
              <w:widowControl/>
              <w:ind w:left="420"/>
              <w:jc w:val="left"/>
              <w:rPr>
                <w:rFonts w:hint="eastAsia" w:eastAsia="宋体"/>
                <w:szCs w:val="21"/>
                <w:lang w:eastAsia="zh-CN"/>
              </w:rPr>
            </w:pPr>
            <w:r>
              <w:rPr>
                <w:szCs w:val="21"/>
              </w:rPr>
              <w:t xml:space="preserve">A1、A2、……An 分别为各项评审因素所占的权重(A1＋A2＋……＋An＝1)。 </w:t>
            </w:r>
          </w:p>
          <w:p>
            <w:pPr>
              <w:widowControl/>
              <w:ind w:left="420"/>
              <w:jc w:val="left"/>
              <w:rPr>
                <w:szCs w:val="21"/>
              </w:rPr>
            </w:pPr>
            <w:r>
              <w:rPr>
                <w:szCs w:val="21"/>
              </w:rPr>
              <w:t>评标过程中，不得去掉报价中的最高报价和最低报价。</w:t>
            </w:r>
          </w:p>
          <w:p>
            <w:pPr>
              <w:widowControl/>
              <w:ind w:left="420"/>
              <w:jc w:val="left"/>
              <w:rPr>
                <w:szCs w:val="21"/>
              </w:rPr>
            </w:pPr>
            <w:r>
              <w:rPr>
                <w:rFonts w:hint="eastAsia"/>
                <w:szCs w:val="21"/>
              </w:rPr>
              <w:t>因落实政府采购政策进行价格调整的，以调整后的价格计算评标基准价和投标报价。</w:t>
            </w:r>
          </w:p>
          <w:p>
            <w:pPr>
              <w:widowControl/>
              <w:ind w:left="420"/>
              <w:jc w:val="left"/>
              <w:rPr>
                <w:kern w:val="0"/>
                <w:sz w:val="24"/>
              </w:rPr>
            </w:pPr>
          </w:p>
        </w:tc>
      </w:tr>
    </w:tbl>
    <w:p>
      <w:pPr>
        <w:rPr>
          <w:vanish/>
        </w:rPr>
      </w:pPr>
    </w:p>
    <w:tbl>
      <w:tblPr>
        <w:tblStyle w:val="43"/>
        <w:tblW w:w="895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79"/>
        <w:gridCol w:w="673"/>
        <w:gridCol w:w="2795"/>
        <w:gridCol w:w="674"/>
        <w:gridCol w:w="413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9"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highlight w:val="none"/>
              </w:rPr>
            </w:pPr>
            <w:r>
              <w:rPr>
                <w:b/>
                <w:bCs/>
                <w:highlight w:val="none"/>
              </w:rPr>
              <w:t>序号</w:t>
            </w:r>
          </w:p>
        </w:tc>
        <w:tc>
          <w:tcPr>
            <w:tcW w:w="4142"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highlight w:val="none"/>
              </w:rPr>
            </w:pPr>
            <w:r>
              <w:rPr>
                <w:b/>
                <w:bCs/>
                <w:highlight w:val="none"/>
              </w:rPr>
              <w:t>评分项</w:t>
            </w:r>
          </w:p>
        </w:tc>
        <w:tc>
          <w:tcPr>
            <w:tcW w:w="4135" w:type="dxa"/>
            <w:tcBorders>
              <w:top w:val="single" w:color="000000" w:sz="8" w:space="0"/>
              <w:left w:val="single" w:color="000000" w:sz="8" w:space="0"/>
              <w:bottom w:val="single" w:color="000000" w:sz="8" w:space="0"/>
              <w:right w:val="single" w:color="000000" w:sz="8" w:space="0"/>
            </w:tcBorders>
            <w:shd w:val="clear" w:color="auto" w:fill="E6EFFA"/>
            <w:vAlign w:val="center"/>
          </w:tcPr>
          <w:p>
            <w:pPr>
              <w:wordWrap w:val="0"/>
              <w:jc w:val="center"/>
              <w:rPr>
                <w:rFonts w:ascii="宋体" w:hAnsi="宋体" w:cs="宋体"/>
                <w:b/>
                <w:bCs/>
                <w:sz w:val="24"/>
                <w:highlight w:val="none"/>
              </w:rPr>
            </w:pPr>
            <w:r>
              <w:rPr>
                <w:rFonts w:hint="eastAsia"/>
                <w:b/>
                <w:bCs/>
                <w:highlight w:val="none"/>
              </w:rPr>
              <w:t>权重（</w:t>
            </w:r>
            <w:r>
              <w:rPr>
                <w:b/>
                <w:bCs/>
                <w:highlight w:val="none"/>
              </w:rPr>
              <w:t>%</w:t>
            </w:r>
            <w:r>
              <w:rPr>
                <w:rFonts w:hint="eastAsia"/>
                <w:b/>
                <w:bCs/>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9"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highlight w:val="none"/>
              </w:rPr>
            </w:pPr>
            <w:r>
              <w:rPr>
                <w:b/>
                <w:bCs/>
                <w:color w:val="0000FF"/>
                <w:highlight w:val="none"/>
              </w:rPr>
              <w:t>1</w:t>
            </w:r>
          </w:p>
        </w:tc>
        <w:tc>
          <w:tcPr>
            <w:tcW w:w="4142"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highlight w:val="none"/>
              </w:rPr>
            </w:pPr>
            <w:r>
              <w:rPr>
                <w:b/>
                <w:bCs/>
                <w:color w:val="0000FF"/>
                <w:highlight w:val="none"/>
              </w:rPr>
              <w:t>价格</w:t>
            </w:r>
          </w:p>
        </w:tc>
        <w:tc>
          <w:tcPr>
            <w:tcW w:w="4135"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highlight w:val="none"/>
              </w:rPr>
            </w:pPr>
            <w:r>
              <w:rPr>
                <w:rFonts w:hint="eastAsia"/>
                <w:b/>
                <w:bCs/>
                <w:color w:val="0000FF"/>
                <w:highlight w:val="none"/>
              </w:rPr>
              <w:t>1</w:t>
            </w:r>
            <w:r>
              <w:rPr>
                <w:b/>
                <w:bCs/>
                <w:color w:val="0000FF"/>
                <w:highlight w:val="none"/>
              </w:rPr>
              <w:t>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9"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8277" w:type="dxa"/>
            <w:gridSpan w:val="4"/>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9"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highlight w:val="none"/>
              </w:rPr>
            </w:pPr>
            <w:r>
              <w:rPr>
                <w:b/>
                <w:bCs/>
                <w:color w:val="0000FF"/>
                <w:highlight w:val="none"/>
              </w:rPr>
              <w:t>2</w:t>
            </w:r>
          </w:p>
        </w:tc>
        <w:tc>
          <w:tcPr>
            <w:tcW w:w="4142"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highlight w:val="none"/>
              </w:rPr>
            </w:pPr>
            <w:r>
              <w:rPr>
                <w:b/>
                <w:bCs/>
                <w:color w:val="0000FF"/>
                <w:highlight w:val="none"/>
              </w:rPr>
              <w:t>技术</w:t>
            </w:r>
            <w:r>
              <w:rPr>
                <w:rFonts w:hint="eastAsia"/>
                <w:b/>
                <w:bCs/>
                <w:color w:val="0000FF"/>
                <w:highlight w:val="none"/>
              </w:rPr>
              <w:t>部分</w:t>
            </w:r>
          </w:p>
        </w:tc>
        <w:tc>
          <w:tcPr>
            <w:tcW w:w="4135"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highlight w:val="none"/>
              </w:rPr>
            </w:pPr>
            <w:r>
              <w:rPr>
                <w:rFonts w:ascii="宋体" w:hAnsi="宋体" w:cs="宋体"/>
                <w:b/>
                <w:bCs/>
                <w:color w:val="0000FF"/>
                <w:sz w:val="24"/>
                <w:highlight w:val="none"/>
              </w:rPr>
              <w:t>50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9"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8277" w:type="dxa"/>
            <w:gridSpan w:val="4"/>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9"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b/>
                <w:bCs/>
                <w:color w:val="0000FF"/>
                <w:sz w:val="24"/>
                <w:highlight w:val="none"/>
              </w:rPr>
            </w:pPr>
          </w:p>
        </w:tc>
        <w:tc>
          <w:tcPr>
            <w:tcW w:w="67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highlight w:val="none"/>
              </w:rPr>
            </w:pPr>
            <w:r>
              <w:rPr>
                <w:szCs w:val="21"/>
                <w:highlight w:val="none"/>
              </w:rPr>
              <w:t>序号</w:t>
            </w:r>
          </w:p>
        </w:tc>
        <w:tc>
          <w:tcPr>
            <w:tcW w:w="279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highlight w:val="none"/>
              </w:rPr>
            </w:pPr>
            <w:r>
              <w:rPr>
                <w:szCs w:val="21"/>
                <w:highlight w:val="none"/>
              </w:rPr>
              <w:t>评分因素</w:t>
            </w:r>
          </w:p>
        </w:tc>
        <w:tc>
          <w:tcPr>
            <w:tcW w:w="67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highlight w:val="none"/>
              </w:rPr>
            </w:pPr>
            <w:r>
              <w:rPr>
                <w:rFonts w:hint="eastAsia"/>
                <w:szCs w:val="21"/>
                <w:highlight w:val="none"/>
              </w:rPr>
              <w:t>权重</w:t>
            </w:r>
          </w:p>
        </w:tc>
        <w:tc>
          <w:tcPr>
            <w:tcW w:w="41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highlight w:val="none"/>
              </w:rPr>
            </w:pPr>
            <w:r>
              <w:rPr>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9"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673"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highlight w:val="none"/>
              </w:rPr>
            </w:pPr>
            <w:r>
              <w:rPr>
                <w:rFonts w:hint="eastAsia" w:ascii="宋体" w:hAnsi="宋体" w:cs="仿宋_GB2312"/>
                <w:szCs w:val="21"/>
                <w:highlight w:val="none"/>
                <w:lang w:val="zh-CN"/>
              </w:rPr>
              <w:t>1</w:t>
            </w:r>
          </w:p>
        </w:tc>
        <w:tc>
          <w:tcPr>
            <w:tcW w:w="279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highlight w:val="none"/>
              </w:rPr>
            </w:pPr>
            <w:r>
              <w:rPr>
                <w:rFonts w:hint="eastAsia" w:ascii="宋体" w:hAnsi="宋体" w:cs="仿宋_GB2312"/>
                <w:szCs w:val="21"/>
                <w:highlight w:val="none"/>
                <w:lang w:val="zh-CN"/>
              </w:rPr>
              <w:t>项目服务方案</w:t>
            </w:r>
          </w:p>
        </w:tc>
        <w:tc>
          <w:tcPr>
            <w:tcW w:w="67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highlight w:val="none"/>
              </w:rPr>
            </w:pPr>
            <w:r>
              <w:rPr>
                <w:rFonts w:hint="eastAsia" w:ascii="宋体" w:hAnsi="宋体" w:cs="仿宋_GB2312"/>
                <w:szCs w:val="21"/>
                <w:highlight w:val="none"/>
              </w:rPr>
              <w:t>10</w:t>
            </w:r>
          </w:p>
        </w:tc>
        <w:tc>
          <w:tcPr>
            <w:tcW w:w="413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仿宋_GB2312"/>
                <w:szCs w:val="21"/>
                <w:highlight w:val="none"/>
                <w:lang w:val="zh-CN"/>
              </w:rPr>
            </w:pPr>
            <w:r>
              <w:rPr>
                <w:rFonts w:hint="eastAsia" w:ascii="宋体" w:hAnsi="宋体" w:cstheme="minorEastAsia"/>
                <w:highlight w:val="none"/>
              </w:rPr>
              <w:t>（一）评分内容：</w:t>
            </w:r>
          </w:p>
          <w:p>
            <w:pPr>
              <w:rPr>
                <w:rFonts w:ascii="宋体" w:hAnsi="宋体" w:cs="仿宋_GB2312"/>
                <w:szCs w:val="21"/>
                <w:highlight w:val="none"/>
                <w:lang w:val="zh-CN"/>
              </w:rPr>
            </w:pPr>
            <w:r>
              <w:rPr>
                <w:rFonts w:hint="eastAsia" w:ascii="宋体" w:hAnsi="宋体" w:cs="仿宋_GB2312"/>
                <w:szCs w:val="21"/>
                <w:highlight w:val="none"/>
                <w:lang w:val="zh-CN"/>
              </w:rPr>
              <w:t>投标人针对本项目的需求制定实施方案，方案内容包括不限于：</w:t>
            </w:r>
          </w:p>
          <w:p>
            <w:pPr>
              <w:numPr>
                <w:ilvl w:val="0"/>
                <w:numId w:val="7"/>
              </w:numPr>
              <w:rPr>
                <w:rFonts w:ascii="宋体" w:hAnsi="宋体" w:cs="仿宋_GB2312"/>
                <w:szCs w:val="21"/>
                <w:highlight w:val="none"/>
                <w:lang w:val="zh-CN"/>
              </w:rPr>
            </w:pPr>
            <w:r>
              <w:rPr>
                <w:rFonts w:hint="eastAsia" w:ascii="宋体" w:hAnsi="宋体" w:cs="仿宋_GB2312"/>
                <w:szCs w:val="21"/>
                <w:highlight w:val="none"/>
                <w:lang w:val="zh-CN"/>
              </w:rPr>
              <w:t>项目具体服务计划安排；</w:t>
            </w:r>
          </w:p>
          <w:p>
            <w:pPr>
              <w:numPr>
                <w:ilvl w:val="0"/>
                <w:numId w:val="7"/>
              </w:numPr>
              <w:rPr>
                <w:rFonts w:ascii="宋体" w:hAnsi="宋体" w:cs="仿宋_GB2312"/>
                <w:szCs w:val="21"/>
                <w:highlight w:val="none"/>
                <w:lang w:val="zh-CN"/>
              </w:rPr>
            </w:pPr>
            <w:r>
              <w:rPr>
                <w:rFonts w:hint="eastAsia" w:ascii="宋体" w:hAnsi="宋体" w:cs="仿宋_GB2312"/>
                <w:szCs w:val="21"/>
                <w:highlight w:val="none"/>
                <w:lang w:val="zh-CN"/>
              </w:rPr>
              <w:t>项目配备</w:t>
            </w:r>
            <w:r>
              <w:rPr>
                <w:rFonts w:hint="eastAsia" w:ascii="宋体" w:hAnsi="宋体" w:cs="仿宋_GB2312"/>
                <w:szCs w:val="21"/>
                <w:highlight w:val="none"/>
              </w:rPr>
              <w:t>人员</w:t>
            </w:r>
            <w:r>
              <w:rPr>
                <w:rFonts w:hint="eastAsia" w:ascii="宋体" w:hAnsi="宋体" w:cs="仿宋_GB2312"/>
                <w:szCs w:val="21"/>
                <w:highlight w:val="none"/>
                <w:lang w:val="zh-CN"/>
              </w:rPr>
              <w:t>及管理制度、</w:t>
            </w:r>
          </w:p>
          <w:p>
            <w:pPr>
              <w:numPr>
                <w:ilvl w:val="0"/>
                <w:numId w:val="7"/>
              </w:numPr>
              <w:rPr>
                <w:rFonts w:ascii="宋体" w:hAnsi="宋体" w:cs="仿宋_GB2312"/>
                <w:szCs w:val="21"/>
                <w:highlight w:val="none"/>
                <w:lang w:val="zh-CN"/>
              </w:rPr>
            </w:pPr>
            <w:r>
              <w:rPr>
                <w:rFonts w:hint="eastAsia" w:ascii="宋体" w:hAnsi="宋体" w:cs="仿宋_GB2312"/>
                <w:szCs w:val="21"/>
                <w:highlight w:val="none"/>
                <w:lang w:val="zh-CN"/>
              </w:rPr>
              <w:t>项目服务</w:t>
            </w:r>
            <w:r>
              <w:rPr>
                <w:rFonts w:hint="eastAsia" w:ascii="宋体" w:hAnsi="宋体" w:cs="仿宋_GB2312"/>
                <w:szCs w:val="21"/>
                <w:highlight w:val="none"/>
              </w:rPr>
              <w:t>技术</w:t>
            </w:r>
            <w:r>
              <w:rPr>
                <w:rFonts w:hint="eastAsia" w:ascii="宋体" w:hAnsi="宋体" w:cs="仿宋_GB2312"/>
                <w:szCs w:val="21"/>
                <w:highlight w:val="none"/>
                <w:lang w:val="zh-CN"/>
              </w:rPr>
              <w:t>标准、售后服务计划等。</w:t>
            </w:r>
          </w:p>
          <w:p>
            <w:pPr>
              <w:rPr>
                <w:rFonts w:ascii="宋体" w:hAnsi="宋体" w:cstheme="minorEastAsia"/>
                <w:highlight w:val="none"/>
              </w:rPr>
            </w:pPr>
            <w:r>
              <w:rPr>
                <w:rFonts w:hint="eastAsia" w:ascii="宋体" w:hAnsi="宋体" w:cstheme="minorEastAsia"/>
                <w:highlight w:val="none"/>
              </w:rPr>
              <w:t>（二）评分依据：</w:t>
            </w:r>
          </w:p>
          <w:p>
            <w:pPr>
              <w:rPr>
                <w:rFonts w:ascii="宋体" w:hAnsi="宋体" w:cs="仿宋_GB2312"/>
                <w:szCs w:val="21"/>
                <w:highlight w:val="none"/>
                <w:lang w:val="zh-CN"/>
              </w:rPr>
            </w:pPr>
            <w:r>
              <w:rPr>
                <w:rFonts w:hint="eastAsia" w:ascii="宋体" w:hAnsi="宋体" w:cstheme="minorEastAsia"/>
                <w:highlight w:val="none"/>
              </w:rPr>
              <w:t>1.</w:t>
            </w:r>
            <w:r>
              <w:rPr>
                <w:rFonts w:hint="eastAsia" w:ascii="宋体" w:hAnsi="宋体" w:cs="宋体"/>
                <w:szCs w:val="21"/>
                <w:highlight w:val="none"/>
              </w:rPr>
              <w:t>投标文件每包含以上任意一项内容得2</w:t>
            </w:r>
            <w:r>
              <w:rPr>
                <w:rFonts w:ascii="宋体" w:hAnsi="宋体" w:cs="宋体"/>
                <w:szCs w:val="21"/>
                <w:highlight w:val="none"/>
              </w:rPr>
              <w:t>0</w:t>
            </w:r>
            <w:r>
              <w:rPr>
                <w:rFonts w:hint="eastAsia" w:ascii="宋体" w:hAnsi="宋体" w:cs="宋体"/>
                <w:szCs w:val="21"/>
                <w:highlight w:val="none"/>
              </w:rPr>
              <w:t>分，全部包含的得6</w:t>
            </w:r>
            <w:r>
              <w:rPr>
                <w:rFonts w:ascii="宋体" w:hAnsi="宋体" w:cs="宋体"/>
                <w:szCs w:val="21"/>
                <w:highlight w:val="none"/>
              </w:rPr>
              <w:t>0</w:t>
            </w:r>
            <w:r>
              <w:rPr>
                <w:rFonts w:hint="eastAsia" w:ascii="宋体" w:hAnsi="宋体" w:cs="宋体"/>
                <w:szCs w:val="21"/>
                <w:highlight w:val="none"/>
              </w:rPr>
              <w:t>分</w:t>
            </w:r>
            <w:r>
              <w:rPr>
                <w:rFonts w:hint="eastAsia" w:ascii="宋体" w:hAnsi="宋体" w:cstheme="minorEastAsia"/>
                <w:highlight w:val="none"/>
              </w:rPr>
              <w:t>。</w:t>
            </w:r>
          </w:p>
          <w:p>
            <w:pPr>
              <w:rPr>
                <w:rFonts w:ascii="宋体" w:hAnsi="宋体" w:cstheme="minorEastAsia"/>
                <w:highlight w:val="none"/>
              </w:rPr>
            </w:pPr>
            <w:r>
              <w:rPr>
                <w:rFonts w:hint="eastAsia" w:ascii="宋体" w:hAnsi="宋体" w:cstheme="minorEastAsia"/>
                <w:highlight w:val="none"/>
              </w:rPr>
              <w:t>2.在此基础上，专家根据各供应商的具体响应内容进行评价。</w:t>
            </w:r>
          </w:p>
          <w:p>
            <w:pPr>
              <w:rPr>
                <w:rFonts w:ascii="宋体" w:hAnsi="宋体" w:cs="仿宋_GB2312"/>
                <w:szCs w:val="21"/>
                <w:highlight w:val="none"/>
                <w:lang w:val="zh-CN"/>
              </w:rPr>
            </w:pPr>
            <w:r>
              <w:rPr>
                <w:rFonts w:hint="eastAsia" w:ascii="宋体" w:hAnsi="宋体" w:cs="仿宋_GB2312"/>
                <w:szCs w:val="21"/>
                <w:highlight w:val="none"/>
              </w:rPr>
              <w:t>（1）具体服务计划安排体现工作所有节点、流程，明确工作人员分工及部门详细人员管理制度，制定详细的服务技术标准，售后咨询服务不少于1年（含1年）且方案</w:t>
            </w:r>
            <w:r>
              <w:rPr>
                <w:rFonts w:hint="eastAsia" w:ascii="宋体" w:hAnsi="宋体" w:cstheme="minorEastAsia"/>
                <w:highlight w:val="none"/>
              </w:rPr>
              <w:t>非常准确清晰、全面到位</w:t>
            </w:r>
            <w:r>
              <w:rPr>
                <w:rFonts w:hint="eastAsia" w:ascii="宋体" w:hAnsi="宋体" w:cs="仿宋_GB2312"/>
                <w:szCs w:val="21"/>
                <w:highlight w:val="none"/>
              </w:rPr>
              <w:t>，加4</w:t>
            </w:r>
            <w:r>
              <w:rPr>
                <w:rFonts w:ascii="宋体" w:hAnsi="宋体" w:cs="仿宋_GB2312"/>
                <w:szCs w:val="21"/>
                <w:highlight w:val="none"/>
              </w:rPr>
              <w:t>0</w:t>
            </w:r>
            <w:r>
              <w:rPr>
                <w:rFonts w:hint="eastAsia" w:ascii="宋体" w:hAnsi="宋体" w:cs="仿宋_GB2312"/>
                <w:szCs w:val="21"/>
                <w:highlight w:val="none"/>
                <w:lang w:val="zh-CN"/>
              </w:rPr>
              <w:t>分；</w:t>
            </w:r>
          </w:p>
          <w:p>
            <w:pPr>
              <w:rPr>
                <w:rFonts w:ascii="宋体" w:hAnsi="宋体" w:cs="仿宋_GB2312"/>
                <w:szCs w:val="21"/>
                <w:highlight w:val="none"/>
                <w:lang w:val="zh-CN"/>
              </w:rPr>
            </w:pPr>
            <w:r>
              <w:rPr>
                <w:rFonts w:hint="eastAsia" w:ascii="宋体" w:hAnsi="宋体" w:cs="仿宋_GB2312"/>
                <w:szCs w:val="21"/>
                <w:highlight w:val="none"/>
                <w:lang w:val="zh-CN"/>
              </w:rPr>
              <w:t>（2）</w:t>
            </w:r>
            <w:r>
              <w:rPr>
                <w:rFonts w:hint="eastAsia" w:ascii="宋体" w:hAnsi="宋体" w:cs="仿宋_GB2312"/>
                <w:szCs w:val="21"/>
                <w:highlight w:val="none"/>
              </w:rPr>
              <w:t>具体服务计划安排体现工作关键节点、流程较为清晰，有较明确工作人员分工及具部门管理制度，制定服务技术标准，售后咨询服务大于等于半年少于1年，</w:t>
            </w:r>
            <w:r>
              <w:rPr>
                <w:rFonts w:hint="eastAsia" w:ascii="宋体" w:hAnsi="宋体" w:cs="仿宋_GB2312"/>
                <w:szCs w:val="21"/>
                <w:highlight w:val="none"/>
                <w:lang w:val="zh-CN"/>
              </w:rPr>
              <w:t>加25分；</w:t>
            </w:r>
          </w:p>
          <w:p>
            <w:pPr>
              <w:rPr>
                <w:rFonts w:ascii="宋体" w:hAnsi="宋体" w:cs="仿宋_GB2312"/>
                <w:szCs w:val="21"/>
                <w:highlight w:val="none"/>
                <w:lang w:val="zh-CN"/>
              </w:rPr>
            </w:pPr>
            <w:r>
              <w:rPr>
                <w:rFonts w:hint="eastAsia" w:ascii="宋体" w:hAnsi="宋体" w:cs="仿宋_GB2312"/>
                <w:szCs w:val="21"/>
                <w:highlight w:val="none"/>
                <w:lang w:val="zh-CN"/>
              </w:rPr>
              <w:t>（3）</w:t>
            </w:r>
            <w:r>
              <w:rPr>
                <w:rFonts w:hint="eastAsia" w:ascii="宋体" w:hAnsi="宋体" w:cs="仿宋_GB2312"/>
                <w:szCs w:val="21"/>
                <w:highlight w:val="none"/>
              </w:rPr>
              <w:t>具体服务计划安排体现工作体现流程一般，具有一般的工作人员分工及具部门管理制度，制定服务技术标准，售后咨询服务少于半年</w:t>
            </w:r>
            <w:r>
              <w:rPr>
                <w:rFonts w:hint="eastAsia" w:ascii="宋体" w:hAnsi="宋体" w:cs="仿宋_GB2312"/>
                <w:szCs w:val="21"/>
                <w:highlight w:val="none"/>
                <w:lang w:val="zh-CN"/>
              </w:rPr>
              <w:t>，加1</w:t>
            </w:r>
            <w:r>
              <w:rPr>
                <w:rFonts w:ascii="宋体" w:hAnsi="宋体" w:cs="仿宋_GB2312"/>
                <w:szCs w:val="21"/>
                <w:highlight w:val="none"/>
                <w:lang w:val="zh-CN"/>
              </w:rPr>
              <w:t>0</w:t>
            </w:r>
            <w:r>
              <w:rPr>
                <w:rFonts w:hint="eastAsia" w:ascii="宋体" w:hAnsi="宋体" w:cs="仿宋_GB2312"/>
                <w:szCs w:val="21"/>
                <w:highlight w:val="none"/>
                <w:lang w:val="zh-CN"/>
              </w:rPr>
              <w:t>分；</w:t>
            </w:r>
          </w:p>
          <w:p>
            <w:pPr>
              <w:rPr>
                <w:rFonts w:ascii="宋体" w:hAnsi="宋体" w:cs="宋体"/>
                <w:szCs w:val="21"/>
                <w:highlight w:val="none"/>
              </w:rPr>
            </w:pPr>
            <w:r>
              <w:rPr>
                <w:rFonts w:hint="eastAsia" w:ascii="宋体" w:hAnsi="宋体" w:cs="仿宋_GB2312"/>
                <w:szCs w:val="21"/>
                <w:highlight w:val="none"/>
                <w:lang w:val="zh-CN"/>
              </w:rPr>
              <w:t>（4）项目实施方案</w:t>
            </w:r>
            <w:r>
              <w:rPr>
                <w:rFonts w:hint="eastAsia" w:ascii="宋体" w:hAnsi="宋体" w:cs="仿宋_GB2312"/>
                <w:szCs w:val="21"/>
                <w:highlight w:val="none"/>
              </w:rPr>
              <w:t>少于三项内容</w:t>
            </w:r>
            <w:r>
              <w:rPr>
                <w:rFonts w:hint="eastAsia" w:ascii="宋体" w:hAnsi="宋体" w:cs="仿宋_GB2312"/>
                <w:szCs w:val="21"/>
                <w:highlight w:val="none"/>
                <w:lang w:val="zh-CN"/>
              </w:rPr>
              <w:t>或方案不完整，或不符合项目要求，可行性差的，不得分。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9"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67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szCs w:val="21"/>
                <w:highlight w:val="none"/>
              </w:rPr>
            </w:pPr>
            <w:r>
              <w:rPr>
                <w:rFonts w:hint="eastAsia" w:ascii="宋体" w:hAnsi="宋体" w:cs="仿宋_GB2312"/>
                <w:szCs w:val="21"/>
                <w:highlight w:val="none"/>
                <w:lang w:val="zh-CN"/>
              </w:rPr>
              <w:t>2</w:t>
            </w:r>
          </w:p>
        </w:tc>
        <w:tc>
          <w:tcPr>
            <w:tcW w:w="279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szCs w:val="21"/>
                <w:highlight w:val="none"/>
              </w:rPr>
            </w:pPr>
            <w:r>
              <w:rPr>
                <w:rFonts w:hint="eastAsia" w:ascii="宋体" w:hAnsi="宋体" w:cs="仿宋_GB2312"/>
                <w:szCs w:val="21"/>
                <w:highlight w:val="none"/>
                <w:lang w:val="zh-CN"/>
              </w:rPr>
              <w:t>项目重点难点分析、应对措施及相关的合理化建议</w:t>
            </w:r>
          </w:p>
        </w:tc>
        <w:tc>
          <w:tcPr>
            <w:tcW w:w="67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szCs w:val="21"/>
                <w:highlight w:val="none"/>
              </w:rPr>
            </w:pPr>
            <w:r>
              <w:rPr>
                <w:rFonts w:hint="eastAsia" w:ascii="宋体" w:hAnsi="宋体" w:cs="仿宋_GB2312"/>
                <w:szCs w:val="21"/>
                <w:highlight w:val="none"/>
              </w:rPr>
              <w:t>10</w:t>
            </w:r>
          </w:p>
        </w:tc>
        <w:tc>
          <w:tcPr>
            <w:tcW w:w="413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仿宋_GB2312"/>
                <w:szCs w:val="21"/>
                <w:highlight w:val="none"/>
                <w:lang w:val="zh-CN"/>
              </w:rPr>
            </w:pPr>
            <w:r>
              <w:rPr>
                <w:rFonts w:hint="eastAsia" w:ascii="宋体" w:hAnsi="宋体" w:cstheme="minorEastAsia"/>
                <w:highlight w:val="none"/>
              </w:rPr>
              <w:t>（一）评分内容：</w:t>
            </w:r>
          </w:p>
          <w:p>
            <w:pPr>
              <w:rPr>
                <w:rFonts w:ascii="宋体" w:hAnsi="宋体" w:cs="仿宋_GB2312"/>
                <w:szCs w:val="21"/>
                <w:highlight w:val="none"/>
                <w:lang w:val="zh-CN"/>
              </w:rPr>
            </w:pPr>
            <w:r>
              <w:rPr>
                <w:rFonts w:hint="eastAsia" w:ascii="宋体" w:hAnsi="宋体" w:cs="仿宋_GB2312"/>
                <w:szCs w:val="21"/>
                <w:highlight w:val="none"/>
                <w:lang w:val="zh-CN"/>
              </w:rPr>
              <w:t>根据投标人根据了解的项目情况：</w:t>
            </w:r>
          </w:p>
          <w:p>
            <w:pPr>
              <w:numPr>
                <w:ilvl w:val="0"/>
                <w:numId w:val="8"/>
              </w:numPr>
              <w:rPr>
                <w:rFonts w:ascii="宋体" w:hAnsi="宋体" w:cs="仿宋_GB2312"/>
                <w:szCs w:val="21"/>
                <w:highlight w:val="none"/>
                <w:lang w:val="zh-CN"/>
              </w:rPr>
            </w:pPr>
            <w:r>
              <w:rPr>
                <w:rFonts w:hint="eastAsia" w:ascii="宋体" w:hAnsi="宋体" w:cs="仿宋_GB2312"/>
                <w:szCs w:val="21"/>
                <w:highlight w:val="none"/>
                <w:lang w:val="zh-CN"/>
              </w:rPr>
              <w:t>针对本项目结构及幕墙安全检测鉴定存在重点难点进行分析；</w:t>
            </w:r>
          </w:p>
          <w:p>
            <w:pPr>
              <w:numPr>
                <w:ilvl w:val="0"/>
                <w:numId w:val="8"/>
              </w:numPr>
              <w:rPr>
                <w:rFonts w:ascii="宋体" w:hAnsi="宋体" w:cs="仿宋_GB2312"/>
                <w:szCs w:val="21"/>
                <w:highlight w:val="none"/>
                <w:lang w:val="zh-CN"/>
              </w:rPr>
            </w:pPr>
            <w:r>
              <w:rPr>
                <w:rFonts w:hint="eastAsia" w:ascii="宋体" w:hAnsi="宋体" w:cs="仿宋_GB2312"/>
                <w:szCs w:val="21"/>
                <w:highlight w:val="none"/>
                <w:lang w:val="zh-CN"/>
              </w:rPr>
              <w:t>结合本项目的特点提供相应的应对措施并提供合理化的建议：</w:t>
            </w:r>
          </w:p>
          <w:p>
            <w:pPr>
              <w:rPr>
                <w:rFonts w:ascii="宋体" w:hAnsi="宋体" w:cstheme="minorEastAsia"/>
                <w:highlight w:val="none"/>
              </w:rPr>
            </w:pPr>
            <w:r>
              <w:rPr>
                <w:rFonts w:hint="eastAsia" w:ascii="宋体" w:hAnsi="宋体" w:cstheme="minorEastAsia"/>
                <w:highlight w:val="none"/>
              </w:rPr>
              <w:t>（二）评分依据：</w:t>
            </w:r>
          </w:p>
          <w:p>
            <w:pPr>
              <w:rPr>
                <w:rFonts w:ascii="宋体" w:hAnsi="宋体" w:cs="仿宋_GB2312"/>
                <w:szCs w:val="21"/>
                <w:highlight w:val="none"/>
                <w:lang w:val="zh-CN"/>
              </w:rPr>
            </w:pPr>
            <w:r>
              <w:rPr>
                <w:rFonts w:hint="eastAsia" w:ascii="宋体" w:hAnsi="宋体" w:cstheme="minorEastAsia"/>
                <w:highlight w:val="none"/>
              </w:rPr>
              <w:t>1.</w:t>
            </w:r>
            <w:r>
              <w:rPr>
                <w:rFonts w:hint="eastAsia" w:ascii="宋体" w:hAnsi="宋体" w:cs="宋体"/>
                <w:szCs w:val="21"/>
                <w:highlight w:val="none"/>
              </w:rPr>
              <w:t>投标文件每包含以上任意一项内容得3</w:t>
            </w:r>
            <w:r>
              <w:rPr>
                <w:rFonts w:ascii="宋体" w:hAnsi="宋体" w:cs="宋体"/>
                <w:szCs w:val="21"/>
                <w:highlight w:val="none"/>
              </w:rPr>
              <w:t>0</w:t>
            </w:r>
            <w:r>
              <w:rPr>
                <w:rFonts w:hint="eastAsia" w:ascii="宋体" w:hAnsi="宋体" w:cs="宋体"/>
                <w:szCs w:val="21"/>
                <w:highlight w:val="none"/>
              </w:rPr>
              <w:t>分，全部包含的得6</w:t>
            </w:r>
            <w:r>
              <w:rPr>
                <w:rFonts w:ascii="宋体" w:hAnsi="宋体" w:cs="宋体"/>
                <w:szCs w:val="21"/>
                <w:highlight w:val="none"/>
              </w:rPr>
              <w:t>0</w:t>
            </w:r>
            <w:r>
              <w:rPr>
                <w:rFonts w:hint="eastAsia" w:ascii="宋体" w:hAnsi="宋体" w:cs="宋体"/>
                <w:szCs w:val="21"/>
                <w:highlight w:val="none"/>
              </w:rPr>
              <w:t>分</w:t>
            </w:r>
            <w:r>
              <w:rPr>
                <w:rFonts w:hint="eastAsia" w:ascii="宋体" w:hAnsi="宋体" w:cstheme="minorEastAsia"/>
                <w:highlight w:val="none"/>
              </w:rPr>
              <w:t>。</w:t>
            </w:r>
          </w:p>
          <w:p>
            <w:pPr>
              <w:rPr>
                <w:rFonts w:ascii="宋体" w:hAnsi="宋体" w:cstheme="minorEastAsia"/>
                <w:highlight w:val="none"/>
              </w:rPr>
            </w:pPr>
            <w:r>
              <w:rPr>
                <w:rFonts w:hint="eastAsia" w:ascii="宋体" w:hAnsi="宋体" w:cstheme="minorEastAsia"/>
                <w:highlight w:val="none"/>
              </w:rPr>
              <w:t>2.在此基础上，专家根据各供应商的具体响应内容进行评价。</w:t>
            </w:r>
          </w:p>
          <w:p>
            <w:pPr>
              <w:rPr>
                <w:rFonts w:ascii="宋体" w:hAnsi="宋体" w:cs="仿宋_GB2312"/>
                <w:szCs w:val="21"/>
                <w:highlight w:val="none"/>
                <w:lang w:val="zh-CN"/>
              </w:rPr>
            </w:pPr>
            <w:r>
              <w:rPr>
                <w:rFonts w:hint="eastAsia" w:ascii="宋体" w:hAnsi="宋体" w:cs="仿宋_GB2312"/>
                <w:szCs w:val="21"/>
                <w:highlight w:val="none"/>
              </w:rPr>
              <w:t>（1）指出</w:t>
            </w:r>
            <w:r>
              <w:rPr>
                <w:rFonts w:hint="eastAsia" w:ascii="宋体" w:hAnsi="宋体" w:cs="仿宋_GB2312"/>
                <w:szCs w:val="21"/>
                <w:highlight w:val="none"/>
                <w:lang w:val="zh-CN"/>
              </w:rPr>
              <w:t>本项目</w:t>
            </w:r>
            <w:r>
              <w:rPr>
                <w:rFonts w:hint="eastAsia" w:ascii="宋体" w:hAnsi="宋体" w:cs="仿宋_GB2312"/>
                <w:szCs w:val="21"/>
                <w:highlight w:val="none"/>
              </w:rPr>
              <w:t>建筑物</w:t>
            </w:r>
            <w:r>
              <w:rPr>
                <w:rFonts w:hint="eastAsia" w:ascii="宋体" w:hAnsi="宋体" w:cs="仿宋_GB2312"/>
                <w:szCs w:val="21"/>
                <w:highlight w:val="none"/>
                <w:lang w:val="zh-CN"/>
              </w:rPr>
              <w:t>结构及幕墙安全检测鉴定</w:t>
            </w:r>
            <w:r>
              <w:rPr>
                <w:rFonts w:hint="eastAsia" w:ascii="宋体" w:hAnsi="宋体" w:cs="仿宋_GB2312"/>
                <w:szCs w:val="21"/>
                <w:highlight w:val="none"/>
              </w:rPr>
              <w:t>存在的重点、难点，且符合本项目实际情况。针对重点难点进行分析，提出详细解决方案以及解决流程，并提供相关合理化建议，</w:t>
            </w:r>
            <w:r>
              <w:rPr>
                <w:rFonts w:hint="eastAsia" w:ascii="宋体" w:hAnsi="宋体" w:cs="仿宋_GB2312"/>
                <w:szCs w:val="21"/>
                <w:highlight w:val="none"/>
                <w:lang w:val="zh-CN"/>
              </w:rPr>
              <w:t>加4</w:t>
            </w:r>
            <w:r>
              <w:rPr>
                <w:rFonts w:ascii="宋体" w:hAnsi="宋体" w:cs="仿宋_GB2312"/>
                <w:szCs w:val="21"/>
                <w:highlight w:val="none"/>
                <w:lang w:val="zh-CN"/>
              </w:rPr>
              <w:t>0</w:t>
            </w:r>
            <w:r>
              <w:rPr>
                <w:rFonts w:hint="eastAsia" w:ascii="宋体" w:hAnsi="宋体" w:cs="仿宋_GB2312"/>
                <w:szCs w:val="21"/>
                <w:highlight w:val="none"/>
                <w:lang w:val="zh-CN"/>
              </w:rPr>
              <w:t>分；</w:t>
            </w:r>
          </w:p>
          <w:p>
            <w:pPr>
              <w:rPr>
                <w:rFonts w:ascii="宋体" w:hAnsi="宋体" w:cs="仿宋_GB2312"/>
                <w:szCs w:val="21"/>
                <w:highlight w:val="none"/>
                <w:lang w:val="zh-CN"/>
              </w:rPr>
            </w:pPr>
            <w:r>
              <w:rPr>
                <w:rFonts w:hint="eastAsia" w:ascii="宋体" w:hAnsi="宋体" w:cs="仿宋_GB2312"/>
                <w:szCs w:val="21"/>
                <w:highlight w:val="none"/>
                <w:lang w:val="zh-CN"/>
              </w:rPr>
              <w:t>（2）</w:t>
            </w:r>
            <w:r>
              <w:rPr>
                <w:rFonts w:hint="eastAsia" w:ascii="宋体" w:hAnsi="宋体" w:cs="仿宋_GB2312"/>
                <w:szCs w:val="21"/>
                <w:highlight w:val="none"/>
              </w:rPr>
              <w:t>指出</w:t>
            </w:r>
            <w:r>
              <w:rPr>
                <w:rFonts w:hint="eastAsia" w:ascii="宋体" w:hAnsi="宋体" w:cs="仿宋_GB2312"/>
                <w:szCs w:val="21"/>
                <w:highlight w:val="none"/>
                <w:lang w:val="zh-CN"/>
              </w:rPr>
              <w:t>本项目</w:t>
            </w:r>
            <w:r>
              <w:rPr>
                <w:rFonts w:hint="eastAsia" w:ascii="宋体" w:hAnsi="宋体" w:cs="仿宋_GB2312"/>
                <w:szCs w:val="21"/>
                <w:highlight w:val="none"/>
              </w:rPr>
              <w:t>建筑物</w:t>
            </w:r>
            <w:r>
              <w:rPr>
                <w:rFonts w:hint="eastAsia" w:ascii="宋体" w:hAnsi="宋体" w:cs="仿宋_GB2312"/>
                <w:szCs w:val="21"/>
                <w:highlight w:val="none"/>
                <w:lang w:val="zh-CN"/>
              </w:rPr>
              <w:t>结构及幕墙安全检测鉴定</w:t>
            </w:r>
            <w:r>
              <w:rPr>
                <w:rFonts w:hint="eastAsia" w:ascii="宋体" w:hAnsi="宋体" w:cs="仿宋_GB2312"/>
                <w:szCs w:val="21"/>
                <w:highlight w:val="none"/>
              </w:rPr>
              <w:t>存在的重点、难点，较为符合本项目实际情况。针对重点难点进行分析，提出较为符合本项目情况解决方案以及解决流程或相关合理化建议，</w:t>
            </w:r>
            <w:r>
              <w:rPr>
                <w:rFonts w:hint="eastAsia" w:ascii="宋体" w:hAnsi="宋体" w:cs="仿宋_GB2312"/>
                <w:szCs w:val="21"/>
                <w:highlight w:val="none"/>
                <w:lang w:val="zh-CN"/>
              </w:rPr>
              <w:t>加25分；</w:t>
            </w:r>
          </w:p>
          <w:p>
            <w:pPr>
              <w:rPr>
                <w:rFonts w:ascii="宋体" w:hAnsi="宋体" w:cs="仿宋_GB2312"/>
                <w:szCs w:val="21"/>
                <w:highlight w:val="none"/>
                <w:lang w:val="zh-CN"/>
              </w:rPr>
            </w:pPr>
            <w:r>
              <w:rPr>
                <w:rFonts w:hint="eastAsia" w:ascii="宋体" w:hAnsi="宋体" w:cs="仿宋_GB2312"/>
                <w:szCs w:val="21"/>
                <w:highlight w:val="none"/>
                <w:lang w:val="zh-CN"/>
              </w:rPr>
              <w:t>（3）</w:t>
            </w:r>
            <w:r>
              <w:rPr>
                <w:rFonts w:hint="eastAsia" w:ascii="宋体" w:hAnsi="宋体" w:cs="仿宋_GB2312"/>
                <w:szCs w:val="21"/>
                <w:highlight w:val="none"/>
              </w:rPr>
              <w:t>指出</w:t>
            </w:r>
            <w:r>
              <w:rPr>
                <w:rFonts w:hint="eastAsia" w:ascii="宋体" w:hAnsi="宋体" w:cs="仿宋_GB2312"/>
                <w:szCs w:val="21"/>
                <w:highlight w:val="none"/>
                <w:lang w:val="zh-CN"/>
              </w:rPr>
              <w:t>本项目</w:t>
            </w:r>
            <w:r>
              <w:rPr>
                <w:rFonts w:hint="eastAsia" w:ascii="宋体" w:hAnsi="宋体" w:cs="仿宋_GB2312"/>
                <w:szCs w:val="21"/>
                <w:highlight w:val="none"/>
              </w:rPr>
              <w:t>建筑物</w:t>
            </w:r>
            <w:r>
              <w:rPr>
                <w:rFonts w:hint="eastAsia" w:ascii="宋体" w:hAnsi="宋体" w:cs="仿宋_GB2312"/>
                <w:szCs w:val="21"/>
                <w:highlight w:val="none"/>
                <w:lang w:val="zh-CN"/>
              </w:rPr>
              <w:t>结构及幕墙安全检测鉴定</w:t>
            </w:r>
            <w:r>
              <w:rPr>
                <w:rFonts w:hint="eastAsia" w:ascii="宋体" w:hAnsi="宋体" w:cs="仿宋_GB2312"/>
                <w:szCs w:val="21"/>
                <w:highlight w:val="none"/>
              </w:rPr>
              <w:t>存在的重点、难点，与本项目实际情况存在一定偏差。针对重点难点进行分析，提出解决方案以及解决流程或相关合理化建议，但可行性一般，加1</w:t>
            </w:r>
            <w:r>
              <w:rPr>
                <w:rFonts w:ascii="宋体" w:hAnsi="宋体" w:cs="仿宋_GB2312"/>
                <w:szCs w:val="21"/>
                <w:highlight w:val="none"/>
              </w:rPr>
              <w:t>0</w:t>
            </w:r>
            <w:r>
              <w:rPr>
                <w:rFonts w:hint="eastAsia" w:ascii="宋体" w:hAnsi="宋体" w:cs="仿宋_GB2312"/>
                <w:szCs w:val="21"/>
                <w:highlight w:val="none"/>
              </w:rPr>
              <w:t>分</w:t>
            </w:r>
            <w:r>
              <w:rPr>
                <w:rFonts w:hint="eastAsia" w:ascii="宋体" w:hAnsi="宋体" w:cs="仿宋_GB2312"/>
                <w:szCs w:val="21"/>
                <w:highlight w:val="none"/>
                <w:lang w:val="zh-CN"/>
              </w:rPr>
              <w:t>；</w:t>
            </w:r>
          </w:p>
          <w:p>
            <w:pPr>
              <w:rPr>
                <w:rFonts w:ascii="宋体" w:hAnsi="宋体" w:cs="宋体"/>
                <w:szCs w:val="21"/>
                <w:highlight w:val="none"/>
              </w:rPr>
            </w:pPr>
            <w:r>
              <w:rPr>
                <w:rFonts w:hint="eastAsia" w:ascii="宋体" w:hAnsi="宋体" w:cs="仿宋_GB2312"/>
                <w:szCs w:val="21"/>
                <w:highlight w:val="none"/>
                <w:lang w:val="zh-CN"/>
              </w:rPr>
              <w:t>（4）分析不出项目服务的重点和难点，或无法提出合理的应对措施</w:t>
            </w:r>
            <w:r>
              <w:rPr>
                <w:rFonts w:hint="eastAsia" w:ascii="宋体" w:hAnsi="宋体" w:cs="仿宋_GB2312"/>
                <w:szCs w:val="21"/>
                <w:highlight w:val="none"/>
              </w:rPr>
              <w:t>或解决方案</w:t>
            </w:r>
            <w:r>
              <w:rPr>
                <w:rFonts w:hint="eastAsia" w:ascii="宋体" w:hAnsi="宋体" w:cs="仿宋_GB2312"/>
                <w:szCs w:val="21"/>
                <w:highlight w:val="none"/>
                <w:lang w:val="zh-CN"/>
              </w:rPr>
              <w:t>，不得分。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9"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673"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szCs w:val="21"/>
                <w:highlight w:val="none"/>
              </w:rPr>
            </w:pPr>
            <w:r>
              <w:rPr>
                <w:rFonts w:hint="eastAsia" w:ascii="宋体" w:hAnsi="宋体" w:cs="仿宋_GB2312"/>
                <w:szCs w:val="21"/>
                <w:highlight w:val="none"/>
                <w:lang w:val="zh-CN"/>
              </w:rPr>
              <w:t>3</w:t>
            </w:r>
          </w:p>
        </w:tc>
        <w:tc>
          <w:tcPr>
            <w:tcW w:w="279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szCs w:val="21"/>
                <w:highlight w:val="none"/>
              </w:rPr>
            </w:pPr>
            <w:r>
              <w:rPr>
                <w:rFonts w:hint="eastAsia" w:ascii="宋体" w:hAnsi="宋体" w:cs="仿宋_GB2312"/>
                <w:szCs w:val="21"/>
                <w:highlight w:val="none"/>
                <w:lang w:val="zh-CN"/>
              </w:rPr>
              <w:t>质量进度保障措施及方案</w:t>
            </w:r>
          </w:p>
        </w:tc>
        <w:tc>
          <w:tcPr>
            <w:tcW w:w="67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szCs w:val="21"/>
                <w:highlight w:val="none"/>
              </w:rPr>
            </w:pPr>
            <w:r>
              <w:rPr>
                <w:rFonts w:hint="eastAsia" w:ascii="宋体" w:hAnsi="宋体" w:cs="仿宋_GB2312"/>
                <w:szCs w:val="21"/>
                <w:highlight w:val="none"/>
              </w:rPr>
              <w:t>10</w:t>
            </w:r>
          </w:p>
        </w:tc>
        <w:tc>
          <w:tcPr>
            <w:tcW w:w="413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仿宋_GB2312"/>
                <w:szCs w:val="21"/>
                <w:highlight w:val="none"/>
                <w:lang w:val="zh-CN"/>
              </w:rPr>
            </w:pPr>
            <w:r>
              <w:rPr>
                <w:rFonts w:hint="eastAsia" w:ascii="宋体" w:hAnsi="宋体" w:cstheme="minorEastAsia"/>
                <w:highlight w:val="none"/>
              </w:rPr>
              <w:t>（一）评分内容：</w:t>
            </w:r>
          </w:p>
          <w:p>
            <w:pPr>
              <w:rPr>
                <w:rFonts w:ascii="宋体" w:hAnsi="宋体" w:cs="仿宋_GB2312"/>
                <w:szCs w:val="21"/>
                <w:highlight w:val="none"/>
                <w:lang w:val="zh-CN"/>
              </w:rPr>
            </w:pPr>
            <w:r>
              <w:rPr>
                <w:rFonts w:hint="eastAsia" w:ascii="宋体" w:hAnsi="宋体" w:cs="仿宋_GB2312"/>
                <w:szCs w:val="21"/>
                <w:highlight w:val="none"/>
                <w:lang w:val="zh-CN"/>
              </w:rPr>
              <w:t>根据投标人提供的质量进度保障措施及方案包括不限于：</w:t>
            </w:r>
          </w:p>
          <w:p>
            <w:pPr>
              <w:numPr>
                <w:ilvl w:val="0"/>
                <w:numId w:val="9"/>
              </w:numPr>
              <w:rPr>
                <w:rFonts w:ascii="宋体" w:hAnsi="宋体" w:cs="仿宋_GB2312"/>
                <w:szCs w:val="21"/>
                <w:highlight w:val="none"/>
                <w:lang w:val="zh-CN"/>
              </w:rPr>
            </w:pPr>
            <w:r>
              <w:rPr>
                <w:rFonts w:hint="eastAsia" w:ascii="宋体" w:hAnsi="宋体" w:cs="仿宋_GB2312"/>
                <w:szCs w:val="21"/>
                <w:highlight w:val="none"/>
                <w:lang w:val="zh-CN"/>
              </w:rPr>
              <w:t>具体的工作计划和时间安排；</w:t>
            </w:r>
          </w:p>
          <w:p>
            <w:pPr>
              <w:numPr>
                <w:ilvl w:val="0"/>
                <w:numId w:val="9"/>
              </w:numPr>
              <w:rPr>
                <w:rFonts w:ascii="宋体" w:hAnsi="宋体" w:cs="仿宋_GB2312"/>
                <w:szCs w:val="21"/>
                <w:highlight w:val="none"/>
                <w:lang w:val="zh-CN"/>
              </w:rPr>
            </w:pPr>
            <w:r>
              <w:rPr>
                <w:rFonts w:hint="eastAsia" w:ascii="宋体" w:hAnsi="宋体" w:cs="仿宋_GB2312"/>
                <w:szCs w:val="21"/>
                <w:highlight w:val="none"/>
                <w:lang w:val="zh-CN"/>
              </w:rPr>
              <w:t>时间管理制度；</w:t>
            </w:r>
          </w:p>
          <w:p>
            <w:pPr>
              <w:numPr>
                <w:ilvl w:val="0"/>
                <w:numId w:val="9"/>
              </w:numPr>
              <w:rPr>
                <w:rFonts w:ascii="宋体" w:hAnsi="宋体" w:cs="仿宋_GB2312"/>
                <w:szCs w:val="21"/>
                <w:highlight w:val="none"/>
                <w:lang w:val="zh-CN"/>
              </w:rPr>
            </w:pPr>
            <w:r>
              <w:rPr>
                <w:rFonts w:hint="eastAsia" w:ascii="宋体" w:hAnsi="宋体" w:cs="仿宋_GB2312"/>
                <w:szCs w:val="21"/>
                <w:highlight w:val="none"/>
                <w:lang w:val="zh-CN"/>
              </w:rPr>
              <w:t>项目资料；</w:t>
            </w:r>
          </w:p>
          <w:p>
            <w:pPr>
              <w:numPr>
                <w:ilvl w:val="0"/>
                <w:numId w:val="9"/>
              </w:numPr>
              <w:rPr>
                <w:rFonts w:ascii="宋体" w:hAnsi="宋体" w:cs="仿宋_GB2312"/>
                <w:szCs w:val="21"/>
                <w:highlight w:val="none"/>
                <w:lang w:val="zh-CN"/>
              </w:rPr>
            </w:pPr>
            <w:r>
              <w:rPr>
                <w:rFonts w:hint="eastAsia" w:ascii="宋体" w:hAnsi="宋体" w:cs="仿宋_GB2312"/>
                <w:szCs w:val="21"/>
                <w:highlight w:val="none"/>
                <w:lang w:val="zh-CN"/>
              </w:rPr>
              <w:t>成果安全性保障制度。</w:t>
            </w:r>
          </w:p>
          <w:p>
            <w:pPr>
              <w:rPr>
                <w:rFonts w:ascii="宋体" w:hAnsi="宋体" w:cstheme="minorEastAsia"/>
                <w:highlight w:val="none"/>
              </w:rPr>
            </w:pPr>
            <w:r>
              <w:rPr>
                <w:rFonts w:hint="eastAsia" w:ascii="宋体" w:hAnsi="宋体" w:cstheme="minorEastAsia"/>
                <w:highlight w:val="none"/>
              </w:rPr>
              <w:t>（二）评分依据：</w:t>
            </w:r>
          </w:p>
          <w:p>
            <w:pPr>
              <w:rPr>
                <w:rFonts w:ascii="宋体" w:hAnsi="宋体" w:cs="仿宋_GB2312"/>
                <w:szCs w:val="21"/>
                <w:highlight w:val="none"/>
                <w:lang w:val="zh-CN"/>
              </w:rPr>
            </w:pPr>
            <w:r>
              <w:rPr>
                <w:rFonts w:hint="eastAsia" w:ascii="宋体" w:hAnsi="宋体" w:cstheme="minorEastAsia"/>
                <w:highlight w:val="none"/>
              </w:rPr>
              <w:t>1.</w:t>
            </w:r>
            <w:r>
              <w:rPr>
                <w:rFonts w:hint="eastAsia" w:ascii="宋体" w:hAnsi="宋体" w:cs="宋体"/>
                <w:szCs w:val="21"/>
                <w:highlight w:val="none"/>
              </w:rPr>
              <w:t>投标文件每包含以上任意一项内容得15分，全部包含的得6</w:t>
            </w:r>
            <w:r>
              <w:rPr>
                <w:rFonts w:ascii="宋体" w:hAnsi="宋体" w:cs="宋体"/>
                <w:szCs w:val="21"/>
                <w:highlight w:val="none"/>
              </w:rPr>
              <w:t>0</w:t>
            </w:r>
            <w:r>
              <w:rPr>
                <w:rFonts w:hint="eastAsia" w:ascii="宋体" w:hAnsi="宋体" w:cs="宋体"/>
                <w:szCs w:val="21"/>
                <w:highlight w:val="none"/>
              </w:rPr>
              <w:t>分</w:t>
            </w:r>
            <w:r>
              <w:rPr>
                <w:rFonts w:hint="eastAsia" w:ascii="宋体" w:hAnsi="宋体" w:cstheme="minorEastAsia"/>
                <w:highlight w:val="none"/>
              </w:rPr>
              <w:t>。</w:t>
            </w:r>
          </w:p>
          <w:p>
            <w:pPr>
              <w:rPr>
                <w:rFonts w:ascii="宋体" w:hAnsi="宋体" w:cstheme="minorEastAsia"/>
                <w:highlight w:val="none"/>
              </w:rPr>
            </w:pPr>
            <w:r>
              <w:rPr>
                <w:rFonts w:hint="eastAsia" w:ascii="宋体" w:hAnsi="宋体" w:cstheme="minorEastAsia"/>
                <w:highlight w:val="none"/>
              </w:rPr>
              <w:t>2.在此基础上，专家根据各供应商的具体响应内容进行评价。</w:t>
            </w:r>
          </w:p>
          <w:p>
            <w:pPr>
              <w:rPr>
                <w:rFonts w:ascii="宋体" w:hAnsi="宋体" w:cs="仿宋_GB2312"/>
                <w:szCs w:val="21"/>
                <w:highlight w:val="none"/>
                <w:lang w:val="zh-CN"/>
              </w:rPr>
            </w:pPr>
            <w:r>
              <w:rPr>
                <w:rFonts w:hint="eastAsia" w:ascii="宋体" w:hAnsi="宋体" w:cs="仿宋_GB2312"/>
                <w:szCs w:val="21"/>
                <w:highlight w:val="none"/>
                <w:lang w:val="zh-CN"/>
              </w:rPr>
              <w:t>（</w:t>
            </w:r>
            <w:r>
              <w:rPr>
                <w:rFonts w:hint="eastAsia" w:ascii="宋体" w:hAnsi="宋体" w:cs="仿宋_GB2312"/>
                <w:szCs w:val="21"/>
                <w:highlight w:val="none"/>
              </w:rPr>
              <w:t>1</w:t>
            </w:r>
            <w:r>
              <w:rPr>
                <w:rFonts w:hint="eastAsia" w:ascii="宋体" w:hAnsi="宋体" w:cs="仿宋_GB2312"/>
                <w:szCs w:val="21"/>
                <w:highlight w:val="none"/>
                <w:lang w:val="zh-CN"/>
              </w:rPr>
              <w:t>）</w:t>
            </w:r>
            <w:r>
              <w:rPr>
                <w:rFonts w:hint="eastAsia" w:ascii="宋体" w:hAnsi="宋体" w:cs="仿宋_GB2312"/>
                <w:szCs w:val="21"/>
                <w:highlight w:val="none"/>
              </w:rPr>
              <w:t>提供具有详细的工作计划和时间安排，</w:t>
            </w:r>
            <w:r>
              <w:rPr>
                <w:rFonts w:hint="eastAsia" w:ascii="宋体" w:hAnsi="宋体" w:cs="仿宋_GB2312"/>
                <w:szCs w:val="21"/>
                <w:highlight w:val="none"/>
                <w:lang w:val="zh-CN"/>
              </w:rPr>
              <w:t>结构及幕墙安全检测鉴定</w:t>
            </w:r>
            <w:r>
              <w:rPr>
                <w:rFonts w:hint="eastAsia" w:ascii="宋体" w:hAnsi="宋体" w:cs="仿宋_GB2312"/>
                <w:szCs w:val="21"/>
                <w:highlight w:val="none"/>
              </w:rPr>
              <w:t>可保证</w:t>
            </w:r>
            <w:r>
              <w:rPr>
                <w:rFonts w:hint="eastAsia" w:ascii="宋体" w:hAnsi="宋体" w:cs="仿宋_GB2312"/>
                <w:szCs w:val="21"/>
                <w:highlight w:val="none"/>
                <w:lang w:val="en-US" w:eastAsia="zh-CN"/>
              </w:rPr>
              <w:t>按要求</w:t>
            </w:r>
            <w:r>
              <w:rPr>
                <w:rFonts w:hint="eastAsia" w:ascii="宋体" w:hAnsi="宋体" w:cs="仿宋_GB2312"/>
                <w:szCs w:val="21"/>
                <w:highlight w:val="none"/>
              </w:rPr>
              <w:t>完成</w:t>
            </w:r>
            <w:r>
              <w:rPr>
                <w:rFonts w:hint="eastAsia" w:ascii="宋体" w:hAnsi="宋体" w:cs="仿宋_GB2312"/>
                <w:szCs w:val="21"/>
                <w:highlight w:val="none"/>
                <w:lang w:val="zh-CN"/>
              </w:rPr>
              <w:t>，</w:t>
            </w:r>
            <w:r>
              <w:rPr>
                <w:rFonts w:hint="eastAsia" w:ascii="宋体" w:hAnsi="宋体" w:cs="仿宋_GB2312"/>
                <w:szCs w:val="21"/>
                <w:highlight w:val="none"/>
              </w:rPr>
              <w:t>绘制工作进度表；有详细的时间管理制度以及措施，</w:t>
            </w:r>
            <w:r>
              <w:rPr>
                <w:rFonts w:hint="eastAsia" w:ascii="宋体" w:hAnsi="宋体" w:cs="仿宋_GB2312"/>
                <w:szCs w:val="21"/>
                <w:highlight w:val="none"/>
                <w:lang w:val="zh-CN"/>
              </w:rPr>
              <w:t>项目资料、成果安全性保障制度与质量保障措施，加4</w:t>
            </w:r>
            <w:r>
              <w:rPr>
                <w:rFonts w:ascii="宋体" w:hAnsi="宋体" w:cs="仿宋_GB2312"/>
                <w:szCs w:val="21"/>
                <w:highlight w:val="none"/>
                <w:lang w:val="zh-CN"/>
              </w:rPr>
              <w:t>0</w:t>
            </w:r>
            <w:r>
              <w:rPr>
                <w:rFonts w:hint="eastAsia" w:ascii="宋体" w:hAnsi="宋体" w:cs="仿宋_GB2312"/>
                <w:szCs w:val="21"/>
                <w:highlight w:val="none"/>
                <w:lang w:val="zh-CN"/>
              </w:rPr>
              <w:t>分；</w:t>
            </w:r>
          </w:p>
          <w:p>
            <w:pPr>
              <w:rPr>
                <w:rFonts w:ascii="宋体" w:hAnsi="宋体" w:cs="仿宋_GB2312"/>
                <w:szCs w:val="21"/>
                <w:highlight w:val="none"/>
                <w:lang w:val="zh-CN"/>
              </w:rPr>
            </w:pPr>
            <w:r>
              <w:rPr>
                <w:rFonts w:hint="eastAsia" w:ascii="宋体" w:hAnsi="宋体" w:cs="仿宋_GB2312"/>
                <w:szCs w:val="21"/>
                <w:highlight w:val="none"/>
                <w:lang w:val="zh-CN"/>
              </w:rPr>
              <w:t>（2）</w:t>
            </w:r>
            <w:r>
              <w:rPr>
                <w:rFonts w:hint="eastAsia" w:ascii="宋体" w:hAnsi="宋体" w:cs="仿宋_GB2312"/>
                <w:szCs w:val="21"/>
                <w:highlight w:val="none"/>
              </w:rPr>
              <w:t>提供工作计划和时间安排，对项目检测进度安排可</w:t>
            </w:r>
            <w:r>
              <w:rPr>
                <w:rFonts w:hint="eastAsia" w:ascii="宋体" w:hAnsi="宋体" w:cs="仿宋_GB2312"/>
                <w:szCs w:val="21"/>
                <w:highlight w:val="none"/>
                <w:lang w:val="en-US" w:eastAsia="zh-CN"/>
              </w:rPr>
              <w:t>较好</w:t>
            </w:r>
            <w:r>
              <w:rPr>
                <w:rFonts w:hint="eastAsia" w:ascii="宋体" w:hAnsi="宋体" w:cs="仿宋_GB2312"/>
                <w:szCs w:val="21"/>
                <w:highlight w:val="none"/>
              </w:rPr>
              <w:t>完成</w:t>
            </w:r>
            <w:r>
              <w:rPr>
                <w:rFonts w:hint="eastAsia" w:ascii="宋体" w:hAnsi="宋体" w:cs="仿宋_GB2312"/>
                <w:szCs w:val="21"/>
                <w:highlight w:val="none"/>
                <w:lang w:val="zh-CN"/>
              </w:rPr>
              <w:t>，</w:t>
            </w:r>
            <w:r>
              <w:rPr>
                <w:rFonts w:hint="eastAsia" w:ascii="宋体" w:hAnsi="宋体" w:cs="仿宋_GB2312"/>
                <w:szCs w:val="21"/>
                <w:highlight w:val="none"/>
              </w:rPr>
              <w:t>绘制工作进度表；有大致的时间管理制度以及措施，</w:t>
            </w:r>
            <w:r>
              <w:rPr>
                <w:rFonts w:hint="eastAsia" w:ascii="宋体" w:hAnsi="宋体" w:cs="仿宋_GB2312"/>
                <w:szCs w:val="21"/>
                <w:highlight w:val="none"/>
                <w:lang w:val="zh-CN"/>
              </w:rPr>
              <w:t>项目资料、成果安全性保障制度与质量保障措施，加25分；</w:t>
            </w:r>
          </w:p>
          <w:p>
            <w:pPr>
              <w:rPr>
                <w:rFonts w:ascii="宋体" w:hAnsi="宋体" w:cs="仿宋_GB2312"/>
                <w:szCs w:val="21"/>
                <w:highlight w:val="none"/>
                <w:lang w:val="zh-CN"/>
              </w:rPr>
            </w:pPr>
            <w:r>
              <w:rPr>
                <w:rFonts w:hint="eastAsia" w:ascii="宋体" w:hAnsi="宋体" w:cs="仿宋_GB2312"/>
                <w:szCs w:val="21"/>
                <w:highlight w:val="none"/>
                <w:lang w:val="zh-CN"/>
              </w:rPr>
              <w:t>（3）</w:t>
            </w:r>
            <w:r>
              <w:rPr>
                <w:rFonts w:hint="eastAsia" w:ascii="宋体" w:hAnsi="宋体" w:cs="仿宋_GB2312"/>
                <w:szCs w:val="21"/>
                <w:highlight w:val="none"/>
              </w:rPr>
              <w:t>提供工作计划和时间安排，对项目检测进度安排可保证完成；体提供时间管理制度以及措施或</w:t>
            </w:r>
            <w:r>
              <w:rPr>
                <w:rFonts w:hint="eastAsia" w:ascii="宋体" w:hAnsi="宋体" w:cs="仿宋_GB2312"/>
                <w:szCs w:val="21"/>
                <w:highlight w:val="none"/>
                <w:lang w:val="zh-CN"/>
              </w:rPr>
              <w:t>项目资料、成果安全性保障制度与质量保障措施</w:t>
            </w:r>
            <w:r>
              <w:rPr>
                <w:rFonts w:hint="eastAsia" w:ascii="宋体" w:hAnsi="宋体" w:cs="仿宋_GB2312"/>
                <w:szCs w:val="21"/>
                <w:highlight w:val="none"/>
              </w:rPr>
              <w:t>一般</w:t>
            </w:r>
            <w:r>
              <w:rPr>
                <w:rFonts w:hint="eastAsia" w:ascii="宋体" w:hAnsi="宋体" w:cs="仿宋_GB2312"/>
                <w:szCs w:val="21"/>
                <w:highlight w:val="none"/>
                <w:lang w:val="zh-CN"/>
              </w:rPr>
              <w:t>，加1</w:t>
            </w:r>
            <w:r>
              <w:rPr>
                <w:rFonts w:ascii="宋体" w:hAnsi="宋体" w:cs="仿宋_GB2312"/>
                <w:szCs w:val="21"/>
                <w:highlight w:val="none"/>
                <w:lang w:val="zh-CN"/>
              </w:rPr>
              <w:t>0</w:t>
            </w:r>
            <w:r>
              <w:rPr>
                <w:rFonts w:hint="eastAsia" w:ascii="宋体" w:hAnsi="宋体" w:cs="仿宋_GB2312"/>
                <w:szCs w:val="21"/>
                <w:highlight w:val="none"/>
                <w:lang w:val="zh-CN"/>
              </w:rPr>
              <w:t>分；</w:t>
            </w:r>
          </w:p>
          <w:p>
            <w:pPr>
              <w:rPr>
                <w:rFonts w:ascii="宋体" w:hAnsi="宋体" w:cs="宋体"/>
                <w:szCs w:val="21"/>
                <w:highlight w:val="none"/>
              </w:rPr>
            </w:pPr>
            <w:r>
              <w:rPr>
                <w:rFonts w:hint="eastAsia" w:ascii="宋体" w:hAnsi="宋体" w:cs="仿宋_GB2312"/>
                <w:szCs w:val="21"/>
                <w:highlight w:val="none"/>
                <w:lang w:val="zh-CN"/>
              </w:rPr>
              <w:t>（4）质量进度保障措施及方案</w:t>
            </w:r>
            <w:r>
              <w:rPr>
                <w:rFonts w:hint="eastAsia" w:ascii="宋体" w:hAnsi="宋体" w:cs="仿宋_GB2312"/>
                <w:szCs w:val="21"/>
                <w:highlight w:val="none"/>
              </w:rPr>
              <w:t>不满足两项要求内容或内容</w:t>
            </w:r>
            <w:r>
              <w:rPr>
                <w:rFonts w:hint="eastAsia" w:ascii="宋体" w:hAnsi="宋体" w:cs="仿宋_GB2312"/>
                <w:szCs w:val="21"/>
                <w:highlight w:val="none"/>
                <w:lang w:val="zh-CN"/>
              </w:rPr>
              <w:t>不完善，或保障性及可行性差的，不得分。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9"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673"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highlight w:val="none"/>
              </w:rPr>
            </w:pPr>
            <w:r>
              <w:rPr>
                <w:rFonts w:hint="eastAsia" w:ascii="宋体" w:hAnsi="宋体" w:cs="仿宋_GB2312"/>
                <w:szCs w:val="21"/>
                <w:highlight w:val="none"/>
              </w:rPr>
              <w:t>4</w:t>
            </w:r>
          </w:p>
        </w:tc>
        <w:tc>
          <w:tcPr>
            <w:tcW w:w="279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szCs w:val="21"/>
                <w:highlight w:val="none"/>
              </w:rPr>
            </w:pPr>
            <w:r>
              <w:rPr>
                <w:rFonts w:hint="eastAsia" w:ascii="宋体" w:hAnsi="宋体" w:cs="仿宋_GB2312"/>
                <w:szCs w:val="21"/>
                <w:highlight w:val="none"/>
                <w:lang w:val="zh-CN"/>
              </w:rPr>
              <w:t>拟安排的项目负责人情况(仅限1人）</w:t>
            </w:r>
          </w:p>
        </w:tc>
        <w:tc>
          <w:tcPr>
            <w:tcW w:w="67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szCs w:val="21"/>
                <w:highlight w:val="none"/>
              </w:rPr>
            </w:pPr>
            <w:r>
              <w:rPr>
                <w:rFonts w:hint="eastAsia" w:ascii="宋体" w:hAnsi="宋体" w:cs="仿宋_GB2312"/>
                <w:szCs w:val="21"/>
                <w:highlight w:val="none"/>
              </w:rPr>
              <w:t>5</w:t>
            </w:r>
          </w:p>
        </w:tc>
        <w:tc>
          <w:tcPr>
            <w:tcW w:w="4135" w:type="dxa"/>
            <w:tcBorders>
              <w:top w:val="single" w:color="000000" w:sz="8" w:space="0"/>
              <w:left w:val="single" w:color="000000" w:sz="8" w:space="0"/>
              <w:bottom w:val="single" w:color="000000" w:sz="8" w:space="0"/>
              <w:right w:val="single" w:color="000000" w:sz="8" w:space="0"/>
            </w:tcBorders>
            <w:vAlign w:val="center"/>
          </w:tcPr>
          <w:p>
            <w:pPr>
              <w:jc w:val="left"/>
              <w:rPr>
                <w:rFonts w:hint="eastAsia"/>
                <w:highlight w:val="none"/>
              </w:rPr>
            </w:pPr>
            <w:r>
              <w:rPr>
                <w:rFonts w:hint="eastAsia" w:ascii="宋体" w:hAnsi="宋体" w:cs="仿宋_GB2312"/>
                <w:b/>
                <w:bCs/>
                <w:szCs w:val="21"/>
                <w:highlight w:val="none"/>
              </w:rPr>
              <w:t>（如为联合体，则需是联合体其中一方）</w:t>
            </w:r>
          </w:p>
          <w:p>
            <w:pPr>
              <w:rPr>
                <w:highlight w:val="none"/>
                <w:lang w:val="zh-CN"/>
              </w:rPr>
            </w:pPr>
            <w:r>
              <w:rPr>
                <w:rFonts w:hint="eastAsia"/>
                <w:highlight w:val="none"/>
              </w:rPr>
              <w:t>（一）评分内容：</w:t>
            </w:r>
          </w:p>
          <w:p>
            <w:pPr>
              <w:rPr>
                <w:highlight w:val="none"/>
                <w:lang w:val="zh-CN"/>
              </w:rPr>
            </w:pPr>
            <w:r>
              <w:rPr>
                <w:rFonts w:hint="eastAsia"/>
                <w:highlight w:val="none"/>
              </w:rPr>
              <w:t>拟安排的项目负责人</w:t>
            </w:r>
            <w:r>
              <w:rPr>
                <w:rFonts w:hint="eastAsia"/>
                <w:highlight w:val="none"/>
                <w:lang w:val="zh-CN"/>
              </w:rPr>
              <w:t>必须是投标单位自有员工，在此基础上：</w:t>
            </w:r>
          </w:p>
          <w:p>
            <w:pPr>
              <w:rPr>
                <w:highlight w:val="none"/>
                <w:lang w:val="zh-CN"/>
              </w:rPr>
            </w:pPr>
            <w:r>
              <w:rPr>
                <w:rFonts w:hint="eastAsia"/>
                <w:highlight w:val="none"/>
                <w:lang w:val="zh-CN"/>
              </w:rPr>
              <w:t>具有建筑结构</w:t>
            </w:r>
            <w:r>
              <w:rPr>
                <w:rFonts w:hint="eastAsia"/>
                <w:highlight w:val="none"/>
              </w:rPr>
              <w:t>正高级</w:t>
            </w:r>
            <w:r>
              <w:rPr>
                <w:rFonts w:hint="eastAsia"/>
                <w:highlight w:val="none"/>
                <w:lang w:val="zh-CN"/>
              </w:rPr>
              <w:t>工程师职称</w:t>
            </w:r>
            <w:r>
              <w:rPr>
                <w:rFonts w:hint="eastAsia"/>
                <w:highlight w:val="none"/>
              </w:rPr>
              <w:t>的，得</w:t>
            </w:r>
            <w:r>
              <w:rPr>
                <w:highlight w:val="none"/>
              </w:rPr>
              <w:t>100</w:t>
            </w:r>
            <w:r>
              <w:rPr>
                <w:rFonts w:hint="eastAsia"/>
                <w:highlight w:val="none"/>
              </w:rPr>
              <w:t>分；</w:t>
            </w:r>
            <w:r>
              <w:rPr>
                <w:rFonts w:hint="eastAsia"/>
                <w:highlight w:val="none"/>
                <w:lang w:val="zh-CN"/>
              </w:rPr>
              <w:t>具有建筑结构高级</w:t>
            </w:r>
            <w:r>
              <w:rPr>
                <w:rFonts w:hint="eastAsia"/>
                <w:highlight w:val="none"/>
              </w:rPr>
              <w:t>（包含副高级）</w:t>
            </w:r>
            <w:r>
              <w:rPr>
                <w:rFonts w:hint="eastAsia"/>
                <w:highlight w:val="none"/>
                <w:lang w:val="zh-CN"/>
              </w:rPr>
              <w:t>工程师职称的得</w:t>
            </w:r>
            <w:r>
              <w:rPr>
                <w:highlight w:val="none"/>
              </w:rPr>
              <w:t>50</w:t>
            </w:r>
            <w:r>
              <w:rPr>
                <w:rFonts w:hint="eastAsia"/>
                <w:highlight w:val="none"/>
                <w:lang w:val="zh-CN"/>
              </w:rPr>
              <w:t>分。</w:t>
            </w:r>
          </w:p>
          <w:p>
            <w:pPr>
              <w:rPr>
                <w:rFonts w:ascii="宋体" w:hAnsi="宋体" w:cstheme="minorEastAsia"/>
                <w:highlight w:val="none"/>
              </w:rPr>
            </w:pPr>
            <w:r>
              <w:rPr>
                <w:rFonts w:hint="eastAsia" w:ascii="宋体" w:hAnsi="宋体" w:cstheme="minorEastAsia"/>
                <w:highlight w:val="none"/>
              </w:rPr>
              <w:t>（二）评分依据：</w:t>
            </w:r>
          </w:p>
          <w:p>
            <w:pPr>
              <w:rPr>
                <w:rFonts w:hint="eastAsia"/>
                <w:highlight w:val="none"/>
                <w:lang w:val="zh-CN"/>
              </w:rPr>
            </w:pPr>
            <w:r>
              <w:rPr>
                <w:rFonts w:hint="eastAsia"/>
                <w:highlight w:val="none"/>
              </w:rPr>
              <w:t>1.</w:t>
            </w:r>
            <w:r>
              <w:rPr>
                <w:rFonts w:hint="eastAsia"/>
                <w:highlight w:val="none"/>
                <w:lang w:val="zh-CN"/>
              </w:rPr>
              <w:t>提供上述人员近一个月投标方为其购买的社保证明；如开标日上一个月的社保材料因社保部门或税务部门原因暂时无法取得，则可以往前顺延一个月；如投标方注册成立时间不足1个月的，可提供承诺函（格式自拟）；</w:t>
            </w:r>
          </w:p>
          <w:p>
            <w:pPr>
              <w:rPr>
                <w:highlight w:val="none"/>
              </w:rPr>
            </w:pPr>
            <w:r>
              <w:rPr>
                <w:rFonts w:hint="eastAsia"/>
                <w:highlight w:val="none"/>
              </w:rPr>
              <w:t>2.提供相关证书；</w:t>
            </w:r>
          </w:p>
          <w:p>
            <w:pPr>
              <w:rPr>
                <w:highlight w:val="none"/>
              </w:rPr>
            </w:pPr>
            <w:r>
              <w:rPr>
                <w:rFonts w:hint="eastAsia"/>
                <w:highlight w:val="none"/>
              </w:rPr>
              <w:t>3.</w:t>
            </w:r>
            <w:r>
              <w:rPr>
                <w:rFonts w:hint="eastAsia"/>
                <w:highlight w:val="none"/>
                <w:lang w:val="zh-CN"/>
              </w:rPr>
              <w:t>以上资料均要求提供，未提供或提供不清晰导致专家无法判断的不得分。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9"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673" w:type="dxa"/>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仿宋_GB2312"/>
                <w:szCs w:val="21"/>
                <w:highlight w:val="none"/>
                <w:lang w:eastAsia="zh-CN"/>
              </w:rPr>
            </w:pPr>
            <w:r>
              <w:rPr>
                <w:rFonts w:hint="eastAsia" w:ascii="宋体" w:hAnsi="宋体" w:cs="仿宋_GB2312"/>
                <w:szCs w:val="21"/>
                <w:highlight w:val="none"/>
                <w:lang w:val="en-US" w:eastAsia="zh-CN"/>
              </w:rPr>
              <w:t>5</w:t>
            </w:r>
          </w:p>
        </w:tc>
        <w:tc>
          <w:tcPr>
            <w:tcW w:w="2795" w:type="dxa"/>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cs="仿宋_GB2312"/>
                <w:szCs w:val="21"/>
                <w:highlight w:val="none"/>
                <w:lang w:val="zh-CN"/>
              </w:rPr>
            </w:pPr>
            <w:r>
              <w:rPr>
                <w:rFonts w:hint="eastAsia" w:ascii="宋体" w:hAnsi="宋体" w:cs="仿宋_GB2312"/>
                <w:szCs w:val="21"/>
                <w:highlight w:val="none"/>
                <w:lang w:val="zh-CN"/>
              </w:rPr>
              <w:t>拟安排的外部技术支持人员</w:t>
            </w:r>
          </w:p>
        </w:tc>
        <w:tc>
          <w:tcPr>
            <w:tcW w:w="674" w:type="dxa"/>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cs="仿宋_GB2312"/>
                <w:szCs w:val="21"/>
                <w:highlight w:val="none"/>
              </w:rPr>
            </w:pPr>
            <w:r>
              <w:rPr>
                <w:rFonts w:hint="eastAsia" w:ascii="宋体" w:hAnsi="宋体" w:cs="仿宋_GB2312"/>
                <w:szCs w:val="21"/>
                <w:highlight w:val="none"/>
              </w:rPr>
              <w:t>5</w:t>
            </w:r>
          </w:p>
        </w:tc>
        <w:tc>
          <w:tcPr>
            <w:tcW w:w="413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仿宋_GB2312"/>
                <w:szCs w:val="21"/>
                <w:highlight w:val="none"/>
                <w:lang w:val="zh-CN"/>
              </w:rPr>
            </w:pPr>
            <w:r>
              <w:rPr>
                <w:rFonts w:hint="eastAsia"/>
                <w:highlight w:val="none"/>
              </w:rPr>
              <w:t>（一）评分内容</w:t>
            </w:r>
          </w:p>
          <w:p>
            <w:pPr>
              <w:rPr>
                <w:rFonts w:ascii="宋体" w:hAnsi="宋体" w:cs="仿宋_GB2312"/>
                <w:szCs w:val="21"/>
                <w:highlight w:val="none"/>
                <w:lang w:val="zh-CN"/>
              </w:rPr>
            </w:pPr>
            <w:r>
              <w:rPr>
                <w:rFonts w:hint="eastAsia" w:ascii="宋体" w:hAnsi="宋体" w:cs="仿宋_GB2312"/>
                <w:szCs w:val="21"/>
                <w:highlight w:val="none"/>
                <w:lang w:val="zh-CN"/>
              </w:rPr>
              <w:t>本项目拟安排的外部技术支持人员要求如下：</w:t>
            </w:r>
          </w:p>
          <w:p>
            <w:pPr>
              <w:pStyle w:val="71"/>
              <w:numPr>
                <w:ilvl w:val="0"/>
                <w:numId w:val="0"/>
              </w:numPr>
              <w:ind w:leftChars="0"/>
              <w:rPr>
                <w:rFonts w:ascii="宋体" w:hAnsi="宋体" w:cs="仿宋_GB2312"/>
                <w:szCs w:val="21"/>
                <w:highlight w:val="none"/>
                <w:lang w:val="zh-CN"/>
              </w:rPr>
            </w:pPr>
            <w:r>
              <w:rPr>
                <w:rFonts w:hint="eastAsia" w:ascii="宋体" w:hAnsi="宋体" w:cs="仿宋_GB2312"/>
                <w:szCs w:val="21"/>
                <w:highlight w:val="none"/>
                <w:lang w:val="en-US" w:eastAsia="zh-CN"/>
              </w:rPr>
              <w:t>（1）</w:t>
            </w:r>
            <w:r>
              <w:rPr>
                <w:rFonts w:hint="eastAsia" w:ascii="宋体" w:hAnsi="宋体" w:cs="仿宋_GB2312"/>
                <w:szCs w:val="21"/>
                <w:highlight w:val="none"/>
                <w:lang w:val="zh-CN"/>
              </w:rPr>
              <w:t>具有建筑结构高级（</w:t>
            </w:r>
            <w:r>
              <w:rPr>
                <w:rFonts w:hint="eastAsia" w:ascii="宋体" w:hAnsi="宋体" w:cs="仿宋_GB2312"/>
                <w:szCs w:val="21"/>
                <w:highlight w:val="none"/>
                <w:lang w:val="en-US" w:eastAsia="zh-CN"/>
              </w:rPr>
              <w:t>或以上）</w:t>
            </w:r>
            <w:r>
              <w:rPr>
                <w:rFonts w:hint="eastAsia" w:ascii="宋体" w:hAnsi="宋体" w:cs="仿宋_GB2312"/>
                <w:szCs w:val="21"/>
                <w:highlight w:val="none"/>
                <w:lang w:val="zh-CN"/>
              </w:rPr>
              <w:t>工程师职称及一级注册结构工程师的，每提供一人得</w:t>
            </w:r>
            <w:r>
              <w:rPr>
                <w:rFonts w:ascii="宋体" w:hAnsi="宋体" w:cs="仿宋_GB2312"/>
                <w:szCs w:val="21"/>
                <w:highlight w:val="none"/>
                <w:lang w:val="zh-CN"/>
              </w:rPr>
              <w:t>1</w:t>
            </w:r>
            <w:r>
              <w:rPr>
                <w:rFonts w:hint="eastAsia" w:ascii="宋体" w:hAnsi="宋体" w:cs="仿宋_GB2312"/>
                <w:szCs w:val="21"/>
                <w:highlight w:val="none"/>
                <w:lang w:val="en-US" w:eastAsia="zh-CN"/>
              </w:rPr>
              <w:t>0</w:t>
            </w:r>
            <w:r>
              <w:rPr>
                <w:rFonts w:hint="eastAsia" w:ascii="宋体" w:hAnsi="宋体" w:cs="仿宋_GB2312"/>
                <w:szCs w:val="21"/>
                <w:highlight w:val="none"/>
                <w:lang w:val="zh-CN"/>
              </w:rPr>
              <w:t>分，本小项最高得</w:t>
            </w:r>
            <w:r>
              <w:rPr>
                <w:rFonts w:ascii="宋体" w:hAnsi="宋体" w:cs="仿宋_GB2312"/>
                <w:szCs w:val="21"/>
                <w:highlight w:val="none"/>
                <w:lang w:val="zh-CN"/>
              </w:rPr>
              <w:t>4</w:t>
            </w:r>
            <w:r>
              <w:rPr>
                <w:rFonts w:hint="eastAsia" w:ascii="宋体" w:hAnsi="宋体" w:cs="仿宋_GB2312"/>
                <w:szCs w:val="21"/>
                <w:highlight w:val="none"/>
                <w:lang w:val="en-US" w:eastAsia="zh-CN"/>
              </w:rPr>
              <w:t>0</w:t>
            </w:r>
            <w:r>
              <w:rPr>
                <w:rFonts w:hint="eastAsia" w:ascii="宋体" w:hAnsi="宋体" w:cs="仿宋_GB2312"/>
                <w:szCs w:val="21"/>
                <w:highlight w:val="none"/>
                <w:lang w:val="zh-CN"/>
              </w:rPr>
              <w:t>分 ；</w:t>
            </w:r>
          </w:p>
          <w:p>
            <w:pPr>
              <w:pStyle w:val="71"/>
              <w:numPr>
                <w:ilvl w:val="0"/>
                <w:numId w:val="0"/>
              </w:numPr>
              <w:ind w:leftChars="0"/>
              <w:rPr>
                <w:rFonts w:ascii="宋体" w:hAnsi="宋体" w:cs="仿宋_GB2312"/>
                <w:szCs w:val="21"/>
                <w:highlight w:val="none"/>
                <w:lang w:val="zh-CN"/>
              </w:rPr>
            </w:pPr>
            <w:r>
              <w:rPr>
                <w:rFonts w:hint="eastAsia" w:ascii="宋体" w:hAnsi="宋体" w:cs="仿宋_GB2312"/>
                <w:szCs w:val="21"/>
                <w:highlight w:val="none"/>
                <w:lang w:val="en-US" w:eastAsia="zh-CN"/>
              </w:rPr>
              <w:t>（2）</w:t>
            </w:r>
            <w:r>
              <w:rPr>
                <w:rFonts w:hint="eastAsia" w:ascii="宋体" w:hAnsi="宋体" w:cs="仿宋_GB2312"/>
                <w:szCs w:val="21"/>
                <w:highlight w:val="none"/>
                <w:lang w:val="zh-CN"/>
              </w:rPr>
              <w:t>具有建筑结构中级工程师或以上职称证书的，每提供一人得</w:t>
            </w:r>
            <w:r>
              <w:rPr>
                <w:rFonts w:hint="eastAsia" w:ascii="宋体" w:hAnsi="宋体" w:cs="仿宋_GB2312"/>
                <w:szCs w:val="21"/>
                <w:highlight w:val="none"/>
                <w:lang w:val="en-US" w:eastAsia="zh-CN"/>
              </w:rPr>
              <w:t>9</w:t>
            </w:r>
            <w:r>
              <w:rPr>
                <w:rFonts w:hint="eastAsia" w:ascii="宋体" w:hAnsi="宋体" w:cs="仿宋_GB2312"/>
                <w:szCs w:val="21"/>
                <w:highlight w:val="none"/>
                <w:lang w:val="zh-CN"/>
              </w:rPr>
              <w:t>分，本小项最高得</w:t>
            </w:r>
            <w:r>
              <w:rPr>
                <w:rFonts w:hint="eastAsia" w:ascii="宋体" w:hAnsi="宋体" w:cs="仿宋_GB2312"/>
                <w:szCs w:val="21"/>
                <w:highlight w:val="none"/>
                <w:lang w:val="en-US" w:eastAsia="zh-CN"/>
              </w:rPr>
              <w:t>60</w:t>
            </w:r>
            <w:r>
              <w:rPr>
                <w:rFonts w:hint="eastAsia" w:ascii="宋体" w:hAnsi="宋体" w:cs="仿宋_GB2312"/>
                <w:szCs w:val="21"/>
                <w:highlight w:val="none"/>
                <w:lang w:val="zh-CN"/>
              </w:rPr>
              <w:t>分；</w:t>
            </w:r>
          </w:p>
          <w:p>
            <w:pPr>
              <w:rPr>
                <w:rFonts w:hint="eastAsia" w:ascii="宋体" w:hAnsi="宋体" w:cs="仿宋_GB2312"/>
                <w:szCs w:val="21"/>
                <w:highlight w:val="none"/>
                <w:lang w:val="zh-CN"/>
              </w:rPr>
            </w:pPr>
            <w:r>
              <w:rPr>
                <w:rFonts w:hint="eastAsia" w:ascii="宋体" w:hAnsi="宋体" w:cs="仿宋_GB2312"/>
                <w:szCs w:val="21"/>
                <w:highlight w:val="none"/>
                <w:lang w:val="zh-CN"/>
              </w:rPr>
              <w:t>以上人员</w:t>
            </w:r>
            <w:r>
              <w:rPr>
                <w:rFonts w:hint="eastAsia" w:ascii="宋体" w:hAnsi="宋体" w:cs="仿宋_GB2312"/>
                <w:szCs w:val="21"/>
                <w:highlight w:val="none"/>
                <w:lang w:val="en-US" w:eastAsia="zh-CN"/>
              </w:rPr>
              <w:t>同时满足评分内容（1）、（2）</w:t>
            </w:r>
            <w:r>
              <w:rPr>
                <w:rFonts w:hint="eastAsia" w:ascii="宋体" w:hAnsi="宋体" w:cs="仿宋_GB2312"/>
                <w:szCs w:val="21"/>
                <w:highlight w:val="none"/>
                <w:lang w:val="zh-CN"/>
              </w:rPr>
              <w:t>只能在其中一项得分，</w:t>
            </w:r>
            <w:r>
              <w:rPr>
                <w:rFonts w:hint="eastAsia" w:ascii="宋体" w:hAnsi="宋体" w:cs="仿宋_GB2312"/>
                <w:szCs w:val="21"/>
                <w:highlight w:val="none"/>
                <w:lang w:val="en-US" w:eastAsia="zh-CN"/>
              </w:rPr>
              <w:t>以最优得分计分，</w:t>
            </w:r>
            <w:r>
              <w:rPr>
                <w:rFonts w:hint="eastAsia" w:ascii="宋体" w:hAnsi="宋体" w:cs="仿宋_GB2312"/>
                <w:szCs w:val="21"/>
                <w:highlight w:val="none"/>
                <w:lang w:val="zh-CN"/>
              </w:rPr>
              <w:t>不重复计分。</w:t>
            </w:r>
          </w:p>
          <w:p>
            <w:pPr>
              <w:rPr>
                <w:rFonts w:ascii="宋体" w:hAnsi="宋体" w:cstheme="minorEastAsia"/>
                <w:highlight w:val="none"/>
              </w:rPr>
            </w:pPr>
            <w:r>
              <w:rPr>
                <w:rFonts w:hint="eastAsia" w:ascii="宋体" w:hAnsi="宋体" w:cstheme="minorEastAsia"/>
                <w:highlight w:val="none"/>
              </w:rPr>
              <w:t>（二）评分依据：</w:t>
            </w:r>
          </w:p>
          <w:p>
            <w:pPr>
              <w:rPr>
                <w:rFonts w:hint="default" w:eastAsia="宋体"/>
                <w:highlight w:val="none"/>
                <w:lang w:val="en-US" w:eastAsia="zh-CN"/>
              </w:rPr>
            </w:pPr>
            <w:r>
              <w:rPr>
                <w:rFonts w:hint="eastAsia"/>
                <w:highlight w:val="none"/>
              </w:rPr>
              <w:t>1.提供相关证书</w:t>
            </w:r>
            <w:r>
              <w:rPr>
                <w:rFonts w:hint="eastAsia"/>
                <w:highlight w:val="none"/>
                <w:lang w:val="en-US" w:eastAsia="zh-CN"/>
              </w:rPr>
              <w:t>；</w:t>
            </w:r>
          </w:p>
          <w:p>
            <w:pPr>
              <w:rPr>
                <w:rFonts w:hint="eastAsia"/>
                <w:highlight w:val="none"/>
              </w:rPr>
            </w:pPr>
            <w:r>
              <w:rPr>
                <w:rFonts w:hint="eastAsia"/>
                <w:highlight w:val="none"/>
              </w:rPr>
              <w:t>2.</w:t>
            </w:r>
            <w:r>
              <w:rPr>
                <w:rFonts w:hint="eastAsia"/>
                <w:highlight w:val="none"/>
                <w:lang w:val="zh-CN"/>
              </w:rPr>
              <w:t>以上资料均要求提供，未提供或提供不清晰导致专家无法判断的不得分。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9"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673" w:type="dxa"/>
            <w:tcBorders>
              <w:top w:val="single" w:color="000000" w:sz="8" w:space="0"/>
              <w:left w:val="single" w:color="000000" w:sz="8" w:space="0"/>
              <w:bottom w:val="single" w:color="000000" w:sz="8" w:space="0"/>
              <w:right w:val="single" w:color="000000" w:sz="8" w:space="0"/>
            </w:tcBorders>
            <w:vAlign w:val="center"/>
          </w:tcPr>
          <w:p>
            <w:pPr>
              <w:rPr>
                <w:rFonts w:hint="eastAsia" w:ascii="宋体" w:hAnsi="宋体" w:eastAsia="宋体" w:cs="宋体"/>
                <w:szCs w:val="21"/>
                <w:highlight w:val="none"/>
                <w:lang w:eastAsia="zh-CN"/>
              </w:rPr>
            </w:pPr>
            <w:r>
              <w:rPr>
                <w:rFonts w:hint="eastAsia" w:ascii="宋体" w:hAnsi="宋体" w:cs="仿宋_GB2312"/>
                <w:szCs w:val="21"/>
                <w:highlight w:val="none"/>
                <w:lang w:val="en-US" w:eastAsia="zh-CN"/>
              </w:rPr>
              <w:t>6</w:t>
            </w:r>
          </w:p>
        </w:tc>
        <w:tc>
          <w:tcPr>
            <w:tcW w:w="2795"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szCs w:val="21"/>
                <w:highlight w:val="none"/>
              </w:rPr>
            </w:pPr>
            <w:r>
              <w:rPr>
                <w:rFonts w:hint="eastAsia" w:ascii="宋体" w:hAnsi="宋体" w:cs="仿宋_GB2312"/>
                <w:szCs w:val="21"/>
                <w:highlight w:val="none"/>
                <w:lang w:val="zh-CN"/>
              </w:rPr>
              <w:t>拟安排的项目团队成员情况（项目负责人除外）</w:t>
            </w:r>
          </w:p>
        </w:tc>
        <w:tc>
          <w:tcPr>
            <w:tcW w:w="674" w:type="dxa"/>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szCs w:val="21"/>
                <w:highlight w:val="none"/>
              </w:rPr>
            </w:pPr>
            <w:r>
              <w:rPr>
                <w:rFonts w:hint="eastAsia" w:ascii="宋体" w:hAnsi="宋体" w:cs="仿宋_GB2312"/>
                <w:szCs w:val="21"/>
                <w:highlight w:val="none"/>
              </w:rPr>
              <w:t>10</w:t>
            </w:r>
          </w:p>
        </w:tc>
        <w:tc>
          <w:tcPr>
            <w:tcW w:w="4135" w:type="dxa"/>
            <w:tcBorders>
              <w:top w:val="single" w:color="000000" w:sz="8" w:space="0"/>
              <w:left w:val="single" w:color="000000" w:sz="8" w:space="0"/>
              <w:bottom w:val="single" w:color="000000" w:sz="8" w:space="0"/>
              <w:right w:val="single" w:color="000000" w:sz="8" w:space="0"/>
            </w:tcBorders>
            <w:vAlign w:val="center"/>
          </w:tcPr>
          <w:p>
            <w:pPr>
              <w:jc w:val="left"/>
              <w:rPr>
                <w:rFonts w:hint="eastAsia"/>
                <w:highlight w:val="none"/>
              </w:rPr>
            </w:pPr>
            <w:r>
              <w:rPr>
                <w:rFonts w:hint="eastAsia" w:ascii="宋体" w:hAnsi="宋体" w:cs="仿宋_GB2312"/>
                <w:b/>
                <w:bCs/>
                <w:szCs w:val="21"/>
                <w:highlight w:val="none"/>
              </w:rPr>
              <w:t>（如为联合体，则需是联合体其中一方）</w:t>
            </w:r>
          </w:p>
          <w:p>
            <w:pPr>
              <w:rPr>
                <w:rFonts w:ascii="宋体" w:hAnsi="宋体" w:cs="仿宋_GB2312"/>
                <w:szCs w:val="21"/>
                <w:highlight w:val="none"/>
                <w:lang w:val="zh-CN"/>
              </w:rPr>
            </w:pPr>
            <w:r>
              <w:rPr>
                <w:rFonts w:hint="eastAsia"/>
                <w:highlight w:val="none"/>
              </w:rPr>
              <w:t>（一）评分内容</w:t>
            </w:r>
          </w:p>
          <w:p>
            <w:pPr>
              <w:rPr>
                <w:rFonts w:ascii="宋体" w:hAnsi="宋体" w:cs="仿宋_GB2312"/>
                <w:szCs w:val="21"/>
                <w:highlight w:val="none"/>
                <w:lang w:val="zh-CN"/>
              </w:rPr>
            </w:pPr>
            <w:r>
              <w:rPr>
                <w:rFonts w:hint="eastAsia" w:ascii="宋体" w:hAnsi="宋体" w:cs="仿宋_GB2312"/>
                <w:szCs w:val="21"/>
                <w:highlight w:val="none"/>
                <w:lang w:val="zh-CN"/>
              </w:rPr>
              <w:t>本项目拟安排项目团队，必须是投标单位自有员工，人员要求如下：</w:t>
            </w:r>
          </w:p>
          <w:p>
            <w:pPr>
              <w:pStyle w:val="71"/>
              <w:numPr>
                <w:ilvl w:val="0"/>
                <w:numId w:val="0"/>
              </w:numPr>
              <w:rPr>
                <w:rFonts w:ascii="宋体" w:hAnsi="宋体" w:cs="仿宋_GB2312"/>
                <w:szCs w:val="21"/>
                <w:highlight w:val="none"/>
                <w:lang w:val="zh-CN"/>
              </w:rPr>
            </w:pPr>
            <w:r>
              <w:rPr>
                <w:rFonts w:hint="eastAsia" w:ascii="宋体" w:hAnsi="宋体" w:cs="仿宋_GB2312"/>
                <w:szCs w:val="21"/>
                <w:highlight w:val="none"/>
                <w:lang w:val="en-US" w:eastAsia="zh-CN"/>
              </w:rPr>
              <w:t>（1）</w:t>
            </w:r>
            <w:r>
              <w:rPr>
                <w:rFonts w:hint="eastAsia" w:ascii="宋体" w:hAnsi="宋体" w:cs="仿宋_GB2312"/>
                <w:szCs w:val="21"/>
                <w:highlight w:val="none"/>
                <w:lang w:val="zh-CN"/>
              </w:rPr>
              <w:t>具有建筑结构高级工程师职称及一级注册结构工程师的，每提供一人得6分，本小项最高得3</w:t>
            </w:r>
            <w:r>
              <w:rPr>
                <w:rFonts w:ascii="宋体" w:hAnsi="宋体" w:cs="仿宋_GB2312"/>
                <w:szCs w:val="21"/>
                <w:highlight w:val="none"/>
                <w:lang w:val="zh-CN"/>
              </w:rPr>
              <w:t>0</w:t>
            </w:r>
            <w:r>
              <w:rPr>
                <w:rFonts w:hint="eastAsia" w:ascii="宋体" w:hAnsi="宋体" w:cs="仿宋_GB2312"/>
                <w:szCs w:val="21"/>
                <w:highlight w:val="none"/>
                <w:lang w:val="zh-CN"/>
              </w:rPr>
              <w:t>分 ；</w:t>
            </w:r>
          </w:p>
          <w:p>
            <w:pPr>
              <w:pStyle w:val="71"/>
              <w:numPr>
                <w:ilvl w:val="0"/>
                <w:numId w:val="0"/>
              </w:numPr>
              <w:rPr>
                <w:rFonts w:ascii="宋体" w:hAnsi="宋体" w:cs="仿宋_GB2312"/>
                <w:szCs w:val="21"/>
                <w:highlight w:val="none"/>
                <w:lang w:val="zh-CN"/>
              </w:rPr>
            </w:pPr>
            <w:r>
              <w:rPr>
                <w:rFonts w:hint="eastAsia" w:ascii="宋体" w:hAnsi="宋体" w:cs="仿宋_GB2312"/>
                <w:szCs w:val="21"/>
                <w:highlight w:val="none"/>
                <w:lang w:val="en-US" w:eastAsia="zh-CN"/>
              </w:rPr>
              <w:t>（2）</w:t>
            </w:r>
            <w:r>
              <w:rPr>
                <w:rFonts w:hint="eastAsia" w:ascii="宋体" w:hAnsi="宋体" w:cs="仿宋_GB2312"/>
                <w:szCs w:val="21"/>
                <w:highlight w:val="none"/>
                <w:lang w:val="zh-CN"/>
              </w:rPr>
              <w:t>具有建筑结构中级工程师或以上职称证书的，每提供一人得4分，本小项最高得4</w:t>
            </w:r>
            <w:r>
              <w:rPr>
                <w:rFonts w:ascii="宋体" w:hAnsi="宋体" w:cs="仿宋_GB2312"/>
                <w:szCs w:val="21"/>
                <w:highlight w:val="none"/>
                <w:lang w:val="zh-CN"/>
              </w:rPr>
              <w:t>0</w:t>
            </w:r>
            <w:r>
              <w:rPr>
                <w:rFonts w:hint="eastAsia" w:ascii="宋体" w:hAnsi="宋体" w:cs="仿宋_GB2312"/>
                <w:szCs w:val="21"/>
                <w:highlight w:val="none"/>
                <w:lang w:val="zh-CN"/>
              </w:rPr>
              <w:t>分；</w:t>
            </w:r>
          </w:p>
          <w:p>
            <w:pPr>
              <w:pStyle w:val="71"/>
              <w:numPr>
                <w:ilvl w:val="0"/>
                <w:numId w:val="0"/>
              </w:numPr>
              <w:ind w:leftChars="0"/>
              <w:rPr>
                <w:rFonts w:ascii="宋体" w:hAnsi="宋体" w:cs="仿宋_GB2312"/>
                <w:szCs w:val="21"/>
                <w:highlight w:val="none"/>
                <w:lang w:val="zh-CN"/>
              </w:rPr>
            </w:pPr>
            <w:r>
              <w:rPr>
                <w:rFonts w:hint="eastAsia" w:ascii="宋体" w:hAnsi="宋体" w:cs="仿宋_GB2312"/>
                <w:szCs w:val="21"/>
                <w:highlight w:val="none"/>
                <w:lang w:val="en-US" w:eastAsia="zh-CN"/>
              </w:rPr>
              <w:t>（3）</w:t>
            </w:r>
            <w:r>
              <w:rPr>
                <w:rFonts w:hint="eastAsia" w:ascii="宋体" w:hAnsi="宋体" w:cs="仿宋_GB2312"/>
                <w:szCs w:val="21"/>
                <w:highlight w:val="none"/>
                <w:lang w:val="zh-CN"/>
              </w:rPr>
              <w:t>具有检测鉴定培训合格员证的，每提供一人得2分，本小项最高得3</w:t>
            </w:r>
            <w:r>
              <w:rPr>
                <w:rFonts w:ascii="宋体" w:hAnsi="宋体" w:cs="仿宋_GB2312"/>
                <w:szCs w:val="21"/>
                <w:highlight w:val="none"/>
                <w:lang w:val="zh-CN"/>
              </w:rPr>
              <w:t>0</w:t>
            </w:r>
            <w:r>
              <w:rPr>
                <w:rFonts w:hint="eastAsia" w:ascii="宋体" w:hAnsi="宋体" w:cs="仿宋_GB2312"/>
                <w:szCs w:val="21"/>
                <w:highlight w:val="none"/>
                <w:lang w:val="zh-CN"/>
              </w:rPr>
              <w:t>分。</w:t>
            </w:r>
          </w:p>
          <w:p>
            <w:pPr>
              <w:rPr>
                <w:rFonts w:hint="eastAsia" w:ascii="宋体" w:hAnsi="宋体" w:cs="仿宋_GB2312"/>
                <w:szCs w:val="21"/>
                <w:highlight w:val="none"/>
                <w:lang w:val="zh-CN"/>
              </w:rPr>
            </w:pPr>
            <w:r>
              <w:rPr>
                <w:rFonts w:hint="eastAsia" w:ascii="宋体" w:hAnsi="宋体" w:cs="仿宋_GB2312"/>
                <w:szCs w:val="21"/>
                <w:highlight w:val="none"/>
                <w:lang w:val="en-US" w:eastAsia="zh-CN"/>
              </w:rPr>
              <w:t>注：</w:t>
            </w:r>
            <w:r>
              <w:rPr>
                <w:rFonts w:hint="eastAsia" w:ascii="宋体" w:hAnsi="宋体" w:cs="仿宋_GB2312"/>
                <w:szCs w:val="21"/>
                <w:highlight w:val="none"/>
                <w:lang w:val="zh-CN"/>
              </w:rPr>
              <w:t>以上人员</w:t>
            </w:r>
            <w:r>
              <w:rPr>
                <w:rFonts w:hint="eastAsia" w:ascii="宋体" w:hAnsi="宋体" w:cs="仿宋_GB2312"/>
                <w:szCs w:val="21"/>
                <w:highlight w:val="none"/>
                <w:lang w:val="en-US" w:eastAsia="zh-CN"/>
              </w:rPr>
              <w:t>同时满足评分内容（1）、（2）、（3）</w:t>
            </w:r>
            <w:r>
              <w:rPr>
                <w:rFonts w:hint="eastAsia" w:ascii="宋体" w:hAnsi="宋体" w:cs="仿宋_GB2312"/>
                <w:szCs w:val="21"/>
                <w:highlight w:val="none"/>
                <w:lang w:val="zh-CN"/>
              </w:rPr>
              <w:t>只能在其中一项得分，</w:t>
            </w:r>
            <w:r>
              <w:rPr>
                <w:rFonts w:hint="eastAsia" w:ascii="宋体" w:hAnsi="宋体" w:cs="仿宋_GB2312"/>
                <w:szCs w:val="21"/>
                <w:highlight w:val="none"/>
                <w:lang w:val="en-US" w:eastAsia="zh-CN"/>
              </w:rPr>
              <w:t>以最优得分计分，</w:t>
            </w:r>
            <w:r>
              <w:rPr>
                <w:rFonts w:hint="eastAsia" w:ascii="宋体" w:hAnsi="宋体" w:cs="仿宋_GB2312"/>
                <w:szCs w:val="21"/>
                <w:highlight w:val="none"/>
                <w:lang w:val="zh-CN"/>
              </w:rPr>
              <w:t>不重复计分。</w:t>
            </w:r>
          </w:p>
          <w:p>
            <w:pPr>
              <w:rPr>
                <w:rFonts w:ascii="宋体" w:hAnsi="宋体" w:cstheme="minorEastAsia"/>
                <w:highlight w:val="none"/>
              </w:rPr>
            </w:pPr>
            <w:r>
              <w:rPr>
                <w:rFonts w:hint="eastAsia" w:ascii="宋体" w:hAnsi="宋体" w:cstheme="minorEastAsia"/>
                <w:highlight w:val="none"/>
              </w:rPr>
              <w:t>（二）评分依据：</w:t>
            </w:r>
          </w:p>
          <w:p>
            <w:pPr>
              <w:rPr>
                <w:rFonts w:hint="eastAsia"/>
                <w:highlight w:val="none"/>
                <w:lang w:val="zh-CN"/>
              </w:rPr>
            </w:pPr>
            <w:r>
              <w:rPr>
                <w:rFonts w:hint="eastAsia"/>
                <w:highlight w:val="none"/>
              </w:rPr>
              <w:t>1.</w:t>
            </w:r>
            <w:r>
              <w:rPr>
                <w:rFonts w:hint="eastAsia"/>
                <w:highlight w:val="none"/>
                <w:lang w:val="zh-CN"/>
              </w:rPr>
              <w:t>提供上述人员近一个月投标方为其购买的社保证明；如开标日上一个月的社保材料因社保部门或税务部门原因暂时无法取得，则可以往前顺延一个月；如投标方注册成立时间不足1个月的，可提供承诺函（格式自拟）；</w:t>
            </w:r>
          </w:p>
          <w:p>
            <w:pPr>
              <w:rPr>
                <w:highlight w:val="none"/>
              </w:rPr>
            </w:pPr>
            <w:r>
              <w:rPr>
                <w:rFonts w:hint="eastAsia"/>
                <w:highlight w:val="none"/>
              </w:rPr>
              <w:t>2.提供相关证书，若证书为协会颁发的，还需要同时提供该协会在中国社会组织政务服务平台（网址 https://chinanpo.mca.gov.cn)的查询“正常”页面截图；</w:t>
            </w:r>
          </w:p>
          <w:p>
            <w:pPr>
              <w:rPr>
                <w:rFonts w:ascii="宋体" w:hAnsi="宋体" w:cs="宋体"/>
                <w:szCs w:val="21"/>
                <w:highlight w:val="none"/>
              </w:rPr>
            </w:pPr>
            <w:r>
              <w:rPr>
                <w:rFonts w:hint="eastAsia"/>
                <w:highlight w:val="none"/>
              </w:rPr>
              <w:t>3.</w:t>
            </w:r>
            <w:r>
              <w:rPr>
                <w:rFonts w:hint="eastAsia"/>
                <w:highlight w:val="none"/>
                <w:lang w:val="zh-CN"/>
              </w:rPr>
              <w:t>以上资料均要求提供，未提供或提供不清晰导致专家无法判断的不得分。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9"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highlight w:val="none"/>
              </w:rPr>
            </w:pPr>
            <w:r>
              <w:rPr>
                <w:b/>
                <w:bCs/>
                <w:color w:val="0000FF"/>
                <w:highlight w:val="none"/>
              </w:rPr>
              <w:t>3</w:t>
            </w:r>
          </w:p>
        </w:tc>
        <w:tc>
          <w:tcPr>
            <w:tcW w:w="4142"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highlight w:val="none"/>
              </w:rPr>
            </w:pPr>
            <w:r>
              <w:rPr>
                <w:b/>
                <w:bCs/>
                <w:color w:val="0000FF"/>
                <w:highlight w:val="none"/>
              </w:rPr>
              <w:t>综合实力</w:t>
            </w:r>
          </w:p>
        </w:tc>
        <w:tc>
          <w:tcPr>
            <w:tcW w:w="4135"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highlight w:val="none"/>
              </w:rPr>
            </w:pPr>
            <w:r>
              <w:rPr>
                <w:rFonts w:ascii="宋体" w:hAnsi="宋体" w:cs="宋体"/>
                <w:b/>
                <w:bCs/>
                <w:color w:val="0000FF"/>
                <w:sz w:val="24"/>
                <w:highlight w:val="none"/>
              </w:rPr>
              <w:t>37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9"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8277" w:type="dxa"/>
            <w:gridSpan w:val="4"/>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9"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b/>
                <w:bCs/>
                <w:color w:val="0000FF"/>
                <w:sz w:val="24"/>
                <w:highlight w:val="none"/>
              </w:rPr>
            </w:pPr>
          </w:p>
        </w:tc>
        <w:tc>
          <w:tcPr>
            <w:tcW w:w="67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highlight w:val="none"/>
              </w:rPr>
            </w:pPr>
            <w:r>
              <w:rPr>
                <w:szCs w:val="21"/>
                <w:highlight w:val="none"/>
              </w:rPr>
              <w:t>序号</w:t>
            </w:r>
          </w:p>
        </w:tc>
        <w:tc>
          <w:tcPr>
            <w:tcW w:w="279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highlight w:val="none"/>
              </w:rPr>
            </w:pPr>
            <w:r>
              <w:rPr>
                <w:szCs w:val="21"/>
                <w:highlight w:val="none"/>
              </w:rPr>
              <w:t>评分因素</w:t>
            </w:r>
          </w:p>
        </w:tc>
        <w:tc>
          <w:tcPr>
            <w:tcW w:w="67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highlight w:val="none"/>
              </w:rPr>
            </w:pPr>
            <w:r>
              <w:rPr>
                <w:rFonts w:hint="eastAsia"/>
                <w:szCs w:val="21"/>
                <w:highlight w:val="none"/>
              </w:rPr>
              <w:t>权重</w:t>
            </w:r>
          </w:p>
        </w:tc>
        <w:tc>
          <w:tcPr>
            <w:tcW w:w="41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highlight w:val="none"/>
              </w:rPr>
            </w:pPr>
            <w:r>
              <w:rPr>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9"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673"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highlight w:val="none"/>
              </w:rPr>
            </w:pPr>
            <w:r>
              <w:rPr>
                <w:rFonts w:hint="eastAsia" w:ascii="宋体" w:hAnsi="宋体" w:cs="仿宋_GB2312"/>
                <w:szCs w:val="21"/>
                <w:highlight w:val="none"/>
                <w:lang w:val="zh-CN"/>
              </w:rPr>
              <w:t>1</w:t>
            </w:r>
          </w:p>
        </w:tc>
        <w:tc>
          <w:tcPr>
            <w:tcW w:w="279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highlight w:val="none"/>
              </w:rPr>
            </w:pPr>
            <w:r>
              <w:rPr>
                <w:rFonts w:hint="eastAsia" w:ascii="宋体" w:hAnsi="宋体" w:cs="仿宋_GB2312"/>
                <w:szCs w:val="21"/>
                <w:highlight w:val="none"/>
                <w:lang w:val="zh-CN"/>
              </w:rPr>
              <w:t>同类业绩</w:t>
            </w:r>
          </w:p>
        </w:tc>
        <w:tc>
          <w:tcPr>
            <w:tcW w:w="67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highlight w:val="none"/>
              </w:rPr>
            </w:pPr>
            <w:r>
              <w:rPr>
                <w:rFonts w:ascii="宋体" w:hAnsi="宋体" w:cs="仿宋_GB2312"/>
                <w:szCs w:val="21"/>
                <w:highlight w:val="none"/>
              </w:rPr>
              <w:t>15</w:t>
            </w:r>
          </w:p>
        </w:tc>
        <w:tc>
          <w:tcPr>
            <w:tcW w:w="4135" w:type="dxa"/>
            <w:tcBorders>
              <w:top w:val="single" w:color="000000" w:sz="8" w:space="0"/>
              <w:left w:val="single" w:color="000000" w:sz="8" w:space="0"/>
              <w:bottom w:val="single" w:color="000000" w:sz="8" w:space="0"/>
              <w:right w:val="single" w:color="000000" w:sz="8" w:space="0"/>
            </w:tcBorders>
            <w:vAlign w:val="center"/>
          </w:tcPr>
          <w:p>
            <w:pPr>
              <w:jc w:val="left"/>
              <w:rPr>
                <w:rFonts w:ascii="宋体" w:hAnsi="宋体" w:cs="仿宋_GB2312"/>
                <w:b/>
                <w:bCs/>
                <w:szCs w:val="21"/>
                <w:highlight w:val="none"/>
              </w:rPr>
            </w:pPr>
            <w:r>
              <w:rPr>
                <w:rFonts w:hint="eastAsia" w:ascii="宋体" w:hAnsi="宋体" w:cs="仿宋_GB2312"/>
                <w:b/>
                <w:bCs/>
                <w:szCs w:val="21"/>
                <w:highlight w:val="none"/>
              </w:rPr>
              <w:t>（如为联合体，则需是联合体其中一方）</w:t>
            </w:r>
          </w:p>
          <w:p>
            <w:pPr>
              <w:rPr>
                <w:highlight w:val="none"/>
                <w:lang w:val="zh-CN"/>
              </w:rPr>
            </w:pPr>
            <w:r>
              <w:rPr>
                <w:rFonts w:hint="eastAsia"/>
                <w:highlight w:val="none"/>
              </w:rPr>
              <w:t>（一）评分内容：</w:t>
            </w:r>
          </w:p>
          <w:p>
            <w:pPr>
              <w:jc w:val="left"/>
              <w:rPr>
                <w:rFonts w:hint="eastAsia" w:ascii="宋体" w:hAnsi="宋体" w:cs="仿宋_GB2312"/>
                <w:szCs w:val="21"/>
                <w:highlight w:val="none"/>
                <w:lang w:val="zh-CN"/>
              </w:rPr>
            </w:pPr>
            <w:r>
              <w:rPr>
                <w:rFonts w:hint="eastAsia" w:ascii="宋体" w:hAnsi="宋体" w:cs="仿宋_GB2312"/>
                <w:szCs w:val="21"/>
                <w:highlight w:val="none"/>
                <w:lang w:val="zh-CN"/>
              </w:rPr>
              <w:t>投标人提供</w:t>
            </w:r>
            <w:r>
              <w:rPr>
                <w:rFonts w:hint="eastAsia" w:ascii="宋体" w:hAnsi="宋体" w:cs="仿宋_GB2312"/>
                <w:szCs w:val="21"/>
                <w:highlight w:val="none"/>
                <w:lang w:val="en-US" w:eastAsia="zh-CN"/>
              </w:rPr>
              <w:t>相关服务内容业绩</w:t>
            </w:r>
            <w:r>
              <w:rPr>
                <w:rFonts w:hint="eastAsia" w:ascii="宋体" w:hAnsi="宋体" w:cs="仿宋_GB2312"/>
                <w:szCs w:val="21"/>
                <w:highlight w:val="none"/>
                <w:lang w:val="zh-CN"/>
              </w:rPr>
              <w:t>：</w:t>
            </w:r>
          </w:p>
          <w:p>
            <w:pPr>
              <w:jc w:val="left"/>
              <w:rPr>
                <w:rFonts w:hint="eastAsia" w:ascii="宋体" w:hAnsi="宋体" w:cs="仿宋_GB2312"/>
                <w:szCs w:val="21"/>
                <w:highlight w:val="none"/>
                <w:lang w:val="zh-CN"/>
              </w:rPr>
            </w:pPr>
            <w:r>
              <w:rPr>
                <w:rFonts w:hint="eastAsia" w:ascii="宋体" w:hAnsi="宋体" w:cs="仿宋_GB2312"/>
                <w:szCs w:val="21"/>
                <w:highlight w:val="none"/>
                <w:lang w:val="en-US" w:eastAsia="zh-CN"/>
              </w:rPr>
              <w:t>①</w:t>
            </w:r>
            <w:r>
              <w:rPr>
                <w:rFonts w:hint="eastAsia" w:ascii="宋体" w:hAnsi="宋体" w:cs="仿宋_GB2312"/>
                <w:szCs w:val="21"/>
                <w:highlight w:val="none"/>
                <w:lang w:val="zh-CN"/>
              </w:rPr>
              <w:t>人员密集的公共建筑（或国家重大工程）结构安全检测鉴定；</w:t>
            </w:r>
          </w:p>
          <w:p>
            <w:pPr>
              <w:jc w:val="left"/>
              <w:rPr>
                <w:rFonts w:hint="eastAsia" w:ascii="宋体" w:hAnsi="宋体" w:cs="仿宋_GB2312"/>
                <w:szCs w:val="21"/>
                <w:highlight w:val="none"/>
                <w:lang w:val="zh-CN"/>
              </w:rPr>
            </w:pPr>
            <w:r>
              <w:rPr>
                <w:rFonts w:hint="eastAsia" w:ascii="宋体" w:hAnsi="宋体" w:cs="仿宋_GB2312"/>
                <w:szCs w:val="21"/>
                <w:highlight w:val="none"/>
                <w:lang w:val="en-US" w:eastAsia="zh-CN"/>
              </w:rPr>
              <w:t>②</w:t>
            </w:r>
            <w:r>
              <w:rPr>
                <w:rFonts w:hint="eastAsia" w:ascii="宋体" w:hAnsi="宋体" w:cs="仿宋_GB2312"/>
                <w:szCs w:val="21"/>
                <w:highlight w:val="none"/>
                <w:lang w:val="zh-CN"/>
              </w:rPr>
              <w:t>人员密集的公共建筑（或国家重大工程）幕墙安全检查；</w:t>
            </w:r>
          </w:p>
          <w:p>
            <w:pPr>
              <w:jc w:val="left"/>
              <w:rPr>
                <w:rFonts w:ascii="宋体" w:hAnsi="宋体" w:cs="仿宋_GB2312"/>
                <w:szCs w:val="21"/>
                <w:highlight w:val="none"/>
                <w:lang w:val="zh-CN"/>
              </w:rPr>
            </w:pPr>
            <w:r>
              <w:rPr>
                <w:rFonts w:hint="eastAsia" w:ascii="宋体" w:hAnsi="宋体" w:cs="仿宋_GB2312"/>
                <w:szCs w:val="21"/>
                <w:highlight w:val="none"/>
                <w:lang w:val="en-US" w:eastAsia="zh-CN"/>
              </w:rPr>
              <w:t>③</w:t>
            </w:r>
            <w:r>
              <w:rPr>
                <w:rFonts w:hint="eastAsia" w:ascii="宋体" w:hAnsi="宋体" w:cs="仿宋_GB2312"/>
                <w:szCs w:val="21"/>
                <w:highlight w:val="none"/>
                <w:lang w:val="zh-CN"/>
              </w:rPr>
              <w:t>人员密集的公共建筑（或国家重大工程）</w:t>
            </w:r>
            <w:r>
              <w:rPr>
                <w:rFonts w:hint="eastAsia" w:ascii="宋体" w:hAnsi="宋体" w:cs="仿宋_GB2312"/>
                <w:szCs w:val="21"/>
                <w:highlight w:val="none"/>
                <w:lang w:val="en-US" w:eastAsia="zh-CN"/>
              </w:rPr>
              <w:t>幕墙</w:t>
            </w:r>
            <w:r>
              <w:rPr>
                <w:rFonts w:hint="eastAsia" w:ascii="宋体" w:hAnsi="宋体" w:cs="仿宋_GB2312"/>
                <w:szCs w:val="21"/>
                <w:highlight w:val="none"/>
                <w:lang w:val="zh-CN"/>
              </w:rPr>
              <w:t>检测鉴定。</w:t>
            </w:r>
          </w:p>
          <w:p>
            <w:pPr>
              <w:jc w:val="left"/>
              <w:rPr>
                <w:rFonts w:ascii="宋体" w:hAnsi="宋体" w:cs="仿宋_GB2312"/>
                <w:szCs w:val="21"/>
                <w:highlight w:val="none"/>
                <w:lang w:val="zh-CN"/>
              </w:rPr>
            </w:pPr>
            <w:r>
              <w:rPr>
                <w:rFonts w:hint="eastAsia" w:ascii="宋体" w:hAnsi="宋体" w:cs="仿宋_GB2312"/>
                <w:szCs w:val="21"/>
                <w:highlight w:val="none"/>
                <w:lang w:val="zh-CN"/>
              </w:rPr>
              <w:t>提供1个</w:t>
            </w:r>
            <w:r>
              <w:rPr>
                <w:rFonts w:hint="eastAsia" w:ascii="宋体" w:hAnsi="宋体" w:cs="仿宋_GB2312"/>
                <w:szCs w:val="21"/>
                <w:highlight w:val="none"/>
                <w:lang w:val="en-US" w:eastAsia="zh-CN"/>
              </w:rPr>
              <w:t>服务内容</w:t>
            </w:r>
            <w:r>
              <w:rPr>
                <w:rFonts w:hint="eastAsia" w:ascii="宋体" w:hAnsi="宋体" w:cs="仿宋_GB2312"/>
                <w:szCs w:val="21"/>
                <w:highlight w:val="none"/>
                <w:lang w:val="zh-CN"/>
              </w:rPr>
              <w:t>得</w:t>
            </w:r>
            <w:r>
              <w:rPr>
                <w:rFonts w:ascii="宋体" w:hAnsi="宋体" w:cs="仿宋_GB2312"/>
                <w:szCs w:val="21"/>
                <w:highlight w:val="none"/>
              </w:rPr>
              <w:t>10</w:t>
            </w:r>
            <w:r>
              <w:rPr>
                <w:rFonts w:hint="eastAsia" w:ascii="宋体" w:hAnsi="宋体" w:cs="仿宋_GB2312"/>
                <w:szCs w:val="21"/>
                <w:highlight w:val="none"/>
                <w:lang w:val="zh-CN"/>
              </w:rPr>
              <w:t>分，一个合同包含</w:t>
            </w:r>
            <w:r>
              <w:rPr>
                <w:rFonts w:hint="eastAsia" w:ascii="宋体" w:hAnsi="宋体" w:cs="仿宋_GB2312"/>
                <w:szCs w:val="21"/>
                <w:highlight w:val="none"/>
                <w:lang w:val="en-US" w:eastAsia="zh-CN"/>
              </w:rPr>
              <w:t>①-③多项服务内容</w:t>
            </w:r>
            <w:r>
              <w:rPr>
                <w:rFonts w:hint="eastAsia" w:ascii="宋体" w:hAnsi="宋体" w:cs="仿宋_GB2312"/>
                <w:szCs w:val="21"/>
                <w:highlight w:val="none"/>
                <w:lang w:val="zh-CN"/>
              </w:rPr>
              <w:t>的可累计得分，此项最高得</w:t>
            </w:r>
            <w:r>
              <w:rPr>
                <w:rFonts w:ascii="宋体" w:hAnsi="宋体" w:cs="仿宋_GB2312"/>
                <w:szCs w:val="21"/>
                <w:highlight w:val="none"/>
              </w:rPr>
              <w:t>100</w:t>
            </w:r>
            <w:r>
              <w:rPr>
                <w:rFonts w:hint="eastAsia" w:ascii="宋体" w:hAnsi="宋体" w:cs="仿宋_GB2312"/>
                <w:szCs w:val="21"/>
                <w:highlight w:val="none"/>
                <w:lang w:val="zh-CN"/>
              </w:rPr>
              <w:t>分；</w:t>
            </w:r>
          </w:p>
          <w:p>
            <w:pPr>
              <w:jc w:val="left"/>
              <w:rPr>
                <w:rFonts w:hint="eastAsia" w:ascii="宋体" w:hAnsi="宋体" w:cs="仿宋_GB2312"/>
                <w:b/>
                <w:bCs/>
                <w:szCs w:val="21"/>
                <w:highlight w:val="none"/>
                <w:lang w:val="zh-CN"/>
              </w:rPr>
            </w:pPr>
            <w:r>
              <w:rPr>
                <w:rFonts w:hint="eastAsia" w:ascii="宋体" w:hAnsi="宋体" w:cs="仿宋_GB2312"/>
                <w:szCs w:val="21"/>
                <w:highlight w:val="none"/>
              </w:rPr>
              <w:t>注：1）</w:t>
            </w:r>
            <w:r>
              <w:rPr>
                <w:rFonts w:hint="eastAsia" w:ascii="宋体" w:hAnsi="宋体" w:cs="仿宋_GB2312"/>
                <w:szCs w:val="21"/>
                <w:highlight w:val="none"/>
                <w:lang w:val="zh-CN"/>
              </w:rPr>
              <w:t>本项目要求的人员密集的公共建筑指体育场馆</w:t>
            </w:r>
            <w:r>
              <w:rPr>
                <w:rFonts w:hint="eastAsia" w:ascii="宋体" w:hAnsi="宋体" w:cs="仿宋_GB2312"/>
                <w:szCs w:val="21"/>
                <w:highlight w:val="none"/>
              </w:rPr>
              <w:t>或</w:t>
            </w:r>
            <w:r>
              <w:rPr>
                <w:rFonts w:hint="eastAsia" w:ascii="宋体" w:hAnsi="宋体" w:cs="仿宋_GB2312"/>
                <w:szCs w:val="21"/>
                <w:highlight w:val="none"/>
                <w:lang w:val="zh-CN"/>
              </w:rPr>
              <w:t>展览馆</w:t>
            </w:r>
            <w:r>
              <w:rPr>
                <w:rFonts w:hint="eastAsia" w:ascii="宋体" w:hAnsi="宋体" w:cs="仿宋_GB2312"/>
                <w:szCs w:val="21"/>
                <w:highlight w:val="none"/>
              </w:rPr>
              <w:t>或</w:t>
            </w:r>
            <w:r>
              <w:rPr>
                <w:rFonts w:hint="eastAsia" w:ascii="宋体" w:hAnsi="宋体" w:cs="仿宋_GB2312"/>
                <w:szCs w:val="21"/>
                <w:highlight w:val="none"/>
                <w:lang w:val="zh-CN"/>
              </w:rPr>
              <w:t>博物馆</w:t>
            </w:r>
            <w:r>
              <w:rPr>
                <w:rFonts w:hint="eastAsia" w:ascii="宋体" w:hAnsi="宋体" w:cs="仿宋_GB2312"/>
                <w:szCs w:val="21"/>
                <w:highlight w:val="none"/>
              </w:rPr>
              <w:t>或</w:t>
            </w:r>
            <w:r>
              <w:rPr>
                <w:rFonts w:hint="eastAsia" w:ascii="宋体" w:hAnsi="宋体" w:cs="仿宋_GB2312"/>
                <w:szCs w:val="21"/>
                <w:highlight w:val="none"/>
                <w:lang w:val="zh-CN"/>
              </w:rPr>
              <w:t>图书馆</w:t>
            </w:r>
            <w:r>
              <w:rPr>
                <w:rFonts w:hint="eastAsia" w:ascii="宋体" w:hAnsi="宋体" w:cs="仿宋_GB2312"/>
                <w:szCs w:val="21"/>
                <w:highlight w:val="none"/>
              </w:rPr>
              <w:t>或</w:t>
            </w:r>
            <w:r>
              <w:rPr>
                <w:rFonts w:hint="eastAsia" w:ascii="宋体" w:hAnsi="宋体" w:cs="仿宋_GB2312"/>
                <w:szCs w:val="21"/>
                <w:highlight w:val="none"/>
                <w:lang w:val="zh-CN"/>
              </w:rPr>
              <w:t>会堂</w:t>
            </w:r>
            <w:r>
              <w:rPr>
                <w:rFonts w:hint="eastAsia" w:ascii="宋体" w:hAnsi="宋体" w:cs="仿宋_GB2312"/>
                <w:szCs w:val="21"/>
                <w:highlight w:val="none"/>
              </w:rPr>
              <w:t>或</w:t>
            </w:r>
            <w:r>
              <w:rPr>
                <w:rFonts w:hint="eastAsia" w:ascii="宋体" w:hAnsi="宋体" w:cs="仿宋_GB2312"/>
                <w:szCs w:val="21"/>
                <w:highlight w:val="none"/>
                <w:lang w:val="zh-CN"/>
              </w:rPr>
              <w:t>汽车站</w:t>
            </w:r>
            <w:r>
              <w:rPr>
                <w:rFonts w:hint="eastAsia" w:ascii="宋体" w:hAnsi="宋体" w:cs="仿宋_GB2312"/>
                <w:szCs w:val="21"/>
                <w:highlight w:val="none"/>
              </w:rPr>
              <w:t>或</w:t>
            </w:r>
            <w:r>
              <w:rPr>
                <w:rFonts w:hint="eastAsia" w:ascii="宋体" w:hAnsi="宋体" w:cs="仿宋_GB2312"/>
                <w:szCs w:val="21"/>
                <w:highlight w:val="none"/>
                <w:lang w:val="zh-CN"/>
              </w:rPr>
              <w:t>火车站</w:t>
            </w:r>
            <w:r>
              <w:rPr>
                <w:rFonts w:hint="eastAsia" w:ascii="宋体" w:hAnsi="宋体" w:cs="仿宋_GB2312"/>
                <w:szCs w:val="21"/>
                <w:highlight w:val="none"/>
              </w:rPr>
              <w:t>或</w:t>
            </w:r>
            <w:r>
              <w:rPr>
                <w:rFonts w:hint="eastAsia" w:ascii="宋体" w:hAnsi="宋体" w:cs="仿宋_GB2312"/>
                <w:szCs w:val="21"/>
                <w:highlight w:val="none"/>
                <w:lang w:val="zh-CN"/>
              </w:rPr>
              <w:t>机场</w:t>
            </w:r>
            <w:r>
              <w:rPr>
                <w:rFonts w:hint="eastAsia" w:ascii="宋体" w:hAnsi="宋体" w:cs="仿宋_GB2312"/>
                <w:szCs w:val="21"/>
                <w:highlight w:val="none"/>
              </w:rPr>
              <w:t>或</w:t>
            </w:r>
            <w:r>
              <w:rPr>
                <w:rFonts w:hint="eastAsia" w:ascii="宋体" w:hAnsi="宋体" w:cs="仿宋_GB2312"/>
                <w:szCs w:val="21"/>
                <w:highlight w:val="none"/>
                <w:lang w:val="zh-CN"/>
              </w:rPr>
              <w:t>超高层建筑</w:t>
            </w:r>
            <w:r>
              <w:rPr>
                <w:rFonts w:hint="eastAsia" w:ascii="宋体" w:hAnsi="宋体" w:cs="仿宋_GB2312"/>
                <w:szCs w:val="21"/>
                <w:highlight w:val="none"/>
              </w:rPr>
              <w:t>或商业综合体</w:t>
            </w:r>
            <w:r>
              <w:rPr>
                <w:rFonts w:hint="eastAsia" w:ascii="宋体" w:hAnsi="宋体" w:cs="仿宋_GB2312"/>
                <w:szCs w:val="21"/>
                <w:highlight w:val="none"/>
                <w:lang w:val="zh-CN"/>
              </w:rPr>
              <w:t>等人员集中的大型场所。2）续签合同仅计一次分。</w:t>
            </w:r>
          </w:p>
          <w:p>
            <w:pPr>
              <w:rPr>
                <w:highlight w:val="none"/>
              </w:rPr>
            </w:pPr>
            <w:r>
              <w:rPr>
                <w:rFonts w:hint="eastAsia" w:ascii="宋体" w:hAnsi="宋体" w:cstheme="minorEastAsia"/>
                <w:highlight w:val="none"/>
              </w:rPr>
              <w:t>（二）评分依据：</w:t>
            </w:r>
          </w:p>
          <w:p>
            <w:pPr>
              <w:jc w:val="left"/>
              <w:rPr>
                <w:rFonts w:ascii="宋体" w:hAnsi="宋体" w:cs="仿宋_GB2312"/>
                <w:szCs w:val="21"/>
                <w:highlight w:val="none"/>
                <w:lang w:val="zh-CN"/>
              </w:rPr>
            </w:pPr>
            <w:r>
              <w:rPr>
                <w:rFonts w:hint="eastAsia" w:ascii="宋体" w:hAnsi="宋体" w:cs="仿宋_GB2312"/>
                <w:szCs w:val="21"/>
                <w:highlight w:val="none"/>
              </w:rPr>
              <w:t>1.</w:t>
            </w:r>
            <w:r>
              <w:rPr>
                <w:rFonts w:hint="eastAsia" w:ascii="宋体" w:hAnsi="宋体" w:cs="仿宋_GB2312"/>
                <w:szCs w:val="21"/>
                <w:highlight w:val="none"/>
                <w:lang w:val="zh-CN"/>
              </w:rPr>
              <w:t>提供合同关键页（包括但不限于项目（合同）内容、合同双方签字盖章页等</w:t>
            </w:r>
            <w:r>
              <w:rPr>
                <w:rFonts w:hint="eastAsia" w:ascii="宋体" w:hAnsi="宋体" w:cs="仿宋_GB2312"/>
                <w:szCs w:val="21"/>
                <w:highlight w:val="none"/>
                <w:lang w:val="en-US" w:eastAsia="zh-CN"/>
              </w:rPr>
              <w:t>)</w:t>
            </w:r>
            <w:r>
              <w:rPr>
                <w:rFonts w:hint="eastAsia" w:ascii="宋体" w:hAnsi="宋体" w:cs="仿宋_GB2312"/>
                <w:szCs w:val="21"/>
                <w:highlight w:val="none"/>
                <w:lang w:val="zh-CN"/>
              </w:rPr>
              <w:t>。</w:t>
            </w:r>
          </w:p>
          <w:p>
            <w:pPr>
              <w:jc w:val="left"/>
              <w:rPr>
                <w:rFonts w:ascii="宋体" w:hAnsi="宋体" w:cs="宋体"/>
                <w:szCs w:val="21"/>
                <w:highlight w:val="none"/>
              </w:rPr>
            </w:pPr>
            <w:r>
              <w:rPr>
                <w:rFonts w:hint="eastAsia" w:ascii="宋体" w:hAnsi="宋体" w:cs="仿宋_GB2312"/>
                <w:szCs w:val="21"/>
                <w:highlight w:val="none"/>
              </w:rPr>
              <w:t>2.</w:t>
            </w:r>
            <w:r>
              <w:rPr>
                <w:rFonts w:hint="eastAsia" w:ascii="宋体" w:hAnsi="宋体" w:cs="仿宋_GB2312"/>
                <w:szCs w:val="21"/>
                <w:highlight w:val="none"/>
                <w:lang w:val="zh-CN"/>
              </w:rPr>
              <w:t>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9"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673"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highlight w:val="none"/>
              </w:rPr>
            </w:pPr>
            <w:r>
              <w:rPr>
                <w:rFonts w:hint="eastAsia" w:ascii="宋体" w:hAnsi="宋体" w:cs="仿宋_GB2312"/>
                <w:szCs w:val="21"/>
                <w:highlight w:val="none"/>
              </w:rPr>
              <w:t>2</w:t>
            </w:r>
          </w:p>
        </w:tc>
        <w:tc>
          <w:tcPr>
            <w:tcW w:w="279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highlight w:val="none"/>
              </w:rPr>
            </w:pPr>
            <w:r>
              <w:rPr>
                <w:rFonts w:hint="eastAsia" w:ascii="宋体" w:hAnsi="宋体" w:cs="仿宋_GB2312"/>
                <w:szCs w:val="21"/>
                <w:highlight w:val="none"/>
                <w:lang w:val="zh-CN"/>
              </w:rPr>
              <w:t>企业体系认证情况</w:t>
            </w:r>
          </w:p>
        </w:tc>
        <w:tc>
          <w:tcPr>
            <w:tcW w:w="67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highlight w:val="none"/>
              </w:rPr>
            </w:pPr>
            <w:r>
              <w:rPr>
                <w:rFonts w:hint="eastAsia" w:ascii="宋体" w:hAnsi="宋体" w:cs="仿宋_GB2312"/>
                <w:szCs w:val="21"/>
                <w:highlight w:val="none"/>
              </w:rPr>
              <w:t>9</w:t>
            </w:r>
          </w:p>
        </w:tc>
        <w:tc>
          <w:tcPr>
            <w:tcW w:w="4135" w:type="dxa"/>
            <w:tcBorders>
              <w:top w:val="single" w:color="000000" w:sz="8" w:space="0"/>
              <w:left w:val="single" w:color="000000" w:sz="8" w:space="0"/>
              <w:bottom w:val="single" w:color="000000" w:sz="8" w:space="0"/>
              <w:right w:val="single" w:color="000000" w:sz="8" w:space="0"/>
            </w:tcBorders>
            <w:vAlign w:val="center"/>
          </w:tcPr>
          <w:p>
            <w:pPr>
              <w:jc w:val="left"/>
              <w:rPr>
                <w:b/>
                <w:bCs/>
                <w:highlight w:val="none"/>
              </w:rPr>
            </w:pPr>
            <w:r>
              <w:rPr>
                <w:rFonts w:hint="eastAsia"/>
                <w:b/>
                <w:bCs/>
                <w:highlight w:val="none"/>
              </w:rPr>
              <w:t>（如为联合体，则需是联合体其中一方）</w:t>
            </w:r>
          </w:p>
          <w:p>
            <w:pPr>
              <w:rPr>
                <w:highlight w:val="none"/>
                <w:lang w:val="zh-CN"/>
              </w:rPr>
            </w:pPr>
            <w:r>
              <w:rPr>
                <w:rFonts w:hint="eastAsia"/>
                <w:highlight w:val="none"/>
              </w:rPr>
              <w:t>（一）评分内容：</w:t>
            </w:r>
          </w:p>
          <w:p>
            <w:pPr>
              <w:widowControl/>
              <w:jc w:val="left"/>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考察供应商的相关认证情况，认证范围涵盖</w:t>
            </w:r>
            <w:r>
              <w:rPr>
                <w:rFonts w:hint="eastAsia"/>
                <w:highlight w:val="none"/>
              </w:rPr>
              <w:t>“主体结构、钢结构检测鉴定”和“幕墙结构安全排查及鉴定”</w:t>
            </w:r>
            <w:r>
              <w:rPr>
                <w:rFonts w:hint="eastAsia" w:asciiTheme="minorEastAsia" w:hAnsiTheme="minorEastAsia" w:eastAsiaTheme="minorEastAsia" w:cstheme="minorEastAsia"/>
                <w:szCs w:val="21"/>
                <w:highlight w:val="none"/>
              </w:rPr>
              <w:t>（措辞允许有差异，但含义应基本一致，否则该证书作不得分处理）：</w:t>
            </w:r>
          </w:p>
          <w:p>
            <w:pPr>
              <w:autoSpaceDE w:val="0"/>
              <w:autoSpaceDN w:val="0"/>
              <w:adjustRightInd w:val="0"/>
              <w:snapToGrid w:val="0"/>
              <w:rPr>
                <w:highlight w:val="none"/>
              </w:rPr>
            </w:pPr>
            <w:r>
              <w:rPr>
                <w:rFonts w:hint="eastAsia"/>
                <w:highlight w:val="none"/>
              </w:rPr>
              <w:t>1、具有质量管理体系认证证书，得3</w:t>
            </w:r>
            <w:r>
              <w:rPr>
                <w:highlight w:val="none"/>
              </w:rPr>
              <w:t>5</w:t>
            </w:r>
            <w:r>
              <w:rPr>
                <w:rFonts w:hint="eastAsia"/>
                <w:highlight w:val="none"/>
              </w:rPr>
              <w:t>分；</w:t>
            </w:r>
          </w:p>
          <w:p>
            <w:pPr>
              <w:autoSpaceDE w:val="0"/>
              <w:autoSpaceDN w:val="0"/>
              <w:adjustRightInd w:val="0"/>
              <w:snapToGrid w:val="0"/>
              <w:rPr>
                <w:highlight w:val="none"/>
              </w:rPr>
            </w:pPr>
            <w:r>
              <w:rPr>
                <w:rFonts w:hint="eastAsia"/>
                <w:highlight w:val="none"/>
              </w:rPr>
              <w:t>2、具有环境管理体系认证证书，得3</w:t>
            </w:r>
            <w:r>
              <w:rPr>
                <w:highlight w:val="none"/>
              </w:rPr>
              <w:t>5</w:t>
            </w:r>
            <w:r>
              <w:rPr>
                <w:rFonts w:hint="eastAsia"/>
                <w:highlight w:val="none"/>
              </w:rPr>
              <w:t>分；</w:t>
            </w:r>
          </w:p>
          <w:p>
            <w:pPr>
              <w:autoSpaceDE w:val="0"/>
              <w:autoSpaceDN w:val="0"/>
              <w:adjustRightInd w:val="0"/>
              <w:snapToGrid w:val="0"/>
              <w:rPr>
                <w:highlight w:val="none"/>
              </w:rPr>
            </w:pPr>
            <w:r>
              <w:rPr>
                <w:rFonts w:hint="eastAsia"/>
                <w:highlight w:val="none"/>
              </w:rPr>
              <w:t>3、具有职业健康安全管理体系认证证书，得3</w:t>
            </w:r>
            <w:r>
              <w:rPr>
                <w:highlight w:val="none"/>
              </w:rPr>
              <w:t>5</w:t>
            </w:r>
            <w:r>
              <w:rPr>
                <w:rFonts w:hint="eastAsia"/>
                <w:highlight w:val="none"/>
              </w:rPr>
              <w:t>分。</w:t>
            </w:r>
          </w:p>
          <w:p>
            <w:pPr>
              <w:rPr>
                <w:highlight w:val="none"/>
              </w:rPr>
            </w:pPr>
            <w:r>
              <w:rPr>
                <w:rFonts w:hint="eastAsia"/>
                <w:highlight w:val="none"/>
                <w:lang w:val="en-US" w:eastAsia="zh-CN"/>
              </w:rPr>
              <w:t>以上</w:t>
            </w:r>
            <w:r>
              <w:rPr>
                <w:rFonts w:hint="eastAsia"/>
                <w:highlight w:val="none"/>
              </w:rPr>
              <w:t>三项</w:t>
            </w:r>
            <w:r>
              <w:rPr>
                <w:rFonts w:hint="eastAsia"/>
                <w:highlight w:val="none"/>
                <w:lang w:val="en-US" w:eastAsia="zh-CN"/>
              </w:rPr>
              <w:t>可累计，最高</w:t>
            </w:r>
            <w:r>
              <w:rPr>
                <w:rFonts w:hint="eastAsia"/>
                <w:highlight w:val="none"/>
              </w:rPr>
              <w:t>得</w:t>
            </w:r>
            <w:r>
              <w:rPr>
                <w:highlight w:val="none"/>
              </w:rPr>
              <w:t>100</w:t>
            </w:r>
            <w:r>
              <w:rPr>
                <w:rFonts w:hint="eastAsia"/>
                <w:highlight w:val="none"/>
              </w:rPr>
              <w:t>分。</w:t>
            </w:r>
          </w:p>
          <w:p>
            <w:pPr>
              <w:wordWrap w:val="0"/>
              <w:rPr>
                <w:highlight w:val="none"/>
              </w:rPr>
            </w:pPr>
            <w:r>
              <w:rPr>
                <w:rFonts w:hint="eastAsia"/>
                <w:color w:val="auto"/>
                <w:szCs w:val="21"/>
                <w:highlight w:val="none"/>
                <w:lang w:val="en-US" w:eastAsia="zh-CN"/>
              </w:rPr>
              <w:t>注：如投标人距本项目开标之日的注册成立时间不足3个月，且未取得以上认证证书的，可提供承诺函【格式自拟，至少包含中标（成交）后4个月内取得评分内容相关认证证书等内容】。评审委员会根据承诺内容中的认证证书情况，给予相应分值。</w:t>
            </w:r>
          </w:p>
          <w:p>
            <w:pPr>
              <w:rPr>
                <w:highlight w:val="none"/>
              </w:rPr>
            </w:pPr>
            <w:r>
              <w:rPr>
                <w:rFonts w:hint="eastAsia"/>
                <w:highlight w:val="none"/>
              </w:rPr>
              <w:t>（二）评分依据：</w:t>
            </w:r>
          </w:p>
          <w:p>
            <w:pPr>
              <w:autoSpaceDE w:val="0"/>
              <w:autoSpaceDN w:val="0"/>
              <w:adjustRightInd w:val="0"/>
              <w:snapToGrid w:val="0"/>
              <w:rPr>
                <w:highlight w:val="none"/>
              </w:rPr>
            </w:pPr>
            <w:r>
              <w:rPr>
                <w:rFonts w:hint="eastAsia"/>
                <w:highlight w:val="none"/>
              </w:rPr>
              <w:t>同时提供：</w:t>
            </w:r>
          </w:p>
          <w:p>
            <w:pPr>
              <w:autoSpaceDE w:val="0"/>
              <w:autoSpaceDN w:val="0"/>
              <w:adjustRightInd w:val="0"/>
              <w:snapToGrid w:val="0"/>
              <w:rPr>
                <w:highlight w:val="none"/>
              </w:rPr>
            </w:pPr>
            <w:r>
              <w:rPr>
                <w:rFonts w:hint="eastAsia"/>
                <w:highlight w:val="none"/>
              </w:rPr>
              <w:t>1、相关认证证书证明文件（证书在有效期内）；</w:t>
            </w:r>
          </w:p>
          <w:p>
            <w:pPr>
              <w:jc w:val="left"/>
              <w:rPr>
                <w:highlight w:val="none"/>
              </w:rPr>
            </w:pPr>
            <w:r>
              <w:rPr>
                <w:rFonts w:hint="eastAsia"/>
                <w:highlight w:val="none"/>
              </w:rPr>
              <w:t>2、全国认证认可信息公共服务平台（http://cx.cnca.cn）认证信息查询截图（截图需显示证书状态为有效）。</w:t>
            </w:r>
          </w:p>
          <w:p>
            <w:pPr>
              <w:jc w:val="left"/>
              <w:rPr>
                <w:highlight w:val="none"/>
              </w:rPr>
            </w:pPr>
            <w:r>
              <w:rPr>
                <w:rFonts w:hint="eastAsia"/>
                <w:highlight w:val="none"/>
              </w:rPr>
              <w:t>3. 未提供或提供不清晰导致无法识别的不得分。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9"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673"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_GB2312"/>
                <w:szCs w:val="21"/>
                <w:highlight w:val="none"/>
              </w:rPr>
            </w:pPr>
          </w:p>
        </w:tc>
        <w:tc>
          <w:tcPr>
            <w:tcW w:w="279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_GB2312"/>
                <w:szCs w:val="21"/>
                <w:highlight w:val="none"/>
              </w:rPr>
            </w:pPr>
            <w:r>
              <w:rPr>
                <w:rFonts w:hint="eastAsia" w:ascii="宋体" w:hAnsi="宋体" w:cs="仿宋_GB2312"/>
                <w:szCs w:val="21"/>
                <w:highlight w:val="none"/>
              </w:rPr>
              <w:t>企业综合能力</w:t>
            </w:r>
          </w:p>
        </w:tc>
        <w:tc>
          <w:tcPr>
            <w:tcW w:w="67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仿宋_GB2312"/>
                <w:szCs w:val="21"/>
                <w:highlight w:val="none"/>
              </w:rPr>
            </w:pPr>
            <w:r>
              <w:rPr>
                <w:rFonts w:ascii="宋体" w:hAnsi="宋体" w:cs="仿宋_GB2312"/>
                <w:szCs w:val="21"/>
                <w:highlight w:val="none"/>
              </w:rPr>
              <w:t>3</w:t>
            </w:r>
          </w:p>
        </w:tc>
        <w:tc>
          <w:tcPr>
            <w:tcW w:w="4135" w:type="dxa"/>
            <w:tcBorders>
              <w:top w:val="single" w:color="000000" w:sz="8" w:space="0"/>
              <w:left w:val="single" w:color="000000" w:sz="8" w:space="0"/>
              <w:bottom w:val="single" w:color="000000" w:sz="8" w:space="0"/>
              <w:right w:val="single" w:color="000000" w:sz="8" w:space="0"/>
            </w:tcBorders>
            <w:vAlign w:val="center"/>
          </w:tcPr>
          <w:p>
            <w:pPr>
              <w:jc w:val="left"/>
              <w:rPr>
                <w:rFonts w:hint="eastAsia"/>
                <w:highlight w:val="none"/>
              </w:rPr>
            </w:pPr>
            <w:r>
              <w:rPr>
                <w:rFonts w:hint="eastAsia" w:ascii="宋体" w:hAnsi="宋体" w:cs="仿宋_GB2312"/>
                <w:b/>
                <w:bCs/>
                <w:szCs w:val="21"/>
                <w:highlight w:val="none"/>
              </w:rPr>
              <w:t>（如为联合体，则需是联合体其中一方）</w:t>
            </w:r>
          </w:p>
          <w:p>
            <w:pPr>
              <w:rPr>
                <w:highlight w:val="none"/>
              </w:rPr>
            </w:pPr>
            <w:r>
              <w:rPr>
                <w:rFonts w:hint="eastAsia"/>
                <w:highlight w:val="none"/>
              </w:rPr>
              <w:t>（一）评分内容：</w:t>
            </w:r>
          </w:p>
          <w:p>
            <w:pPr>
              <w:jc w:val="left"/>
              <w:rPr>
                <w:highlight w:val="none"/>
              </w:rPr>
            </w:pPr>
            <w:r>
              <w:rPr>
                <w:rFonts w:hint="eastAsia"/>
                <w:highlight w:val="none"/>
              </w:rPr>
              <w:t>投标人主编或参编与建筑工程结构相关的国家标准（</w:t>
            </w:r>
            <w:r>
              <w:rPr>
                <w:rFonts w:hint="eastAsia"/>
                <w:highlight w:val="none"/>
                <w:lang w:val="en-US" w:eastAsia="zh-CN"/>
              </w:rPr>
              <w:t>或</w:t>
            </w:r>
            <w:r>
              <w:rPr>
                <w:rFonts w:hint="eastAsia"/>
                <w:highlight w:val="none"/>
              </w:rPr>
              <w:t>行业标准）或省市地方标准，每提供一个得</w:t>
            </w:r>
            <w:r>
              <w:rPr>
                <w:highlight w:val="none"/>
              </w:rPr>
              <w:t>10</w:t>
            </w:r>
            <w:r>
              <w:rPr>
                <w:rFonts w:hint="eastAsia"/>
                <w:highlight w:val="none"/>
              </w:rPr>
              <w:t>分，满分</w:t>
            </w:r>
            <w:r>
              <w:rPr>
                <w:highlight w:val="none"/>
              </w:rPr>
              <w:t>100</w:t>
            </w:r>
            <w:r>
              <w:rPr>
                <w:rFonts w:hint="eastAsia"/>
                <w:highlight w:val="none"/>
              </w:rPr>
              <w:t>分。</w:t>
            </w:r>
          </w:p>
          <w:p>
            <w:pPr>
              <w:rPr>
                <w:highlight w:val="none"/>
              </w:rPr>
            </w:pPr>
            <w:r>
              <w:rPr>
                <w:rFonts w:hint="eastAsia"/>
                <w:highlight w:val="none"/>
              </w:rPr>
              <w:t>（二）评分依据：</w:t>
            </w:r>
          </w:p>
          <w:p>
            <w:pPr>
              <w:rPr>
                <w:highlight w:val="none"/>
                <w:lang w:val="zh-CN"/>
              </w:rPr>
            </w:pPr>
            <w:r>
              <w:rPr>
                <w:rFonts w:hint="eastAsia"/>
                <w:highlight w:val="none"/>
                <w:lang w:val="zh-CN"/>
              </w:rPr>
              <w:t>1.提供相关标准，包括但不限于封面页、署名页扫描件，需能体现投标人信息；</w:t>
            </w:r>
          </w:p>
          <w:p>
            <w:pPr>
              <w:rPr>
                <w:highlight w:val="none"/>
                <w:lang w:val="zh-CN"/>
              </w:rPr>
            </w:pPr>
            <w:r>
              <w:rPr>
                <w:rFonts w:hint="eastAsia"/>
                <w:highlight w:val="none"/>
                <w:lang w:val="zh-CN"/>
              </w:rPr>
              <w:t>2.</w:t>
            </w:r>
            <w:r>
              <w:rPr>
                <w:rFonts w:hint="eastAsia"/>
                <w:highlight w:val="none"/>
              </w:rPr>
              <w:t xml:space="preserve"> </w:t>
            </w:r>
            <w:r>
              <w:rPr>
                <w:rFonts w:hint="eastAsia"/>
                <w:highlight w:val="none"/>
                <w:lang w:val="zh-CN"/>
              </w:rPr>
              <w:t>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9"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673"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highlight w:val="none"/>
              </w:rPr>
            </w:pPr>
            <w:r>
              <w:rPr>
                <w:rFonts w:hint="eastAsia" w:ascii="宋体" w:hAnsi="宋体" w:cs="仿宋_GB2312"/>
                <w:szCs w:val="21"/>
                <w:highlight w:val="none"/>
              </w:rPr>
              <w:t>3</w:t>
            </w:r>
          </w:p>
        </w:tc>
        <w:tc>
          <w:tcPr>
            <w:tcW w:w="2795"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highlight w:val="none"/>
              </w:rPr>
            </w:pPr>
            <w:r>
              <w:rPr>
                <w:rFonts w:hint="eastAsia" w:ascii="宋体" w:hAnsi="宋体" w:cs="仿宋_GB2312"/>
                <w:szCs w:val="21"/>
                <w:highlight w:val="none"/>
                <w:lang w:val="zh-CN"/>
              </w:rPr>
              <w:t>企业荣誉</w:t>
            </w:r>
          </w:p>
        </w:tc>
        <w:tc>
          <w:tcPr>
            <w:tcW w:w="674"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szCs w:val="21"/>
                <w:highlight w:val="none"/>
              </w:rPr>
            </w:pPr>
            <w:r>
              <w:rPr>
                <w:rFonts w:hint="eastAsia" w:ascii="宋体" w:hAnsi="宋体" w:cs="仿宋_GB2312"/>
                <w:szCs w:val="21"/>
                <w:highlight w:val="none"/>
              </w:rPr>
              <w:t>10</w:t>
            </w:r>
          </w:p>
        </w:tc>
        <w:tc>
          <w:tcPr>
            <w:tcW w:w="4135" w:type="dxa"/>
            <w:tcBorders>
              <w:top w:val="single" w:color="000000" w:sz="8" w:space="0"/>
              <w:left w:val="single" w:color="000000" w:sz="8" w:space="0"/>
              <w:bottom w:val="single" w:color="000000" w:sz="8" w:space="0"/>
              <w:right w:val="single" w:color="000000" w:sz="8" w:space="0"/>
            </w:tcBorders>
            <w:vAlign w:val="center"/>
          </w:tcPr>
          <w:p>
            <w:pPr>
              <w:jc w:val="left"/>
              <w:rPr>
                <w:rFonts w:ascii="宋体" w:hAnsi="宋体" w:cs="仿宋_GB2312"/>
                <w:b/>
                <w:bCs/>
                <w:szCs w:val="21"/>
                <w:highlight w:val="none"/>
              </w:rPr>
            </w:pPr>
            <w:r>
              <w:rPr>
                <w:rFonts w:hint="eastAsia" w:ascii="宋体" w:hAnsi="宋体" w:cs="仿宋_GB2312"/>
                <w:b/>
                <w:bCs/>
                <w:szCs w:val="21"/>
                <w:highlight w:val="none"/>
              </w:rPr>
              <w:t>（如为联合体，则需是联合体其中一方）</w:t>
            </w:r>
          </w:p>
          <w:p>
            <w:pPr>
              <w:rPr>
                <w:highlight w:val="none"/>
                <w:lang w:val="zh-CN"/>
              </w:rPr>
            </w:pPr>
            <w:r>
              <w:rPr>
                <w:rFonts w:hint="eastAsia"/>
                <w:highlight w:val="none"/>
              </w:rPr>
              <w:t>（一）评分内容：</w:t>
            </w:r>
          </w:p>
          <w:p>
            <w:pPr>
              <w:jc w:val="left"/>
              <w:rPr>
                <w:rFonts w:hint="eastAsia" w:ascii="宋体" w:hAnsi="宋体" w:eastAsia="宋体" w:cs="宋体"/>
                <w:szCs w:val="21"/>
                <w:highlight w:val="none"/>
                <w:lang w:eastAsia="zh-CN"/>
              </w:rPr>
            </w:pPr>
            <w:r>
              <w:rPr>
                <w:rFonts w:hint="eastAsia" w:ascii="宋体" w:hAnsi="宋体" w:cs="宋体"/>
                <w:szCs w:val="21"/>
                <w:highlight w:val="none"/>
                <w:lang w:val="en-US" w:eastAsia="zh-CN"/>
              </w:rPr>
              <w:t>投标人具有</w:t>
            </w:r>
            <w:r>
              <w:rPr>
                <w:rFonts w:hint="eastAsia" w:ascii="宋体" w:hAnsi="宋体" w:cs="宋体"/>
                <w:szCs w:val="21"/>
                <w:highlight w:val="none"/>
              </w:rPr>
              <w:t>政府部门颁发的复杂结构类项目科学类</w:t>
            </w:r>
            <w:r>
              <w:rPr>
                <w:rFonts w:hint="eastAsia" w:ascii="宋体" w:hAnsi="宋体" w:cs="宋体"/>
                <w:szCs w:val="21"/>
                <w:highlight w:val="none"/>
                <w:lang w:eastAsia="zh-CN"/>
              </w:rPr>
              <w:t>（</w:t>
            </w:r>
            <w:r>
              <w:rPr>
                <w:rFonts w:hint="eastAsia" w:ascii="宋体" w:hAnsi="宋体" w:cs="宋体"/>
                <w:szCs w:val="21"/>
                <w:highlight w:val="none"/>
              </w:rPr>
              <w:t>或项目类</w:t>
            </w:r>
            <w:r>
              <w:rPr>
                <w:rFonts w:hint="eastAsia" w:ascii="宋体" w:hAnsi="宋体" w:cs="宋体"/>
                <w:szCs w:val="21"/>
                <w:highlight w:val="none"/>
                <w:lang w:eastAsia="zh-CN"/>
              </w:rPr>
              <w:t>）</w:t>
            </w:r>
            <w:r>
              <w:rPr>
                <w:rFonts w:hint="eastAsia" w:ascii="宋体" w:hAnsi="宋体" w:cs="宋体"/>
                <w:szCs w:val="21"/>
                <w:highlight w:val="none"/>
              </w:rPr>
              <w:t>技术奖</w:t>
            </w:r>
            <w:r>
              <w:rPr>
                <w:rFonts w:hint="eastAsia" w:ascii="宋体" w:hAnsi="宋体" w:cs="宋体"/>
                <w:szCs w:val="21"/>
                <w:highlight w:val="none"/>
                <w:lang w:eastAsia="zh-CN"/>
              </w:rPr>
              <w:t>：</w:t>
            </w:r>
          </w:p>
          <w:p>
            <w:pPr>
              <w:jc w:val="left"/>
              <w:rPr>
                <w:rFonts w:ascii="宋体" w:hAnsi="宋体" w:cs="宋体"/>
                <w:szCs w:val="21"/>
                <w:highlight w:val="none"/>
              </w:rPr>
            </w:pPr>
            <w:r>
              <w:rPr>
                <w:rFonts w:hint="eastAsia" w:ascii="宋体" w:hAnsi="宋体" w:cs="宋体"/>
                <w:szCs w:val="21"/>
                <w:highlight w:val="none"/>
              </w:rPr>
              <w:t>1.具有一个国家级奖项10</w:t>
            </w:r>
            <w:r>
              <w:rPr>
                <w:rFonts w:ascii="宋体" w:hAnsi="宋体" w:cs="宋体"/>
                <w:szCs w:val="21"/>
                <w:highlight w:val="none"/>
              </w:rPr>
              <w:t>0</w:t>
            </w:r>
            <w:r>
              <w:rPr>
                <w:rFonts w:hint="eastAsia" w:ascii="宋体" w:hAnsi="宋体" w:cs="宋体"/>
                <w:szCs w:val="21"/>
                <w:highlight w:val="none"/>
              </w:rPr>
              <w:t>分；</w:t>
            </w:r>
          </w:p>
          <w:p>
            <w:pPr>
              <w:jc w:val="left"/>
              <w:rPr>
                <w:rFonts w:ascii="宋体" w:hAnsi="宋体" w:cs="宋体"/>
                <w:szCs w:val="21"/>
                <w:highlight w:val="none"/>
              </w:rPr>
            </w:pPr>
            <w:r>
              <w:rPr>
                <w:rFonts w:hint="eastAsia" w:ascii="宋体" w:hAnsi="宋体" w:cs="宋体"/>
                <w:szCs w:val="21"/>
                <w:highlight w:val="none"/>
              </w:rPr>
              <w:t>2.具有一个省级的奖项5</w:t>
            </w:r>
            <w:r>
              <w:rPr>
                <w:rFonts w:ascii="宋体" w:hAnsi="宋体" w:cs="宋体"/>
                <w:szCs w:val="21"/>
                <w:highlight w:val="none"/>
              </w:rPr>
              <w:t>0</w:t>
            </w:r>
            <w:r>
              <w:rPr>
                <w:rFonts w:hint="eastAsia" w:ascii="宋体" w:hAnsi="宋体" w:cs="宋体"/>
                <w:szCs w:val="21"/>
                <w:highlight w:val="none"/>
              </w:rPr>
              <w:t>分；</w:t>
            </w:r>
          </w:p>
          <w:p>
            <w:pPr>
              <w:jc w:val="left"/>
              <w:rPr>
                <w:rFonts w:ascii="宋体" w:hAnsi="宋体" w:cs="宋体"/>
                <w:szCs w:val="21"/>
                <w:highlight w:val="none"/>
              </w:rPr>
            </w:pPr>
            <w:r>
              <w:rPr>
                <w:rFonts w:hint="eastAsia" w:ascii="宋体" w:hAnsi="宋体" w:cs="宋体"/>
                <w:szCs w:val="21"/>
                <w:highlight w:val="none"/>
              </w:rPr>
              <w:t>3.具有一个市级的奖项15分；</w:t>
            </w:r>
          </w:p>
          <w:p>
            <w:pPr>
              <w:rPr>
                <w:highlight w:val="none"/>
              </w:rPr>
            </w:pPr>
            <w:r>
              <w:rPr>
                <w:rFonts w:hint="eastAsia"/>
                <w:highlight w:val="none"/>
              </w:rPr>
              <w:t>同一奖项以最高级别计分，不可重复计分</w:t>
            </w:r>
            <w:r>
              <w:rPr>
                <w:rFonts w:hint="eastAsia"/>
                <w:highlight w:val="none"/>
                <w:lang w:eastAsia="zh-CN"/>
              </w:rPr>
              <w:t>，</w:t>
            </w:r>
            <w:r>
              <w:rPr>
                <w:rFonts w:hint="eastAsia"/>
                <w:highlight w:val="none"/>
              </w:rPr>
              <w:t>以上3项累计计分，满分10</w:t>
            </w:r>
            <w:r>
              <w:rPr>
                <w:highlight w:val="none"/>
              </w:rPr>
              <w:t>0</w:t>
            </w:r>
            <w:r>
              <w:rPr>
                <w:rFonts w:hint="eastAsia"/>
                <w:highlight w:val="none"/>
              </w:rPr>
              <w:t>分。</w:t>
            </w:r>
          </w:p>
          <w:p>
            <w:pPr>
              <w:rPr>
                <w:highlight w:val="none"/>
              </w:rPr>
            </w:pPr>
            <w:r>
              <w:rPr>
                <w:rFonts w:hint="eastAsia"/>
                <w:highlight w:val="none"/>
              </w:rPr>
              <w:t>（二）评分依据：</w:t>
            </w:r>
          </w:p>
          <w:p>
            <w:pPr>
              <w:rPr>
                <w:highlight w:val="none"/>
              </w:rPr>
            </w:pPr>
            <w:r>
              <w:rPr>
                <w:rFonts w:hint="eastAsia"/>
                <w:highlight w:val="none"/>
              </w:rPr>
              <w:t>1、提供获奖（荣誉）证书或奖牌；</w:t>
            </w:r>
          </w:p>
          <w:p>
            <w:pPr>
              <w:rPr>
                <w:highlight w:val="none"/>
              </w:rPr>
            </w:pPr>
            <w:r>
              <w:rPr>
                <w:rFonts w:hint="eastAsia"/>
                <w:highlight w:val="none"/>
              </w:rPr>
              <w:t>2、所获得荣誉需体现投标人名称，若荣誉未体现投标人名称，还须同时提供其他证明文件；</w:t>
            </w:r>
          </w:p>
          <w:p>
            <w:pPr>
              <w:rPr>
                <w:rFonts w:ascii="宋体" w:hAnsi="宋体" w:cs="宋体"/>
                <w:szCs w:val="21"/>
                <w:highlight w:val="none"/>
              </w:rPr>
            </w:pPr>
            <w:r>
              <w:rPr>
                <w:rFonts w:hint="eastAsia"/>
                <w:highlight w:val="none"/>
              </w:rPr>
              <w:t>3、未提供或提供不清晰导致无法识别的不得分。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9" w:type="dxa"/>
            <w:vMerge w:val="restart"/>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highlight w:val="none"/>
              </w:rPr>
            </w:pPr>
            <w:r>
              <w:rPr>
                <w:b/>
                <w:bCs/>
                <w:color w:val="0000FF"/>
                <w:highlight w:val="none"/>
              </w:rPr>
              <w:t>4</w:t>
            </w:r>
          </w:p>
        </w:tc>
        <w:tc>
          <w:tcPr>
            <w:tcW w:w="4142" w:type="dxa"/>
            <w:gridSpan w:val="3"/>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highlight w:val="none"/>
              </w:rPr>
            </w:pPr>
            <w:r>
              <w:rPr>
                <w:rFonts w:hint="eastAsia" w:ascii="宋体" w:hAnsi="宋体" w:cs="宋体"/>
                <w:b/>
                <w:bCs/>
                <w:color w:val="0000FF"/>
                <w:sz w:val="24"/>
                <w:highlight w:val="none"/>
              </w:rPr>
              <w:t>诚信情况</w:t>
            </w:r>
          </w:p>
        </w:tc>
        <w:tc>
          <w:tcPr>
            <w:tcW w:w="4135" w:type="dxa"/>
            <w:tcBorders>
              <w:top w:val="single" w:color="000000" w:sz="8" w:space="0"/>
              <w:left w:val="single" w:color="000000" w:sz="8" w:space="0"/>
              <w:bottom w:val="single" w:color="000000" w:sz="8" w:space="0"/>
              <w:right w:val="single" w:color="000000" w:sz="8" w:space="0"/>
            </w:tcBorders>
          </w:tcPr>
          <w:p>
            <w:pPr>
              <w:wordWrap w:val="0"/>
              <w:jc w:val="center"/>
              <w:rPr>
                <w:rFonts w:ascii="宋体" w:hAnsi="宋体" w:cs="宋体"/>
                <w:b/>
                <w:bCs/>
                <w:color w:val="0000FF"/>
                <w:sz w:val="24"/>
                <w:highlight w:val="none"/>
              </w:rPr>
            </w:pPr>
            <w:r>
              <w:rPr>
                <w:b/>
                <w:bCs/>
                <w:color w:val="0000FF"/>
                <w:highlight w:val="none"/>
              </w:rPr>
              <w:t>3</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9"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8277" w:type="dxa"/>
            <w:gridSpan w:val="4"/>
            <w:tcBorders>
              <w:top w:val="single" w:color="000000" w:sz="8" w:space="0"/>
              <w:left w:val="single" w:color="000000" w:sz="8" w:space="0"/>
              <w:bottom w:val="single" w:color="000000" w:sz="8" w:space="0"/>
              <w:right w:val="single" w:color="000000" w:sz="8" w:space="0"/>
            </w:tcBorders>
          </w:tcPr>
          <w:p>
            <w:pPr>
              <w:wordWrap w:val="0"/>
              <w:rPr>
                <w:rFonts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9"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pPr>
              <w:rPr>
                <w:rFonts w:ascii="宋体" w:hAnsi="宋体" w:cs="宋体"/>
                <w:b/>
                <w:bCs/>
                <w:color w:val="0000FF"/>
                <w:sz w:val="24"/>
                <w:highlight w:val="none"/>
              </w:rPr>
            </w:pPr>
          </w:p>
        </w:tc>
        <w:tc>
          <w:tcPr>
            <w:tcW w:w="673"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highlight w:val="none"/>
              </w:rPr>
            </w:pPr>
            <w:r>
              <w:rPr>
                <w:szCs w:val="21"/>
                <w:highlight w:val="none"/>
              </w:rPr>
              <w:t>序号</w:t>
            </w:r>
          </w:p>
        </w:tc>
        <w:tc>
          <w:tcPr>
            <w:tcW w:w="279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highlight w:val="none"/>
              </w:rPr>
            </w:pPr>
            <w:r>
              <w:rPr>
                <w:szCs w:val="21"/>
                <w:highlight w:val="none"/>
              </w:rPr>
              <w:t>评分因素</w:t>
            </w:r>
          </w:p>
        </w:tc>
        <w:tc>
          <w:tcPr>
            <w:tcW w:w="674"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highlight w:val="none"/>
              </w:rPr>
            </w:pPr>
            <w:r>
              <w:rPr>
                <w:rFonts w:hint="eastAsia"/>
                <w:szCs w:val="21"/>
                <w:highlight w:val="none"/>
              </w:rPr>
              <w:t>权重</w:t>
            </w:r>
          </w:p>
        </w:tc>
        <w:tc>
          <w:tcPr>
            <w:tcW w:w="4135" w:type="dxa"/>
            <w:tcBorders>
              <w:top w:val="outset" w:color="000000" w:sz="6" w:space="0"/>
              <w:left w:val="outset" w:color="000000" w:sz="6" w:space="0"/>
              <w:bottom w:val="outset" w:color="000000" w:sz="6" w:space="0"/>
              <w:right w:val="outset" w:color="000000" w:sz="6" w:space="0"/>
            </w:tcBorders>
            <w:shd w:val="clear" w:color="auto" w:fill="E6EFFA"/>
            <w:vAlign w:val="center"/>
          </w:tcPr>
          <w:p>
            <w:pPr>
              <w:wordWrap w:val="0"/>
              <w:jc w:val="center"/>
              <w:rPr>
                <w:rFonts w:ascii="宋体" w:hAnsi="宋体" w:cs="宋体"/>
                <w:szCs w:val="21"/>
                <w:highlight w:val="none"/>
              </w:rPr>
            </w:pPr>
            <w:r>
              <w:rPr>
                <w:szCs w:val="21"/>
                <w:highlight w:val="none"/>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79" w:type="dxa"/>
            <w:vMerge w:val="continue"/>
            <w:tcBorders>
              <w:top w:val="single" w:color="000000" w:sz="8" w:space="0"/>
              <w:left w:val="single" w:color="000000" w:sz="8" w:space="0"/>
              <w:bottom w:val="single" w:color="000000" w:sz="8" w:space="0"/>
              <w:right w:val="single" w:color="000000" w:sz="8" w:space="0"/>
            </w:tcBorders>
            <w:vAlign w:val="center"/>
          </w:tcPr>
          <w:p>
            <w:pPr>
              <w:rPr>
                <w:rFonts w:ascii="宋体" w:hAnsi="宋体" w:cs="宋体"/>
                <w:b/>
                <w:bCs/>
                <w:color w:val="0000FF"/>
                <w:sz w:val="24"/>
                <w:highlight w:val="none"/>
              </w:rPr>
            </w:pPr>
          </w:p>
        </w:tc>
        <w:tc>
          <w:tcPr>
            <w:tcW w:w="673"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highlight w:val="none"/>
              </w:rPr>
            </w:pPr>
            <w:r>
              <w:rPr>
                <w:szCs w:val="21"/>
                <w:highlight w:val="none"/>
              </w:rPr>
              <w:t>1</w:t>
            </w:r>
          </w:p>
        </w:tc>
        <w:tc>
          <w:tcPr>
            <w:tcW w:w="2795" w:type="dxa"/>
            <w:tcBorders>
              <w:top w:val="single" w:color="000000" w:sz="8" w:space="0"/>
              <w:left w:val="single" w:color="000000" w:sz="8" w:space="0"/>
              <w:bottom w:val="single" w:color="000000" w:sz="8" w:space="0"/>
              <w:right w:val="single" w:color="000000" w:sz="8" w:space="0"/>
            </w:tcBorders>
            <w:vAlign w:val="center"/>
          </w:tcPr>
          <w:p>
            <w:pPr>
              <w:wordWrap w:val="0"/>
              <w:jc w:val="center"/>
              <w:rPr>
                <w:rFonts w:ascii="宋体" w:hAnsi="宋体" w:cs="宋体"/>
                <w:szCs w:val="21"/>
                <w:highlight w:val="none"/>
              </w:rPr>
            </w:pPr>
            <w:r>
              <w:rPr>
                <w:szCs w:val="21"/>
                <w:highlight w:val="none"/>
              </w:rPr>
              <w:t>诚信情况</w:t>
            </w:r>
          </w:p>
        </w:tc>
        <w:tc>
          <w:tcPr>
            <w:tcW w:w="674" w:type="dxa"/>
            <w:tcBorders>
              <w:top w:val="single" w:color="000000" w:sz="8" w:space="0"/>
              <w:left w:val="single" w:color="000000" w:sz="8" w:space="0"/>
              <w:bottom w:val="single" w:color="000000" w:sz="8" w:space="0"/>
              <w:right w:val="single" w:color="000000" w:sz="8" w:space="0"/>
            </w:tcBorders>
            <w:vAlign w:val="center"/>
          </w:tcPr>
          <w:p>
            <w:pPr>
              <w:widowControl/>
              <w:wordWrap w:val="0"/>
              <w:jc w:val="center"/>
              <w:textAlignment w:val="top"/>
              <w:rPr>
                <w:rFonts w:ascii="宋体" w:hAnsi="宋体" w:cs="宋体"/>
                <w:szCs w:val="21"/>
                <w:highlight w:val="none"/>
              </w:rPr>
            </w:pPr>
            <w:r>
              <w:rPr>
                <w:rFonts w:hint="eastAsia"/>
                <w:highlight w:val="none"/>
              </w:rPr>
              <w:t>3</w:t>
            </w:r>
          </w:p>
        </w:tc>
        <w:tc>
          <w:tcPr>
            <w:tcW w:w="4135" w:type="dxa"/>
            <w:tcBorders>
              <w:top w:val="single" w:color="000000" w:sz="8" w:space="0"/>
              <w:left w:val="single" w:color="000000" w:sz="8" w:space="0"/>
              <w:bottom w:val="single" w:color="000000" w:sz="8" w:space="0"/>
              <w:right w:val="single" w:color="000000" w:sz="8" w:space="0"/>
            </w:tcBorders>
          </w:tcPr>
          <w:p>
            <w:pPr>
              <w:pStyle w:val="19"/>
              <w:wordWrap w:val="0"/>
              <w:spacing w:line="240" w:lineRule="auto"/>
              <w:ind w:firstLine="420" w:firstLineChars="200"/>
              <w:rPr>
                <w:rFonts w:asciiTheme="minorEastAsia" w:hAnsiTheme="minorEastAsia" w:eastAsiaTheme="minorEastAsia" w:cstheme="minorEastAsia"/>
                <w:b w:val="0"/>
                <w:bCs w:val="0"/>
                <w:sz w:val="21"/>
                <w:szCs w:val="21"/>
                <w:highlight w:val="none"/>
              </w:rPr>
            </w:pPr>
            <w:r>
              <w:rPr>
                <w:rFonts w:hint="eastAsia" w:asciiTheme="minorEastAsia" w:hAnsiTheme="minorEastAsia" w:eastAsiaTheme="minorEastAsia" w:cstheme="minorEastAsia"/>
                <w:b w:val="0"/>
                <w:bCs w:val="0"/>
                <w:sz w:val="21"/>
                <w:szCs w:val="21"/>
                <w:highlight w:val="none"/>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pPr>
              <w:pStyle w:val="19"/>
              <w:wordWrap w:val="0"/>
              <w:spacing w:line="240" w:lineRule="auto"/>
              <w:ind w:firstLine="420" w:firstLineChars="200"/>
              <w:rPr>
                <w:rFonts w:ascii="宋体" w:hAnsi="宋体" w:cs="宋体"/>
                <w:szCs w:val="21"/>
                <w:highlight w:val="none"/>
              </w:rPr>
            </w:pPr>
            <w:r>
              <w:rPr>
                <w:rFonts w:hint="eastAsia" w:asciiTheme="minorEastAsia" w:hAnsiTheme="minorEastAsia" w:eastAsiaTheme="minorEastAsia" w:cstheme="minorEastAsia"/>
                <w:b w:val="0"/>
                <w:bCs w:val="0"/>
                <w:sz w:val="21"/>
                <w:szCs w:val="21"/>
                <w:highlight w:val="none"/>
              </w:rPr>
              <w:t>查询渠道：通过“信用中国”（www.creditchina.gov.cn，下载信用信息报告）、“中国政府采购网”（www.ccgp.gov.cn）、以及“深圳市政府采购监管网”（http://zfcg.sz.gov.cn）查询供应商信用信息，信用信息以开标当日的查询结果为准。</w:t>
            </w:r>
          </w:p>
        </w:tc>
      </w:tr>
    </w:tbl>
    <w:p>
      <w:pPr>
        <w:rPr>
          <w:rFonts w:ascii="宋体" w:hAnsi="宋体"/>
          <w:sz w:val="24"/>
        </w:rPr>
      </w:pPr>
    </w:p>
    <w:p>
      <w:pPr>
        <w:sectPr>
          <w:pgSz w:w="11907" w:h="16840"/>
          <w:pgMar w:top="1440" w:right="1417" w:bottom="1440" w:left="1417" w:header="851" w:footer="992" w:gutter="0"/>
          <w:cols w:space="425" w:num="1"/>
          <w:titlePg/>
          <w:docGrid w:linePitch="462" w:charSpace="0"/>
        </w:sectPr>
      </w:pPr>
    </w:p>
    <w:p>
      <w:pPr>
        <w:jc w:val="center"/>
        <w:rPr>
          <w:b/>
          <w:sz w:val="120"/>
          <w:szCs w:val="120"/>
        </w:rPr>
      </w:pPr>
    </w:p>
    <w:p>
      <w:pPr>
        <w:jc w:val="center"/>
        <w:rPr>
          <w:b/>
          <w:sz w:val="120"/>
          <w:szCs w:val="120"/>
        </w:rPr>
      </w:pPr>
    </w:p>
    <w:p>
      <w:pPr>
        <w:jc w:val="center"/>
        <w:rPr>
          <w:b/>
          <w:sz w:val="120"/>
          <w:szCs w:val="120"/>
        </w:rPr>
      </w:pPr>
    </w:p>
    <w:p>
      <w:pPr>
        <w:jc w:val="center"/>
        <w:rPr>
          <w:b/>
          <w:sz w:val="120"/>
          <w:szCs w:val="120"/>
        </w:rPr>
      </w:pPr>
      <w:r>
        <w:rPr>
          <w:rFonts w:hint="eastAsia"/>
          <w:b/>
          <w:sz w:val="120"/>
          <w:szCs w:val="120"/>
        </w:rPr>
        <w:t>政府采购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（服务类）</w:t>
      </w: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bookmarkStart w:id="0" w:name="_Hlk71465316"/>
      <w:r>
        <w:rPr>
          <w:rFonts w:hint="eastAsia"/>
          <w:b/>
          <w:sz w:val="44"/>
          <w:szCs w:val="44"/>
        </w:rPr>
        <w:t>深圳公共资源交易中心</w:t>
      </w:r>
    </w:p>
    <w:p>
      <w:pPr>
        <w:jc w:val="center"/>
        <w:rPr>
          <w:sz w:val="28"/>
          <w:szCs w:val="28"/>
        </w:rPr>
      </w:pPr>
      <w:r>
        <w:rPr>
          <w:rFonts w:hint="eastAsia"/>
          <w:b/>
          <w:sz w:val="28"/>
          <w:szCs w:val="28"/>
        </w:rPr>
        <w:t>（</w:t>
      </w:r>
      <w:r>
        <w:rPr>
          <w:b/>
          <w:sz w:val="28"/>
          <w:szCs w:val="28"/>
        </w:rPr>
        <w:t>20</w:t>
      </w:r>
      <w:r>
        <w:rPr>
          <w:rFonts w:hint="eastAsia"/>
          <w:b/>
          <w:sz w:val="28"/>
          <w:szCs w:val="28"/>
        </w:rPr>
        <w:t>25）</w:t>
      </w:r>
      <w:bookmarkEnd w:id="0"/>
    </w:p>
    <w:p>
      <w:pPr>
        <w:ind w:firstLine="420" w:firstLineChars="200"/>
      </w:pPr>
      <w:r>
        <w:rPr>
          <w:rFonts w:hint="eastAsia"/>
        </w:rPr>
        <w:br w:type="page"/>
      </w:r>
    </w:p>
    <w:p>
      <w:pPr>
        <w:pStyle w:val="3"/>
      </w:pPr>
      <w:r>
        <w:rPr>
          <w:rFonts w:hint="eastAsia"/>
        </w:rPr>
        <w:t>目   录</w:t>
      </w:r>
    </w:p>
    <w:p>
      <w:pPr>
        <w:outlineLvl w:val="0"/>
        <w:rPr>
          <w:b/>
          <w:sz w:val="24"/>
        </w:rPr>
      </w:pPr>
      <w:r>
        <w:rPr>
          <w:rFonts w:hint="eastAsia"/>
          <w:b/>
          <w:sz w:val="24"/>
        </w:rPr>
        <w:t>第一册  专用条款</w:t>
      </w:r>
    </w:p>
    <w:p>
      <w:pPr>
        <w:ind w:firstLine="960" w:firstLineChars="400"/>
        <w:rPr>
          <w:sz w:val="24"/>
        </w:rPr>
      </w:pPr>
      <w:r>
        <w:rPr>
          <w:rFonts w:hint="eastAsia"/>
          <w:sz w:val="24"/>
        </w:rPr>
        <w:t>关键信息</w:t>
      </w:r>
    </w:p>
    <w:p>
      <w:pPr>
        <w:ind w:left="630" w:leftChars="300" w:firstLine="630" w:firstLineChars="300"/>
        <w:rPr>
          <w:rFonts w:ascii="宋体" w:hAnsi="宋体"/>
          <w:szCs w:val="21"/>
        </w:rPr>
      </w:pPr>
      <w:r>
        <w:rPr>
          <w:rFonts w:hint="eastAsia" w:ascii="宋体" w:hAnsi="宋体"/>
          <w:szCs w:val="21"/>
        </w:rPr>
        <w:t>第一章  招标公告</w:t>
      </w:r>
    </w:p>
    <w:p>
      <w:pPr>
        <w:ind w:left="630" w:leftChars="300" w:firstLine="630" w:firstLineChars="300"/>
        <w:rPr>
          <w:rFonts w:ascii="宋体" w:hAnsi="宋体"/>
          <w:szCs w:val="21"/>
        </w:rPr>
      </w:pPr>
      <w:r>
        <w:rPr>
          <w:rFonts w:hint="eastAsia" w:ascii="宋体" w:hAnsi="宋体"/>
          <w:szCs w:val="21"/>
        </w:rPr>
        <w:t xml:space="preserve">第二章  </w:t>
      </w:r>
      <w:bookmarkStart w:id="1" w:name="_Hlk71994379"/>
      <w:r>
        <w:rPr>
          <w:rFonts w:hint="eastAsia" w:ascii="宋体" w:hAnsi="宋体"/>
          <w:szCs w:val="21"/>
        </w:rPr>
        <w:t>对通用条款的补充内容及其他关键信息</w:t>
      </w:r>
      <w:bookmarkEnd w:id="1"/>
    </w:p>
    <w:p>
      <w:pPr>
        <w:ind w:left="630" w:leftChars="300" w:firstLine="630" w:firstLineChars="300"/>
        <w:rPr>
          <w:rFonts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630" w:firstLineChars="300"/>
        <w:rPr>
          <w:rFonts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630" w:firstLineChars="300"/>
        <w:rPr>
          <w:rFonts w:ascii="宋体" w:hAnsi="宋体"/>
          <w:szCs w:val="21"/>
        </w:rPr>
      </w:pPr>
      <w:r>
        <w:rPr>
          <w:rFonts w:hint="eastAsia" w:ascii="宋体" w:hAnsi="宋体"/>
          <w:szCs w:val="21"/>
        </w:rPr>
        <w:t>第五章  合同条款及格式</w:t>
      </w:r>
    </w:p>
    <w:p>
      <w:pPr>
        <w:rPr>
          <w:b/>
          <w:sz w:val="24"/>
        </w:rPr>
      </w:pPr>
    </w:p>
    <w:p>
      <w:pPr>
        <w:outlineLvl w:val="0"/>
        <w:rPr>
          <w:b/>
          <w:sz w:val="24"/>
        </w:rPr>
      </w:pPr>
      <w:r>
        <w:rPr>
          <w:rFonts w:hint="eastAsia"/>
          <w:b/>
          <w:sz w:val="24"/>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firstLine="1050" w:firstLineChars="500"/>
        <w:outlineLvl w:val="0"/>
        <w:rPr>
          <w:b/>
          <w:sz w:val="24"/>
        </w:rPr>
      </w:pPr>
      <w:r>
        <w:rPr>
          <w:rFonts w:hint="eastAsia" w:ascii="宋体" w:hAnsi="宋体"/>
          <w:szCs w:val="21"/>
        </w:rPr>
        <w:t>第十一章  质疑处理</w:t>
      </w:r>
    </w:p>
    <w:p>
      <w:pPr>
        <w:spacing w:line="360" w:lineRule="auto"/>
        <w:ind w:firstLine="420" w:firstLineChars="200"/>
        <w:jc w:val="left"/>
        <w:rPr>
          <w:rFonts w:ascii="宋体" w:hAnsi="宋体"/>
          <w:szCs w:val="21"/>
        </w:rPr>
      </w:pPr>
    </w:p>
    <w:p>
      <w:pPr>
        <w:pStyle w:val="3"/>
        <w:rPr>
          <w:sz w:val="24"/>
        </w:rPr>
      </w:pPr>
      <w:r>
        <w:br w:type="page"/>
      </w:r>
      <w:bookmarkStart w:id="2" w:name="合同格式"/>
      <w:bookmarkEnd w:id="2"/>
      <w:bookmarkStart w:id="3" w:name="bt本工程承诺书"/>
      <w:bookmarkEnd w:id="3"/>
      <w:bookmarkStart w:id="4" w:name="bt投标人情况介绍"/>
      <w:bookmarkEnd w:id="4"/>
      <w:bookmarkStart w:id="5" w:name="bt项目管理班子配备情况"/>
      <w:bookmarkEnd w:id="5"/>
      <w:bookmarkStart w:id="6" w:name="bt其他资料由投标人自定"/>
      <w:bookmarkEnd w:id="6"/>
      <w:bookmarkStart w:id="7" w:name="bt说明"/>
      <w:bookmarkEnd w:id="7"/>
      <w:bookmarkStart w:id="8" w:name="bt技术标投标文件格式"/>
      <w:bookmarkEnd w:id="8"/>
      <w:bookmarkStart w:id="9" w:name="bt投标报价汇总表"/>
      <w:bookmarkEnd w:id="9"/>
      <w:bookmarkStart w:id="10" w:name="bt投标函"/>
      <w:bookmarkEnd w:id="10"/>
      <w:bookmarkStart w:id="11" w:name="bt合同条款"/>
      <w:bookmarkEnd w:id="11"/>
      <w:bookmarkStart w:id="12" w:name="bt合同格式"/>
      <w:bookmarkEnd w:id="12"/>
      <w:bookmarkStart w:id="13" w:name="bt开标一览表"/>
      <w:bookmarkEnd w:id="13"/>
      <w:bookmarkStart w:id="14" w:name="bt投标文件签署授权委托书"/>
      <w:bookmarkEnd w:id="14"/>
      <w:bookmarkStart w:id="15" w:name="bt投标人须知"/>
      <w:bookmarkEnd w:id="15"/>
      <w:bookmarkStart w:id="16" w:name="bt商务标投标文件格式"/>
      <w:bookmarkEnd w:id="16"/>
      <w:bookmarkStart w:id="17" w:name="bt其他资料2"/>
      <w:bookmarkEnd w:id="17"/>
      <w:bookmarkStart w:id="18" w:name="bt合同条款及格式"/>
      <w:bookmarkEnd w:id="18"/>
      <w:r>
        <w:rPr>
          <w:rFonts w:hint="eastAsia"/>
        </w:rPr>
        <w:t>第一册  专用条款</w:t>
      </w:r>
    </w:p>
    <w:p>
      <w:pPr>
        <w:pStyle w:val="6"/>
        <w:rPr>
          <w:sz w:val="28"/>
          <w:szCs w:val="28"/>
        </w:rPr>
      </w:pPr>
      <w:r>
        <w:rPr>
          <w:rFonts w:hint="eastAsia"/>
          <w:sz w:val="28"/>
          <w:szCs w:val="28"/>
        </w:rPr>
        <w:t>第一章  招标公告</w:t>
      </w:r>
    </w:p>
    <w:tbl>
      <w:tblPr>
        <w:tblStyle w:val="43"/>
        <w:tblW w:w="8193" w:type="dxa"/>
        <w:jc w:val="center"/>
        <w:tblCellSpacing w:w="0" w:type="dxa"/>
        <w:tblLayout w:type="fixed"/>
        <w:tblCellMar>
          <w:top w:w="0" w:type="dxa"/>
          <w:left w:w="0" w:type="dxa"/>
          <w:bottom w:w="0" w:type="dxa"/>
          <w:right w:w="0" w:type="dxa"/>
        </w:tblCellMar>
      </w:tblPr>
      <w:tblGrid>
        <w:gridCol w:w="8193"/>
      </w:tblGrid>
      <w:tr>
        <w:tblPrEx>
          <w:tblCellMar>
            <w:top w:w="0" w:type="dxa"/>
            <w:left w:w="0" w:type="dxa"/>
            <w:bottom w:w="0" w:type="dxa"/>
            <w:right w:w="0" w:type="dxa"/>
          </w:tblCellMar>
        </w:tblPrEx>
        <w:trPr>
          <w:tblCellSpacing w:w="0" w:type="dxa"/>
          <w:jc w:val="center"/>
        </w:trPr>
        <w:tc>
          <w:tcPr>
            <w:tcW w:w="8193" w:type="dxa"/>
            <w:vAlign w:val="center"/>
          </w:tcPr>
          <w:tbl>
            <w:tblPr>
              <w:tblStyle w:val="43"/>
              <w:tblW w:w="8147" w:type="dxa"/>
              <w:jc w:val="center"/>
              <w:tblCellSpacing w:w="0" w:type="dxa"/>
              <w:tblLayout w:type="fixed"/>
              <w:tblCellMar>
                <w:top w:w="30" w:type="dxa"/>
                <w:left w:w="30" w:type="dxa"/>
                <w:bottom w:w="30" w:type="dxa"/>
                <w:right w:w="30" w:type="dxa"/>
              </w:tblCellMar>
            </w:tblPr>
            <w:tblGrid>
              <w:gridCol w:w="8147"/>
            </w:tblGrid>
            <w:tr>
              <w:tblPrEx>
                <w:tblCellMar>
                  <w:top w:w="30" w:type="dxa"/>
                  <w:left w:w="30" w:type="dxa"/>
                  <w:bottom w:w="30" w:type="dxa"/>
                  <w:right w:w="30" w:type="dxa"/>
                </w:tblCellMar>
              </w:tblPrEx>
              <w:trPr>
                <w:tblCellSpacing w:w="0" w:type="dxa"/>
                <w:jc w:val="center"/>
              </w:trPr>
              <w:tc>
                <w:tcPr>
                  <w:tcW w:w="8147" w:type="dxa"/>
                </w:tcPr>
                <w:p>
                  <w:pPr>
                    <w:spacing w:line="360" w:lineRule="auto"/>
                    <w:rPr>
                      <w:rFonts w:ascii="宋体" w:hAnsi="宋体" w:cs="宋体"/>
                      <w:b/>
                      <w:bCs/>
                      <w:kern w:val="0"/>
                      <w:szCs w:val="21"/>
                    </w:rPr>
                  </w:pPr>
                  <w:r>
                    <w:rPr>
                      <w:rFonts w:hint="eastAsia" w:ascii="宋体" w:hAnsi="宋体" w:cs="宋体"/>
                      <w:b/>
                      <w:bCs/>
                      <w:kern w:val="0"/>
                      <w:szCs w:val="21"/>
                    </w:rPr>
                    <w:t>申请人的资格要求：</w:t>
                  </w:r>
                </w:p>
                <w:p>
                  <w:pPr>
                    <w:ind w:firstLine="420" w:firstLineChars="200"/>
                    <w:rPr>
                      <w:rFonts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19" w:name="_Hlk72162904"/>
                  <w:r>
                    <w:rPr>
                      <w:rFonts w:hint="eastAsia" w:ascii="宋体" w:hAnsi="宋体" w:cs="宋体"/>
                      <w:kern w:val="0"/>
                      <w:szCs w:val="21"/>
                    </w:rPr>
                    <w:t>具有独立承担民事责任的能力（提供营业执照或事业单位法人证书等证明资料扫描件，原件备查，分支机构参与投标的，须同时提供总公司授权文件且授权书载明其民事责任由总公司承担）</w:t>
                  </w:r>
                  <w:bookmarkEnd w:id="19"/>
                  <w:r>
                    <w:rPr>
                      <w:rFonts w:hint="eastAsia"/>
                    </w:rPr>
                    <w:t>；</w:t>
                  </w:r>
                </w:p>
                <w:p>
                  <w:pPr>
                    <w:autoSpaceDE w:val="0"/>
                    <w:autoSpaceDN w:val="0"/>
                    <w:adjustRightInd w:val="0"/>
                    <w:ind w:firstLine="420" w:firstLineChars="200"/>
                    <w:jc w:val="left"/>
                    <w:textAlignment w:val="baseline"/>
                    <w:rPr>
                      <w:rFonts w:ascii="宋体" w:hAnsi="宋体" w:cs="宋体"/>
                      <w:kern w:val="0"/>
                      <w:szCs w:val="21"/>
                    </w:rPr>
                  </w:pPr>
                  <w:r>
                    <w:rPr>
                      <w:rFonts w:hint="eastAsia" w:ascii="宋体" w:hAnsi="宋体" w:cs="宋体"/>
                      <w:color w:val="FF0000"/>
                      <w:kern w:val="0"/>
                      <w:szCs w:val="21"/>
                    </w:rPr>
                    <w:t>2.本项目接受联合体投标，联合体单位成员最多2家，如为联合体投标，必须提供联合体单位成员</w:t>
                  </w:r>
                  <w:r>
                    <w:rPr>
                      <w:rFonts w:hint="eastAsia" w:ascii="宋体" w:hAnsi="宋体" w:cs="宋体"/>
                      <w:b/>
                      <w:bCs/>
                      <w:color w:val="FF0000"/>
                      <w:kern w:val="0"/>
                      <w:szCs w:val="21"/>
                      <w:highlight w:val="yellow"/>
                    </w:rPr>
                    <w:t>共同签订并加盖公章</w:t>
                  </w:r>
                  <w:r>
                    <w:rPr>
                      <w:rFonts w:hint="eastAsia" w:ascii="宋体" w:hAnsi="宋体" w:cs="宋体"/>
                      <w:color w:val="FF0000"/>
                      <w:kern w:val="0"/>
                      <w:szCs w:val="21"/>
                    </w:rPr>
                    <w:t>的《联合体投标协议书》，并在协议中明确联合体单位成员各方承担的工作，联合体单位成员不得再以自己的名义单独或组成新的联合体参加投标，联合体各方须共同与采购人签订采购合同，就采购合同约定的事项对采购人承担连带责任；</w:t>
                  </w:r>
                </w:p>
                <w:p>
                  <w:pPr>
                    <w:ind w:firstLine="420" w:firstLineChars="2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w:t>
                  </w:r>
                  <w:r>
                    <w:rPr>
                      <w:rFonts w:hint="eastAsia" w:ascii="宋体" w:hAnsi="宋体" w:cs="宋体"/>
                      <w:kern w:val="0"/>
                      <w:szCs w:val="21"/>
                      <w:lang w:eastAsia="zh-CN"/>
                    </w:rPr>
                    <w:t>中华人民共和国政府采购法》</w:t>
                  </w:r>
                  <w:r>
                    <w:rPr>
                      <w:rFonts w:hint="eastAsia" w:ascii="宋体" w:hAnsi="宋体" w:cs="宋体"/>
                      <w:kern w:val="0"/>
                      <w:szCs w:val="21"/>
                    </w:rPr>
                    <w:t>第二十二条第一款的条件（由供应商在《政府采购投标及履约承诺函》中作出声明）；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p>
                <w:p>
                  <w:pPr>
                    <w:ind w:firstLine="420" w:firstLineChars="200"/>
                    <w:rPr>
                      <w:rFonts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6.不存在《深圳市财政局政府采购供应商信用信息管理办法》（深财规〔2023〕3号）列明的严重违法失信行为（由供应商在《政府采购投标及履约承诺函》中作出声明）；;</w:t>
                  </w:r>
                </w:p>
                <w:p>
                  <w:pPr>
                    <w:ind w:firstLine="420" w:firstLineChars="200"/>
                    <w:rPr>
                      <w:rFonts w:ascii="宋体" w:hAnsi="宋体" w:cs="宋体"/>
                      <w:kern w:val="0"/>
                      <w:szCs w:val="21"/>
                    </w:rPr>
                  </w:pPr>
                  <w:r>
                    <w:rPr>
                      <w:rFonts w:hint="eastAsia" w:ascii="宋体" w:hAnsi="宋体" w:cs="宋体"/>
                      <w:kern w:val="0"/>
                      <w:szCs w:val="21"/>
                    </w:rPr>
                    <w:t>7.为采购项目提供整体设计、规范编制或者项目管理、监理、检测等服务的供应商，不得再参加该采购项目的其他采购活动（由供应商在《政府采购投标及履约承诺函》中作出声明）；</w:t>
                  </w:r>
                </w:p>
                <w:p>
                  <w:pPr>
                    <w:pStyle w:val="193"/>
                    <w:ind w:firstLine="420" w:firstLineChars="200"/>
                  </w:pPr>
                  <w:r>
                    <w:rPr>
                      <w:rFonts w:hint="eastAsia" w:ascii="宋体" w:hAnsi="宋体" w:cs="宋体"/>
                      <w:color w:val="FF0000"/>
                      <w:kern w:val="0"/>
                      <w:szCs w:val="21"/>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pPr>
                    <w:ind w:firstLine="420" w:firstLineChars="200"/>
                    <w:rPr>
                      <w:rFonts w:ascii="宋体" w:hAnsi="宋体" w:cs="宋体"/>
                      <w:kern w:val="0"/>
                      <w:szCs w:val="21"/>
                    </w:rPr>
                  </w:pPr>
                  <w:r>
                    <w:rPr>
                      <w:rFonts w:hint="eastAsia" w:ascii="宋体" w:hAnsi="宋体" w:cs="宋体"/>
                      <w:kern w:val="0"/>
                      <w:szCs w:val="21"/>
                    </w:rPr>
                    <w:t>9.本项目全部专门面向中小企业采购：否。</w:t>
                  </w:r>
                </w:p>
                <w:p>
                  <w:pPr>
                    <w:spacing w:line="276" w:lineRule="auto"/>
                    <w:ind w:firstLine="420" w:firstLineChars="200"/>
                    <w:rPr>
                      <w:rFonts w:ascii="宋体" w:hAnsi="宋体" w:cs="宋体"/>
                      <w:color w:val="FF0000"/>
                      <w:kern w:val="0"/>
                      <w:szCs w:val="21"/>
                    </w:rPr>
                  </w:pPr>
                  <w:r>
                    <w:rPr>
                      <w:rFonts w:hint="eastAsia" w:ascii="宋体" w:hAnsi="宋体" w:cs="宋体"/>
                      <w:color w:val="FF0000"/>
                      <w:kern w:val="0"/>
                      <w:szCs w:val="21"/>
                    </w:rPr>
                    <w:t>10.投标人必须在深圳市房屋安全鉴定机构名录内，或者如果是联合体投标，至少有一家成员必须在深圳市房屋安全鉴定机构名录内。提供深圳市住房和建设局网站</w:t>
                  </w:r>
                  <w:r>
                    <w:rPr>
                      <w:rFonts w:hint="eastAsia" w:ascii="宋体" w:hAnsi="宋体" w:cs="宋体"/>
                      <w:color w:val="FF0000"/>
                      <w:kern w:val="0"/>
                      <w:szCs w:val="21"/>
                      <w:lang w:eastAsia="zh-CN"/>
                    </w:rPr>
                    <w:t>（</w:t>
                  </w:r>
                  <w:r>
                    <w:rPr>
                      <w:rFonts w:ascii="宋体" w:hAnsi="宋体" w:cs="宋体"/>
                      <w:color w:val="FF0000"/>
                      <w:kern w:val="0"/>
                      <w:szCs w:val="21"/>
                    </w:rPr>
                    <w:t>https://zjj.sz.gov.cn/ztfw/gcjs/zjxx/jgml/index.html</w:t>
                  </w:r>
                  <w:r>
                    <w:rPr>
                      <w:rFonts w:hint="eastAsia" w:ascii="宋体" w:hAnsi="宋体" w:cs="宋体"/>
                      <w:color w:val="FF0000"/>
                      <w:kern w:val="0"/>
                      <w:szCs w:val="21"/>
                      <w:lang w:eastAsia="zh-CN"/>
                    </w:rPr>
                    <w:t>）</w:t>
                  </w:r>
                  <w:r>
                    <w:rPr>
                      <w:rFonts w:hint="eastAsia" w:ascii="宋体" w:hAnsi="宋体" w:cs="宋体"/>
                      <w:color w:val="FF0000"/>
                      <w:kern w:val="0"/>
                      <w:szCs w:val="21"/>
                    </w:rPr>
                    <w:t>查询截图。</w:t>
                  </w:r>
                </w:p>
                <w:p>
                  <w:pPr>
                    <w:wordWrap w:val="0"/>
                    <w:ind w:firstLine="420" w:firstLineChars="200"/>
                    <w:rPr>
                      <w:rFonts w:ascii="宋体" w:hAnsi="宋体" w:cs="宋体"/>
                      <w:kern w:val="0"/>
                      <w:szCs w:val="21"/>
                    </w:rPr>
                  </w:pPr>
                </w:p>
                <w:p>
                  <w:pPr>
                    <w:wordWrap w:val="0"/>
                    <w:ind w:firstLine="420" w:firstLineChars="200"/>
                    <w:rPr>
                      <w:rFonts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pPr>
                    <w:spacing w:beforeAutospacing="1" w:afterAutospacing="1"/>
                    <w:ind w:firstLine="441" w:firstLineChars="200"/>
                    <w:rPr>
                      <w:rFonts w:ascii="宋体" w:hAnsi="宋体" w:cs="宋体"/>
                      <w:sz w:val="24"/>
                    </w:rPr>
                  </w:pPr>
                  <w:r>
                    <w:rPr>
                      <w:rFonts w:hint="eastAsia"/>
                      <w:b/>
                      <w:sz w:val="22"/>
                      <w:szCs w:val="18"/>
                    </w:rPr>
                    <w:t>完整公告内容详见：深圳公共资源交易网（</w:t>
                  </w:r>
                  <w:r>
                    <w:rPr>
                      <w:b/>
                      <w:sz w:val="22"/>
                      <w:szCs w:val="18"/>
                    </w:rPr>
                    <w:t>https://www.szggzy.com</w:t>
                  </w:r>
                  <w:r>
                    <w:rPr>
                      <w:rFonts w:hint="eastAsia"/>
                      <w:b/>
                      <w:sz w:val="22"/>
                      <w:szCs w:val="18"/>
                    </w:rPr>
                    <w:t>）</w:t>
                  </w:r>
                </w:p>
              </w:tc>
            </w:tr>
          </w:tbl>
          <w:p>
            <w:pPr>
              <w:rPr>
                <w:rFonts w:ascii="宋体" w:hAnsi="宋体" w:cs="宋体"/>
                <w:sz w:val="24"/>
              </w:rPr>
            </w:pPr>
          </w:p>
        </w:tc>
      </w:tr>
    </w:tbl>
    <w:p>
      <w:r>
        <w:rPr>
          <w:rFonts w:hint="eastAsia"/>
        </w:rPr>
        <w:br w:type="page"/>
      </w:r>
    </w:p>
    <w:p>
      <w:pPr>
        <w:pStyle w:val="6"/>
        <w:rPr>
          <w:sz w:val="28"/>
          <w:szCs w:val="28"/>
        </w:rPr>
      </w:pPr>
      <w:r>
        <w:rPr>
          <w:rFonts w:hint="eastAsia"/>
          <w:sz w:val="28"/>
          <w:szCs w:val="28"/>
        </w:rPr>
        <w:t>第二章 对通用条款的补充内容及其他关键信息</w:t>
      </w:r>
    </w:p>
    <w:p>
      <w:pPr>
        <w:pStyle w:val="6"/>
        <w:spacing w:before="120" w:beforeLines="50" w:after="120" w:afterLines="50"/>
        <w:rPr>
          <w:sz w:val="28"/>
          <w:szCs w:val="28"/>
        </w:rPr>
      </w:pPr>
      <w:bookmarkStart w:id="20" w:name="_Toc60631620"/>
      <w:bookmarkStart w:id="21" w:name="_Toc73521547"/>
      <w:bookmarkStart w:id="22" w:name="_Toc73517639"/>
      <w:bookmarkStart w:id="23" w:name="_Toc73521635"/>
      <w:bookmarkStart w:id="24" w:name="_Toc100052364"/>
      <w:bookmarkStart w:id="25" w:name="_Toc101074876"/>
      <w:bookmarkStart w:id="26" w:name="_Toc73518117"/>
      <w:bookmarkStart w:id="27" w:name="_Toc60560625"/>
      <w:r>
        <w:rPr>
          <w:rFonts w:hint="eastAsia"/>
          <w:szCs w:val="24"/>
        </w:rPr>
        <w:t>一、对通用条款的补充内容</w:t>
      </w:r>
    </w:p>
    <w:bookmarkEnd w:id="20"/>
    <w:bookmarkEnd w:id="21"/>
    <w:bookmarkEnd w:id="22"/>
    <w:bookmarkEnd w:id="23"/>
    <w:bookmarkEnd w:id="24"/>
    <w:bookmarkEnd w:id="25"/>
    <w:bookmarkEnd w:id="26"/>
    <w:bookmarkEnd w:id="27"/>
    <w:tbl>
      <w:tblPr>
        <w:tblStyle w:val="43"/>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8"/>
        <w:gridCol w:w="2409"/>
        <w:gridCol w:w="498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b/>
                <w:bCs/>
              </w:rPr>
            </w:pPr>
            <w:r>
              <w:rPr>
                <w:rFonts w:hint="eastAsia" w:ascii="宋体" w:hAnsi="宋体"/>
                <w:b/>
                <w:bCs/>
              </w:rPr>
              <w:t>通用条款序号</w:t>
            </w:r>
          </w:p>
        </w:tc>
        <w:tc>
          <w:tcPr>
            <w:tcW w:w="2409" w:type="dxa"/>
            <w:vAlign w:val="center"/>
          </w:tcPr>
          <w:p>
            <w:pPr>
              <w:jc w:val="center"/>
              <w:rPr>
                <w:rFonts w:ascii="宋体" w:hAnsi="宋体"/>
                <w:b/>
                <w:bCs/>
              </w:rPr>
            </w:pPr>
            <w:r>
              <w:rPr>
                <w:rFonts w:hint="eastAsia" w:ascii="宋体" w:hAnsi="宋体"/>
                <w:b/>
                <w:bCs/>
              </w:rPr>
              <w:t>涉及事项</w:t>
            </w:r>
          </w:p>
        </w:tc>
        <w:tc>
          <w:tcPr>
            <w:tcW w:w="4980" w:type="dxa"/>
            <w:vAlign w:val="center"/>
          </w:tcPr>
          <w:p>
            <w:pPr>
              <w:jc w:val="center"/>
              <w:rPr>
                <w:rFonts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.1</w:t>
            </w:r>
          </w:p>
        </w:tc>
        <w:tc>
          <w:tcPr>
            <w:tcW w:w="2409" w:type="dxa"/>
            <w:vAlign w:val="center"/>
          </w:tcPr>
          <w:p>
            <w:pPr>
              <w:jc w:val="center"/>
            </w:pPr>
            <w:r>
              <w:rPr>
                <w:rFonts w:hint="eastAsia"/>
              </w:rPr>
              <w:t>采购人</w:t>
            </w:r>
          </w:p>
        </w:tc>
        <w:tc>
          <w:tcPr>
            <w:tcW w:w="4980" w:type="dxa"/>
            <w:vAlign w:val="center"/>
          </w:tcPr>
          <w:p>
            <w:pPr>
              <w:jc w:val="center"/>
              <w:rPr>
                <w:rFonts w:ascii="宋体" w:hAnsi="宋体"/>
              </w:rPr>
            </w:pPr>
            <w:r>
              <w:rPr>
                <w:rFonts w:hint="eastAsia" w:ascii="宋体" w:hAnsi="宋体"/>
              </w:rPr>
              <w:t>****（采购人名称）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.2</w:t>
            </w:r>
          </w:p>
        </w:tc>
        <w:tc>
          <w:tcPr>
            <w:tcW w:w="2409" w:type="dxa"/>
            <w:vAlign w:val="center"/>
          </w:tcPr>
          <w:p>
            <w:pPr>
              <w:jc w:val="center"/>
              <w:rPr>
                <w:rFonts w:ascii="宋体" w:hAnsi="宋体"/>
              </w:rPr>
            </w:pPr>
            <w:r>
              <w:rPr>
                <w:rFonts w:hint="eastAsia" w:ascii="宋体" w:hAnsi="宋体"/>
              </w:rPr>
              <w:t>政府集中采购机构</w:t>
            </w:r>
          </w:p>
        </w:tc>
        <w:tc>
          <w:tcPr>
            <w:tcW w:w="4980" w:type="dxa"/>
            <w:vAlign w:val="center"/>
          </w:tcPr>
          <w:p>
            <w:pPr>
              <w:jc w:val="center"/>
              <w:rPr>
                <w:rFonts w:ascii="宋体" w:hAnsi="宋体"/>
              </w:rPr>
            </w:pPr>
            <w:r>
              <w:rPr>
                <w:rFonts w:hint="eastAsia" w:ascii="宋体" w:hAnsi="宋体"/>
              </w:rPr>
              <w:t>深圳公共资源交易中心（深圳交易集团有限公司</w:t>
            </w:r>
            <w:r>
              <w:rPr>
                <w:rFonts w:hint="eastAsia" w:ascii="宋体" w:hAnsi="宋体" w:cs="宋体"/>
                <w:kern w:val="0"/>
              </w:rPr>
              <w:t>龙岗</w:t>
            </w:r>
            <w:r>
              <w:rPr>
                <w:rFonts w:hint="eastAsia" w:ascii="宋体" w:hAnsi="宋体"/>
              </w:rPr>
              <w:t>分公司）</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9</w:t>
            </w:r>
          </w:p>
        </w:tc>
        <w:tc>
          <w:tcPr>
            <w:tcW w:w="2409" w:type="dxa"/>
            <w:vAlign w:val="center"/>
          </w:tcPr>
          <w:p>
            <w:pPr>
              <w:jc w:val="center"/>
              <w:rPr>
                <w:rFonts w:ascii="宋体" w:hAnsi="宋体"/>
              </w:rPr>
            </w:pPr>
            <w:r>
              <w:rPr>
                <w:rFonts w:hint="eastAsia" w:ascii="宋体" w:hAnsi="宋体"/>
              </w:rPr>
              <w:t>踏勘现场</w:t>
            </w:r>
          </w:p>
        </w:tc>
        <w:tc>
          <w:tcPr>
            <w:tcW w:w="4980"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0</w:t>
            </w:r>
          </w:p>
        </w:tc>
        <w:tc>
          <w:tcPr>
            <w:tcW w:w="2409" w:type="dxa"/>
            <w:vAlign w:val="center"/>
          </w:tcPr>
          <w:p>
            <w:pPr>
              <w:jc w:val="center"/>
              <w:rPr>
                <w:rFonts w:ascii="宋体" w:hAnsi="宋体"/>
              </w:rPr>
            </w:pPr>
            <w:r>
              <w:rPr>
                <w:rFonts w:hint="eastAsia" w:ascii="宋体" w:hAnsi="宋体"/>
              </w:rPr>
              <w:t>标前会议</w:t>
            </w:r>
          </w:p>
        </w:tc>
        <w:tc>
          <w:tcPr>
            <w:tcW w:w="4980" w:type="dxa"/>
            <w:vAlign w:val="center"/>
          </w:tcPr>
          <w:p>
            <w:pPr>
              <w:jc w:val="center"/>
              <w:rPr>
                <w:rFonts w:ascii="宋体" w:hAnsi="宋体"/>
              </w:rPr>
            </w:pPr>
            <w:r>
              <w:rPr>
                <w:rFonts w:hint="eastAsia" w:ascii="宋体" w:hAnsi="宋体"/>
              </w:rPr>
              <w:t>不组织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409" w:type="dxa"/>
            <w:vAlign w:val="center"/>
          </w:tcPr>
          <w:p>
            <w:pPr>
              <w:jc w:val="center"/>
              <w:rPr>
                <w:rFonts w:ascii="宋体" w:hAnsi="宋体"/>
              </w:rPr>
            </w:pPr>
            <w:r>
              <w:rPr>
                <w:rFonts w:hint="eastAsia" w:ascii="宋体" w:hAnsi="宋体"/>
              </w:rPr>
              <w:t>招标文件的澄清和修改</w:t>
            </w:r>
          </w:p>
        </w:tc>
        <w:tc>
          <w:tcPr>
            <w:tcW w:w="4980" w:type="dxa"/>
            <w:vAlign w:val="center"/>
          </w:tcPr>
          <w:p>
            <w:pPr>
              <w:jc w:val="center"/>
              <w:rPr>
                <w:rFonts w:ascii="宋体" w:hAnsi="宋体"/>
              </w:rPr>
            </w:pPr>
            <w:r>
              <w:rPr>
                <w:rFonts w:hint="eastAsia" w:ascii="宋体" w:hAnsi="宋体"/>
              </w:rPr>
              <w:t>不晚于投标截止日三日前，投标人有义务在招标期间在政府集中采购机构网站浏览与本项目有关的澄清和修改信息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0</w:t>
            </w:r>
          </w:p>
        </w:tc>
        <w:tc>
          <w:tcPr>
            <w:tcW w:w="2409" w:type="dxa"/>
            <w:vAlign w:val="center"/>
          </w:tcPr>
          <w:p>
            <w:pPr>
              <w:jc w:val="center"/>
              <w:rPr>
                <w:rFonts w:ascii="宋体" w:hAnsi="宋体"/>
              </w:rPr>
            </w:pPr>
            <w:r>
              <w:rPr>
                <w:rFonts w:hint="eastAsia" w:ascii="宋体" w:hAnsi="宋体"/>
              </w:rPr>
              <w:t>投标有效期</w:t>
            </w:r>
          </w:p>
        </w:tc>
        <w:tc>
          <w:tcPr>
            <w:tcW w:w="4980" w:type="dxa"/>
            <w:vAlign w:val="center"/>
          </w:tcPr>
          <w:p>
            <w:pPr>
              <w:jc w:val="center"/>
              <w:rPr>
                <w:rFonts w:ascii="宋体" w:hAnsi="宋体"/>
              </w:rPr>
            </w:pPr>
            <w:r>
              <w:rPr>
                <w:rFonts w:ascii="宋体" w:hAnsi="宋体"/>
              </w:rPr>
              <w:t>120个日历日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2</w:t>
            </w:r>
          </w:p>
        </w:tc>
        <w:tc>
          <w:tcPr>
            <w:tcW w:w="2409" w:type="dxa"/>
            <w:vAlign w:val="center"/>
          </w:tcPr>
          <w:p>
            <w:pPr>
              <w:jc w:val="center"/>
              <w:rPr>
                <w:rFonts w:ascii="宋体" w:hAnsi="宋体"/>
              </w:rPr>
            </w:pPr>
            <w:r>
              <w:rPr>
                <w:rFonts w:hint="eastAsia" w:ascii="宋体" w:hAnsi="宋体"/>
              </w:rPr>
              <w:t>投标人的替代方案</w:t>
            </w:r>
          </w:p>
        </w:tc>
        <w:tc>
          <w:tcPr>
            <w:tcW w:w="4980" w:type="dxa"/>
            <w:vAlign w:val="center"/>
          </w:tcPr>
          <w:p>
            <w:pPr>
              <w:jc w:val="center"/>
              <w:rPr>
                <w:rFonts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5</w:t>
            </w:r>
          </w:p>
        </w:tc>
        <w:tc>
          <w:tcPr>
            <w:tcW w:w="2409" w:type="dxa"/>
            <w:vAlign w:val="center"/>
          </w:tcPr>
          <w:p>
            <w:pPr>
              <w:jc w:val="center"/>
              <w:rPr>
                <w:rFonts w:ascii="宋体" w:hAnsi="宋体"/>
              </w:rPr>
            </w:pPr>
            <w:r>
              <w:rPr>
                <w:rFonts w:hint="eastAsia" w:ascii="宋体" w:hAnsi="宋体"/>
              </w:rPr>
              <w:t>投标文件的大小</w:t>
            </w:r>
          </w:p>
        </w:tc>
        <w:tc>
          <w:tcPr>
            <w:tcW w:w="4980" w:type="dxa"/>
            <w:vAlign w:val="center"/>
          </w:tcPr>
          <w:p>
            <w:pPr>
              <w:jc w:val="center"/>
              <w:rPr>
                <w:rFonts w:ascii="宋体" w:hAnsi="宋体"/>
              </w:rPr>
            </w:pPr>
            <w:r>
              <w:rPr>
                <w:rFonts w:hint="eastAsia" w:ascii="宋体" w:hAnsi="宋体"/>
              </w:rPr>
              <w:t>投标文件大小不得超过100MB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2</w:t>
            </w:r>
            <w:r>
              <w:rPr>
                <w:rFonts w:ascii="宋体" w:hAnsi="宋体"/>
              </w:rPr>
              <w:t>6</w:t>
            </w:r>
          </w:p>
        </w:tc>
        <w:tc>
          <w:tcPr>
            <w:tcW w:w="2409" w:type="dxa"/>
            <w:vAlign w:val="center"/>
          </w:tcPr>
          <w:p>
            <w:pPr>
              <w:jc w:val="center"/>
              <w:rPr>
                <w:rFonts w:ascii="宋体" w:hAnsi="宋体"/>
              </w:rPr>
            </w:pPr>
            <w:bookmarkStart w:id="28" w:name="_Hlk71664860"/>
            <w:r>
              <w:rPr>
                <w:rFonts w:hint="eastAsia" w:ascii="宋体" w:hAnsi="宋体"/>
              </w:rPr>
              <w:t>样品、现场演示、方案讲解</w:t>
            </w:r>
            <w:bookmarkEnd w:id="28"/>
          </w:p>
        </w:tc>
        <w:tc>
          <w:tcPr>
            <w:tcW w:w="4980" w:type="dxa"/>
            <w:vAlign w:val="center"/>
          </w:tcPr>
          <w:p>
            <w:pPr>
              <w:jc w:val="center"/>
              <w:rPr>
                <w:rFonts w:ascii="宋体" w:hAnsi="宋体"/>
              </w:rPr>
            </w:pPr>
            <w:r>
              <w:rPr>
                <w:rFonts w:hint="eastAsia" w:ascii="宋体" w:hAnsi="宋体"/>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7</w:t>
            </w:r>
          </w:p>
        </w:tc>
        <w:tc>
          <w:tcPr>
            <w:tcW w:w="2409" w:type="dxa"/>
            <w:vAlign w:val="center"/>
          </w:tcPr>
          <w:p>
            <w:pPr>
              <w:jc w:val="center"/>
              <w:rPr>
                <w:rFonts w:ascii="宋体" w:hAnsi="宋体"/>
              </w:rPr>
            </w:pPr>
            <w:r>
              <w:rPr>
                <w:rFonts w:hint="eastAsia" w:ascii="宋体" w:hAnsi="宋体"/>
              </w:rPr>
              <w:t>评审方法</w:t>
            </w:r>
          </w:p>
        </w:tc>
        <w:tc>
          <w:tcPr>
            <w:tcW w:w="4980" w:type="dxa"/>
            <w:vAlign w:val="center"/>
          </w:tcPr>
          <w:p>
            <w:pPr>
              <w:jc w:val="center"/>
              <w:rPr>
                <w:rFonts w:ascii="宋体" w:hAnsi="宋体"/>
              </w:rPr>
            </w:pPr>
            <w:r>
              <w:rPr>
                <w:rFonts w:hint="eastAsia" w:ascii="宋体" w:hAnsi="宋体"/>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3</w:t>
            </w:r>
            <w:r>
              <w:rPr>
                <w:rFonts w:ascii="宋体" w:hAnsi="宋体"/>
              </w:rPr>
              <w:t>8</w:t>
            </w:r>
          </w:p>
        </w:tc>
        <w:tc>
          <w:tcPr>
            <w:tcW w:w="2409" w:type="dxa"/>
            <w:vAlign w:val="center"/>
          </w:tcPr>
          <w:p>
            <w:pPr>
              <w:jc w:val="center"/>
              <w:rPr>
                <w:rFonts w:ascii="宋体" w:hAnsi="宋体"/>
              </w:rPr>
            </w:pPr>
            <w:r>
              <w:rPr>
                <w:rFonts w:hint="eastAsia" w:ascii="宋体" w:hAnsi="宋体"/>
              </w:rPr>
              <w:t>定标方法</w:t>
            </w:r>
          </w:p>
        </w:tc>
        <w:tc>
          <w:tcPr>
            <w:tcW w:w="4980" w:type="dxa"/>
            <w:vAlign w:val="center"/>
          </w:tcPr>
          <w:p>
            <w:pPr>
              <w:jc w:val="center"/>
              <w:rPr>
                <w:rFonts w:ascii="宋体" w:hAnsi="宋体"/>
              </w:rPr>
            </w:pPr>
            <w:r>
              <w:rPr>
                <w:rFonts w:hint="eastAsia" w:ascii="宋体" w:hAnsi="宋体"/>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ascii="宋体" w:hAnsi="宋体"/>
              </w:rPr>
            </w:pPr>
            <w:r>
              <w:rPr>
                <w:rFonts w:hint="eastAsia" w:ascii="宋体" w:hAnsi="宋体"/>
              </w:rPr>
              <w:t>4</w:t>
            </w:r>
            <w:r>
              <w:rPr>
                <w:rFonts w:ascii="宋体" w:hAnsi="宋体"/>
              </w:rPr>
              <w:t>6</w:t>
            </w:r>
          </w:p>
        </w:tc>
        <w:tc>
          <w:tcPr>
            <w:tcW w:w="2409" w:type="dxa"/>
            <w:vAlign w:val="center"/>
          </w:tcPr>
          <w:p>
            <w:pPr>
              <w:jc w:val="center"/>
              <w:rPr>
                <w:rFonts w:ascii="宋体" w:hAnsi="宋体"/>
              </w:rPr>
            </w:pPr>
            <w:r>
              <w:rPr>
                <w:rFonts w:hint="eastAsia" w:ascii="宋体" w:hAnsi="宋体"/>
              </w:rPr>
              <w:t>履约担保</w:t>
            </w:r>
          </w:p>
        </w:tc>
        <w:tc>
          <w:tcPr>
            <w:tcW w:w="4980" w:type="dxa"/>
            <w:vAlign w:val="center"/>
          </w:tcPr>
          <w:p>
            <w:pPr>
              <w:jc w:val="center"/>
              <w:rPr>
                <w:rFonts w:ascii="宋体" w:hAnsi="宋体"/>
              </w:rPr>
            </w:pPr>
            <w:r>
              <w:rPr>
                <w:rFonts w:hint="eastAsia" w:ascii="宋体" w:hAnsi="宋体"/>
              </w:rPr>
              <w:t>不需要</w:t>
            </w:r>
          </w:p>
        </w:tc>
      </w:tr>
    </w:tbl>
    <w:p>
      <w:pPr>
        <w:rPr>
          <w:b/>
        </w:rPr>
      </w:pPr>
      <w:r>
        <w:rPr>
          <w:rFonts w:hint="eastAsia"/>
          <w:szCs w:val="21"/>
        </w:rPr>
        <w:t>备注：本表是通用条款相关条款的补充和明确，如与通用条款内容相冲突的，以本表为准。</w:t>
      </w:r>
    </w:p>
    <w:p>
      <w:pPr>
        <w:rPr>
          <w:b/>
        </w:rPr>
      </w:pPr>
    </w:p>
    <w:p>
      <w:pPr>
        <w:pStyle w:val="6"/>
        <w:spacing w:before="120" w:beforeLines="50" w:after="120" w:afterLines="50"/>
        <w:rPr>
          <w:szCs w:val="24"/>
        </w:rPr>
      </w:pPr>
      <w:r>
        <w:rPr>
          <w:rFonts w:hint="eastAsia"/>
          <w:szCs w:val="24"/>
        </w:rPr>
        <w:t>二、其他关键信息</w:t>
      </w:r>
    </w:p>
    <w:p>
      <w:pPr>
        <w:ind w:firstLine="421" w:firstLineChars="200"/>
        <w:rPr>
          <w:b/>
          <w:bCs/>
        </w:rPr>
      </w:pPr>
      <w:r>
        <w:rPr>
          <w:rFonts w:hint="eastAsia"/>
          <w:b/>
          <w:bCs/>
        </w:rPr>
        <w:t>（一）与“对通用条款的补充内容”章节相关的事项</w:t>
      </w:r>
    </w:p>
    <w:p>
      <w:pPr>
        <w:spacing w:line="276" w:lineRule="auto"/>
        <w:ind w:firstLine="421" w:firstLineChars="200"/>
        <w:jc w:val="left"/>
        <w:rPr>
          <w:rFonts w:asciiTheme="minorEastAsia" w:hAnsiTheme="minorEastAsia" w:eastAsiaTheme="minorEastAsia"/>
          <w:b/>
          <w:kern w:val="0"/>
          <w:szCs w:val="20"/>
        </w:rPr>
      </w:pPr>
      <w:bookmarkStart w:id="29" w:name="_Hlk72579465"/>
      <w:r>
        <w:rPr>
          <w:rFonts w:hint="eastAsia" w:asciiTheme="minorEastAsia" w:hAnsiTheme="minorEastAsia" w:eastAsiaTheme="minorEastAsia"/>
          <w:b/>
          <w:kern w:val="0"/>
          <w:szCs w:val="20"/>
        </w:rPr>
        <w:t>1、评标定标信息</w:t>
      </w:r>
    </w:p>
    <w:p>
      <w:pPr>
        <w:jc w:val="center"/>
      </w:pPr>
      <w:r>
        <w:rPr>
          <w:rFonts w:hint="eastAsia"/>
          <w:b/>
        </w:rPr>
        <w:t>非评定分离项目</w:t>
      </w:r>
    </w:p>
    <w:tbl>
      <w:tblPr>
        <w:tblStyle w:val="4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90"/>
        <w:gridCol w:w="4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pPr>
              <w:jc w:val="center"/>
            </w:pPr>
            <w:r>
              <w:rPr>
                <w:rFonts w:hint="eastAsia"/>
              </w:rPr>
              <w:t>评标方法</w:t>
            </w:r>
          </w:p>
        </w:tc>
        <w:tc>
          <w:tcPr>
            <w:tcW w:w="2660" w:type="pct"/>
          </w:tcPr>
          <w:p>
            <w:pPr>
              <w:jc w:val="center"/>
            </w:pPr>
            <w:r>
              <w:rPr>
                <w:rFonts w:hint="eastAsia"/>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pPr>
              <w:jc w:val="center"/>
            </w:pPr>
            <w:r>
              <w:rPr>
                <w:rFonts w:hint="eastAsia"/>
              </w:rPr>
              <w:t>候选中标供应商家数</w:t>
            </w:r>
          </w:p>
        </w:tc>
        <w:tc>
          <w:tcPr>
            <w:tcW w:w="2660" w:type="pct"/>
          </w:tcPr>
          <w:p>
            <w:pPr>
              <w:jc w:val="center"/>
            </w:pPr>
            <w: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9" w:type="pct"/>
          </w:tcPr>
          <w:p>
            <w:pPr>
              <w:jc w:val="center"/>
            </w:pPr>
            <w:r>
              <w:rPr>
                <w:rFonts w:hint="eastAsia"/>
              </w:rPr>
              <w:t>中标供应商家数</w:t>
            </w:r>
          </w:p>
        </w:tc>
        <w:tc>
          <w:tcPr>
            <w:tcW w:w="2660" w:type="pct"/>
          </w:tcPr>
          <w:p>
            <w:pPr>
              <w:jc w:val="center"/>
            </w:pPr>
            <w:r>
              <w:rPr>
                <w:rFonts w:hint="eastAsia"/>
              </w:rPr>
              <w:t>1</w:t>
            </w:r>
          </w:p>
        </w:tc>
      </w:tr>
    </w:tbl>
    <w:p>
      <w:pPr>
        <w:pStyle w:val="36"/>
      </w:pPr>
    </w:p>
    <w:bookmarkEnd w:id="29"/>
    <w:p>
      <w:pPr>
        <w:ind w:firstLine="421" w:firstLineChars="200"/>
        <w:rPr>
          <w:b/>
        </w:rPr>
      </w:pPr>
    </w:p>
    <w:p>
      <w:pPr>
        <w:ind w:firstLine="421" w:firstLineChars="200"/>
        <w:rPr>
          <w:b/>
        </w:rPr>
      </w:pPr>
      <w:r>
        <w:rPr>
          <w:rFonts w:hint="eastAsia"/>
          <w:b/>
        </w:rPr>
        <w:t>（二）其他事项</w:t>
      </w:r>
    </w:p>
    <w:p>
      <w:pPr>
        <w:ind w:firstLine="421" w:firstLineChars="200"/>
      </w:pPr>
      <w:r>
        <w:rPr>
          <w:b/>
          <w:bCs/>
        </w:rPr>
        <w:t>1</w:t>
      </w:r>
      <w:r>
        <w:rPr>
          <w:rFonts w:hint="eastAsia"/>
          <w:b/>
          <w:bCs/>
        </w:rPr>
        <w:t>、关于享受优惠政策的主体及价格扣除比例</w:t>
      </w:r>
    </w:p>
    <w:p>
      <w:pPr>
        <w:ind w:firstLine="420" w:firstLineChars="200"/>
      </w:pPr>
      <w:r>
        <w:rPr>
          <w:rFonts w:hint="eastAsia"/>
        </w:rPr>
        <w:t>（2）非专门面向中小企业采购的项目，应执行价格扣除比例：供应商提供的服务全部由优惠主体承接，则对其投标总价给予</w:t>
      </w:r>
      <w:r>
        <w:rPr>
          <w:color w:val="FF0000"/>
          <w:u w:val="single"/>
        </w:rPr>
        <w:t xml:space="preserve">   </w:t>
      </w:r>
      <w:r>
        <w:rPr>
          <w:rFonts w:hint="eastAsia"/>
          <w:color w:val="FF0000"/>
          <w:u w:val="single"/>
        </w:rPr>
        <w:t>10</w:t>
      </w:r>
      <w:r>
        <w:rPr>
          <w:color w:val="FF0000"/>
          <w:u w:val="single"/>
        </w:rPr>
        <w:t xml:space="preserve"> %</w:t>
      </w:r>
      <w:r>
        <w:rPr>
          <w:rFonts w:hint="eastAsia"/>
        </w:rPr>
        <w:t>的扣除，用扣除后的价格参与评审。满足多项优惠政策的企业，不重复享受多项价格扣除政策。</w:t>
      </w:r>
    </w:p>
    <w:p>
      <w:pPr>
        <w:ind w:firstLine="420" w:firstLineChars="200"/>
      </w:pPr>
      <w:r>
        <w:rPr>
          <w:rFonts w:hint="eastAsia"/>
        </w:rPr>
        <w:t>备注：（a）享受价格扣除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优惠主体承接是指提供服务的人员为中小企业依照《中华人民共和国劳动合同法》订立劳动合同的从业人员。</w:t>
      </w:r>
    </w:p>
    <w:p>
      <w:pPr>
        <w:numPr>
          <w:ilvl w:val="0"/>
          <w:numId w:val="10"/>
        </w:numPr>
        <w:ind w:firstLine="420" w:firstLineChars="200"/>
      </w:pPr>
      <w:r>
        <w:rPr>
          <w:rFonts w:ascii="宋体" w:hAnsi="宋体" w:cs="宋体"/>
          <w:szCs w:val="21"/>
        </w:rPr>
        <w:t>中小企业参加政府采购活动，应当按照国务院批准的《中小企业划型标准规定》（工信部联企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w:t>
      </w:r>
      <w:r>
        <w:rPr>
          <w:rFonts w:hint="eastAsia" w:ascii="宋体" w:hAnsi="宋体" w:cs="宋体"/>
          <w:b/>
          <w:bCs/>
          <w:color w:val="FF0000"/>
          <w:szCs w:val="21"/>
        </w:rPr>
        <w:t>（服务承接商）</w:t>
      </w:r>
      <w:r>
        <w:rPr>
          <w:rFonts w:ascii="宋体" w:hAnsi="宋体" w:cs="宋体"/>
          <w:b/>
          <w:bCs/>
          <w:color w:val="FF0000"/>
          <w:szCs w:val="21"/>
        </w:rPr>
        <w:t>所属行业应当与采购标的所属行业相一致</w:t>
      </w:r>
      <w:r>
        <w:rPr>
          <w:rFonts w:hint="eastAsia"/>
          <w:b/>
          <w:bCs/>
          <w:color w:val="FF0000"/>
        </w:rPr>
        <w:t>，标的所属行业以招标文件第一册第三章用户需求书“服务需求明细”的“标的所属行业”一栏为准</w:t>
      </w:r>
      <w:r>
        <w:rPr>
          <w:rFonts w:ascii="宋体" w:hAnsi="宋体" w:cs="宋体"/>
          <w:b/>
          <w:bCs/>
          <w:color w:val="FF0000"/>
          <w:szCs w:val="21"/>
        </w:rPr>
        <w:t>。</w:t>
      </w: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介绍”章节提供的格式）。</w:t>
      </w:r>
    </w:p>
    <w:p>
      <w:pPr>
        <w:numPr>
          <w:ilvl w:val="0"/>
          <w:numId w:val="10"/>
        </w:numPr>
        <w:ind w:firstLine="420" w:firstLineChars="200"/>
      </w:pPr>
      <w:r>
        <w:rPr>
          <w:rFonts w:hint="eastAsia"/>
        </w:rPr>
        <w:t>享受价格扣除获得政府采购合同的，小微企业不得将合同分包给大中型企业。</w:t>
      </w:r>
    </w:p>
    <w:p>
      <w:pPr>
        <w:ind w:firstLine="420" w:firstLineChars="200"/>
      </w:pPr>
      <w:r>
        <w:rPr>
          <w:rFonts w:hint="eastAsia"/>
          <w:highlight w:val="yellow"/>
        </w:rPr>
        <w:t>（5）联合体投标的情况下：1、联合体各方均为优惠主体的，该联合体视同为优惠主体享受同比例价格扣除；2、联合体共同投标协议中明确注明约定优惠主体的协议合同金额占到联合体协议总金额30%以上的，对该联合体的投标总价给予4%的扣除，用扣除后的价格参与评审。</w:t>
      </w:r>
    </w:p>
    <w:p>
      <w:pPr>
        <w:ind w:firstLine="421" w:firstLineChars="200"/>
        <w:rPr>
          <w:b/>
          <w:bCs/>
        </w:rPr>
      </w:pPr>
      <w:r>
        <w:rPr>
          <w:rFonts w:hint="eastAsia"/>
          <w:b/>
          <w:bCs/>
        </w:rPr>
        <w:t>2、本项目为代理服务项目，将向中标（成交）供应商收取代理服务费。</w:t>
      </w:r>
    </w:p>
    <w:p>
      <w:pPr>
        <w:ind w:firstLine="420" w:firstLineChars="200"/>
      </w:pPr>
      <w:r>
        <w:rPr>
          <w:rFonts w:hint="eastAsia"/>
        </w:rPr>
        <w:t>中标（成交）供应商在领取《中标（成交）通知书》之前须向深圳公共资源交易中心（深圳交易集团有限公司**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pPr>
        <w:ind w:firstLine="420" w:firstLineChars="200"/>
      </w:pPr>
      <w:r>
        <w:rPr>
          <w:rFonts w:hint="eastAsia"/>
        </w:rPr>
        <w:t>（1）代理服务费以《中标（成交）通知书》确定的中标（成交）金额作为计算基数，按差额定率累进法计算。</w:t>
      </w:r>
    </w:p>
    <w:p>
      <w:pPr>
        <w:ind w:firstLine="420" w:firstLineChars="200"/>
      </w:pPr>
      <w:r>
        <w:rPr>
          <w:rFonts w:hint="eastAsia"/>
        </w:rPr>
        <w:t>（2）中标（成交）金额的各部分费率如下表：</w:t>
      </w:r>
    </w:p>
    <w:tbl>
      <w:tblPr>
        <w:tblStyle w:val="4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spacing w:line="360" w:lineRule="auto"/>
              <w:jc w:val="center"/>
            </w:pPr>
            <w:r>
              <w:rPr>
                <w:rFonts w:hint="eastAsia"/>
              </w:rPr>
              <w:t>中标（成交）金额</w:t>
            </w:r>
          </w:p>
        </w:tc>
        <w:tc>
          <w:tcPr>
            <w:tcW w:w="1799" w:type="dxa"/>
            <w:vAlign w:val="center"/>
          </w:tcPr>
          <w:p>
            <w:pPr>
              <w:widowControl/>
              <w:spacing w:line="360" w:lineRule="auto"/>
              <w:jc w:val="center"/>
            </w:pPr>
            <w:r>
              <w:rPr>
                <w:rFonts w:hint="eastAsia"/>
              </w:rPr>
              <w:t>货物采购</w:t>
            </w:r>
          </w:p>
        </w:tc>
        <w:tc>
          <w:tcPr>
            <w:tcW w:w="1799" w:type="dxa"/>
            <w:vAlign w:val="center"/>
          </w:tcPr>
          <w:p>
            <w:pPr>
              <w:widowControl/>
              <w:spacing w:line="360" w:lineRule="auto"/>
              <w:jc w:val="center"/>
            </w:pPr>
            <w:r>
              <w:rPr>
                <w:rFonts w:hint="eastAsia"/>
              </w:rPr>
              <w:t>服务采购</w:t>
            </w:r>
          </w:p>
        </w:tc>
        <w:tc>
          <w:tcPr>
            <w:tcW w:w="1799" w:type="dxa"/>
            <w:vAlign w:val="center"/>
          </w:tcPr>
          <w:p>
            <w:pPr>
              <w:widowControl/>
              <w:spacing w:line="360" w:lineRule="auto"/>
              <w:jc w:val="center"/>
            </w:pPr>
            <w:r>
              <w:rPr>
                <w:rFonts w:hint="eastAsi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100万元以下</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1.5%</w:t>
            </w:r>
          </w:p>
        </w:tc>
        <w:tc>
          <w:tcPr>
            <w:tcW w:w="1799" w:type="dxa"/>
            <w:vAlign w:val="center"/>
          </w:tcPr>
          <w:p>
            <w:pPr>
              <w:widowControl/>
              <w:spacing w:line="360" w:lineRule="auto"/>
              <w:jc w:val="center"/>
            </w:pPr>
            <w:r>
              <w:rPr>
                <w:rFonts w:hint="eastAsi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100万元（含）-500万元</w:t>
            </w:r>
          </w:p>
        </w:tc>
        <w:tc>
          <w:tcPr>
            <w:tcW w:w="1799" w:type="dxa"/>
            <w:vAlign w:val="center"/>
          </w:tcPr>
          <w:p>
            <w:pPr>
              <w:widowControl/>
              <w:spacing w:line="360" w:lineRule="auto"/>
              <w:jc w:val="center"/>
            </w:pPr>
            <w:r>
              <w:rPr>
                <w:rFonts w:hint="eastAsia"/>
              </w:rPr>
              <w:t>1.1%</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500万元（含）-1000万元</w:t>
            </w:r>
          </w:p>
        </w:tc>
        <w:tc>
          <w:tcPr>
            <w:tcW w:w="1799" w:type="dxa"/>
            <w:vAlign w:val="center"/>
          </w:tcPr>
          <w:p>
            <w:pPr>
              <w:widowControl/>
              <w:spacing w:line="360" w:lineRule="auto"/>
              <w:jc w:val="center"/>
            </w:pPr>
            <w:r>
              <w:rPr>
                <w:rFonts w:hint="eastAsia"/>
              </w:rPr>
              <w:t>0.8%</w:t>
            </w:r>
          </w:p>
        </w:tc>
        <w:tc>
          <w:tcPr>
            <w:tcW w:w="1799" w:type="dxa"/>
            <w:vAlign w:val="center"/>
          </w:tcPr>
          <w:p>
            <w:pPr>
              <w:widowControl/>
              <w:spacing w:line="360" w:lineRule="auto"/>
              <w:jc w:val="center"/>
            </w:pPr>
            <w:r>
              <w:rPr>
                <w:rFonts w:hint="eastAsia"/>
              </w:rPr>
              <w:t>0.45%</w:t>
            </w:r>
          </w:p>
        </w:tc>
        <w:tc>
          <w:tcPr>
            <w:tcW w:w="1799" w:type="dxa"/>
            <w:vAlign w:val="center"/>
          </w:tcPr>
          <w:p>
            <w:pPr>
              <w:widowControl/>
              <w:spacing w:line="360" w:lineRule="auto"/>
              <w:jc w:val="center"/>
            </w:pPr>
            <w:r>
              <w:rPr>
                <w:rFonts w:hint="eastAsi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1000万元（含）-5000万元</w:t>
            </w:r>
          </w:p>
        </w:tc>
        <w:tc>
          <w:tcPr>
            <w:tcW w:w="1799" w:type="dxa"/>
            <w:vAlign w:val="center"/>
          </w:tcPr>
          <w:p>
            <w:pPr>
              <w:widowControl/>
              <w:spacing w:line="360" w:lineRule="auto"/>
              <w:jc w:val="center"/>
            </w:pPr>
            <w:r>
              <w:rPr>
                <w:rFonts w:hint="eastAsia"/>
              </w:rPr>
              <w:t>0.5%</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5000万元（含）-1亿元</w:t>
            </w:r>
          </w:p>
        </w:tc>
        <w:tc>
          <w:tcPr>
            <w:tcW w:w="1799" w:type="dxa"/>
            <w:vAlign w:val="center"/>
          </w:tcPr>
          <w:p>
            <w:pPr>
              <w:widowControl/>
              <w:spacing w:line="360" w:lineRule="auto"/>
              <w:jc w:val="center"/>
            </w:pPr>
            <w:r>
              <w:rPr>
                <w:rFonts w:hint="eastAsia"/>
              </w:rPr>
              <w:t>0.25%</w:t>
            </w:r>
          </w:p>
        </w:tc>
        <w:tc>
          <w:tcPr>
            <w:tcW w:w="1799" w:type="dxa"/>
            <w:vAlign w:val="center"/>
          </w:tcPr>
          <w:p>
            <w:pPr>
              <w:widowControl/>
              <w:spacing w:line="360" w:lineRule="auto"/>
              <w:jc w:val="center"/>
            </w:pPr>
            <w:r>
              <w:rPr>
                <w:rFonts w:hint="eastAsia"/>
              </w:rPr>
              <w:t>0.1%</w:t>
            </w:r>
          </w:p>
        </w:tc>
        <w:tc>
          <w:tcPr>
            <w:tcW w:w="1799" w:type="dxa"/>
            <w:vAlign w:val="center"/>
          </w:tcPr>
          <w:p>
            <w:pPr>
              <w:widowControl/>
              <w:spacing w:line="360" w:lineRule="auto"/>
              <w:jc w:val="center"/>
            </w:pPr>
            <w:r>
              <w:rPr>
                <w:rFonts w:hint="eastAsi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1亿元（含）-5亿元</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c>
          <w:tcPr>
            <w:tcW w:w="1799" w:type="dxa"/>
            <w:vAlign w:val="center"/>
          </w:tcPr>
          <w:p>
            <w:pPr>
              <w:widowControl/>
              <w:spacing w:line="360" w:lineRule="auto"/>
              <w:jc w:val="center"/>
            </w:pPr>
            <w:r>
              <w:rPr>
                <w:rFonts w:hint="eastAsi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5亿元（含）-10亿元</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c>
          <w:tcPr>
            <w:tcW w:w="1799" w:type="dxa"/>
            <w:vAlign w:val="center"/>
          </w:tcPr>
          <w:p>
            <w:pPr>
              <w:widowControl/>
              <w:spacing w:line="360" w:lineRule="auto"/>
              <w:jc w:val="center"/>
            </w:pPr>
            <w:r>
              <w:rPr>
                <w:rFonts w:hint="eastAsia"/>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pPr>
              <w:widowControl/>
              <w:spacing w:line="360" w:lineRule="auto"/>
              <w:jc w:val="center"/>
            </w:pPr>
            <w:r>
              <w:rPr>
                <w:rFonts w:hint="eastAsia"/>
              </w:rPr>
              <w:t>10亿元（含）-50亿元</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c>
          <w:tcPr>
            <w:tcW w:w="1799" w:type="dxa"/>
            <w:vAlign w:val="center"/>
          </w:tcPr>
          <w:p>
            <w:pPr>
              <w:widowControl/>
              <w:spacing w:line="360" w:lineRule="auto"/>
              <w:jc w:val="center"/>
            </w:pPr>
            <w:r>
              <w:rPr>
                <w:rFonts w:hint="eastAsia"/>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50亿元（含）-100亿元</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c>
          <w:tcPr>
            <w:tcW w:w="1799" w:type="dxa"/>
            <w:vAlign w:val="center"/>
          </w:tcPr>
          <w:p>
            <w:pPr>
              <w:widowControl/>
              <w:spacing w:line="360" w:lineRule="auto"/>
              <w:jc w:val="center"/>
            </w:pPr>
            <w:r>
              <w:rPr>
                <w:rFonts w:hint="eastAsia"/>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spacing w:line="360" w:lineRule="auto"/>
              <w:jc w:val="center"/>
            </w:pPr>
            <w:r>
              <w:rPr>
                <w:rFonts w:hint="eastAsia"/>
              </w:rPr>
              <w:t>100亿元（含）以上</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c>
          <w:tcPr>
            <w:tcW w:w="1799" w:type="dxa"/>
            <w:vAlign w:val="center"/>
          </w:tcPr>
          <w:p>
            <w:pPr>
              <w:widowControl/>
              <w:spacing w:line="360" w:lineRule="auto"/>
              <w:jc w:val="center"/>
            </w:pPr>
            <w:r>
              <w:rPr>
                <w:rFonts w:hint="eastAsia"/>
              </w:rPr>
              <w:t>0.004%</w:t>
            </w:r>
          </w:p>
        </w:tc>
      </w:tr>
    </w:tbl>
    <w:p>
      <w:pPr>
        <w:ind w:firstLine="420" w:firstLineChars="200"/>
      </w:pPr>
      <w:r>
        <w:rPr>
          <w:rFonts w:hint="eastAsia"/>
        </w:rPr>
        <w:t>备注：1.每宗交易代理服务费不低于 5000 元；</w:t>
      </w:r>
    </w:p>
    <w:p>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pPr>
        <w:ind w:firstLine="420" w:firstLineChars="200"/>
      </w:pPr>
      <w:r>
        <w:rPr>
          <w:rFonts w:hint="eastAsia"/>
        </w:rPr>
        <w:t>如某服务采购项目，中标（成交）金额为600万元，总共交纳的代理服务费的具体计算过程如下：</w:t>
      </w:r>
    </w:p>
    <w:p>
      <w:pPr>
        <w:ind w:firstLine="420" w:firstLineChars="200"/>
      </w:pPr>
      <w:r>
        <w:rPr>
          <w:rFonts w:hint="eastAsia"/>
        </w:rPr>
        <w:t>标准代理服务费＝（100万以下部分的代理服务费）+（100万～500万部分的代理服务费）+（500万～600万部分的代理服务费）＝100万元×1.5%+（500-100）万元×0.8%+（600-500）万元×0.45%=1.5万元+3.2万元+0.45万元＝5.15万元</w:t>
      </w:r>
    </w:p>
    <w:p>
      <w:pPr>
        <w:ind w:firstLine="420" w:firstLineChars="200"/>
      </w:pPr>
      <w:r>
        <w:rPr>
          <w:rFonts w:hint="eastAsia"/>
        </w:rPr>
        <w:t>（3）中标（成交）供应商中标（成交）后，必须按规定采用银行对公转账方式向深圳交易集团有限公司直接交纳代理服务费，交纳信息及要求按照缴款（付款）通知书执行。</w:t>
      </w:r>
    </w:p>
    <w:p>
      <w:pPr>
        <w:pStyle w:val="36"/>
      </w:pPr>
    </w:p>
    <w:p>
      <w:pPr>
        <w:pStyle w:val="36"/>
        <w:sectPr>
          <w:pgSz w:w="11907" w:h="16840"/>
          <w:pgMar w:top="1440" w:right="1797" w:bottom="1440" w:left="1797" w:header="851" w:footer="992" w:gutter="0"/>
          <w:cols w:space="425" w:num="1"/>
          <w:titlePg/>
          <w:docGrid w:linePitch="462" w:charSpace="0"/>
        </w:sectPr>
      </w:pPr>
    </w:p>
    <w:p>
      <w:pPr>
        <w:pStyle w:val="6"/>
        <w:rPr>
          <w:sz w:val="28"/>
          <w:szCs w:val="28"/>
        </w:rPr>
      </w:pPr>
      <w:bookmarkStart w:id="30" w:name="_Toc128884461"/>
      <w:r>
        <w:rPr>
          <w:rFonts w:hint="eastAsia"/>
          <w:sz w:val="28"/>
          <w:szCs w:val="28"/>
        </w:rPr>
        <w:t>第三章 用户需求书</w:t>
      </w:r>
    </w:p>
    <w:p>
      <w:pPr>
        <w:pStyle w:val="6"/>
        <w:spacing w:before="120" w:beforeLines="50" w:after="120" w:afterLines="50"/>
        <w:rPr>
          <w:szCs w:val="24"/>
        </w:rPr>
      </w:pPr>
      <w:r>
        <w:rPr>
          <w:rFonts w:hint="eastAsia"/>
          <w:szCs w:val="24"/>
        </w:rPr>
        <w:t>一、项目基本信息</w:t>
      </w:r>
    </w:p>
    <w:p>
      <w:pPr>
        <w:rPr>
          <w:rFonts w:ascii="宋体" w:hAnsi="宋体"/>
          <w:b/>
          <w:color w:val="FF0000"/>
          <w:szCs w:val="21"/>
        </w:rPr>
      </w:pPr>
    </w:p>
    <w:tbl>
      <w:tblPr>
        <w:tblStyle w:val="43"/>
        <w:tblpPr w:leftFromText="180" w:rightFromText="180" w:vertAnchor="text" w:horzAnchor="margin" w:tblpY="17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
        <w:gridCol w:w="2603"/>
        <w:gridCol w:w="3158"/>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13" w:type="dxa"/>
            <w:vAlign w:val="center"/>
          </w:tcPr>
          <w:p>
            <w:pPr>
              <w:jc w:val="center"/>
              <w:rPr>
                <w:bCs/>
                <w:szCs w:val="21"/>
              </w:rPr>
            </w:pPr>
            <w:r>
              <w:rPr>
                <w:rFonts w:hint="eastAsia"/>
                <w:bCs/>
                <w:szCs w:val="21"/>
              </w:rPr>
              <w:t>序号</w:t>
            </w:r>
          </w:p>
        </w:tc>
        <w:tc>
          <w:tcPr>
            <w:tcW w:w="2603" w:type="dxa"/>
            <w:vAlign w:val="center"/>
          </w:tcPr>
          <w:p>
            <w:pPr>
              <w:jc w:val="center"/>
              <w:rPr>
                <w:bCs/>
                <w:szCs w:val="21"/>
              </w:rPr>
            </w:pPr>
            <w:r>
              <w:rPr>
                <w:rFonts w:hint="eastAsia"/>
                <w:szCs w:val="21"/>
              </w:rPr>
              <w:t>采购计划编号</w:t>
            </w:r>
          </w:p>
        </w:tc>
        <w:tc>
          <w:tcPr>
            <w:tcW w:w="3158" w:type="dxa"/>
            <w:vAlign w:val="center"/>
          </w:tcPr>
          <w:p>
            <w:pPr>
              <w:jc w:val="center"/>
              <w:rPr>
                <w:bCs/>
                <w:szCs w:val="21"/>
              </w:rPr>
            </w:pPr>
            <w:r>
              <w:rPr>
                <w:rFonts w:hint="eastAsia"/>
                <w:bCs/>
                <w:szCs w:val="21"/>
              </w:rPr>
              <w:t>采购项目名称</w:t>
            </w:r>
          </w:p>
        </w:tc>
        <w:tc>
          <w:tcPr>
            <w:tcW w:w="2355" w:type="dxa"/>
            <w:vAlign w:val="center"/>
          </w:tcPr>
          <w:p>
            <w:pPr>
              <w:jc w:val="center"/>
              <w:rPr>
                <w:b/>
                <w:bCs/>
                <w:color w:val="FF0000"/>
                <w:szCs w:val="21"/>
              </w:rPr>
            </w:pPr>
            <w:r>
              <w:rPr>
                <w:rFonts w:hint="eastAsia"/>
                <w:b/>
                <w:bCs/>
                <w:color w:val="FF0000"/>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dxa"/>
            <w:vAlign w:val="center"/>
          </w:tcPr>
          <w:p>
            <w:pPr>
              <w:jc w:val="center"/>
              <w:rPr>
                <w:bCs/>
                <w:color w:val="FF0000"/>
                <w:szCs w:val="21"/>
              </w:rPr>
            </w:pPr>
            <w:r>
              <w:rPr>
                <w:rFonts w:hint="eastAsia"/>
                <w:bCs/>
                <w:color w:val="FF0000"/>
                <w:szCs w:val="21"/>
              </w:rPr>
              <w:t>1</w:t>
            </w:r>
          </w:p>
        </w:tc>
        <w:tc>
          <w:tcPr>
            <w:tcW w:w="2603" w:type="dxa"/>
            <w:vAlign w:val="center"/>
          </w:tcPr>
          <w:p>
            <w:pPr>
              <w:jc w:val="center"/>
              <w:rPr>
                <w:bCs/>
                <w:color w:val="FF0000"/>
                <w:szCs w:val="21"/>
              </w:rPr>
            </w:pPr>
            <w:r>
              <w:rPr>
                <w:rFonts w:hint="eastAsia"/>
                <w:bCs/>
                <w:color w:val="FF0000"/>
                <w:szCs w:val="21"/>
              </w:rPr>
              <w:t>PLAN-</w:t>
            </w:r>
            <w:r>
              <w:rPr>
                <w:bCs/>
                <w:color w:val="FF0000"/>
                <w:szCs w:val="21"/>
              </w:rPr>
              <w:t>******</w:t>
            </w:r>
          </w:p>
        </w:tc>
        <w:tc>
          <w:tcPr>
            <w:tcW w:w="3158" w:type="dxa"/>
            <w:vMerge w:val="restart"/>
            <w:vAlign w:val="center"/>
          </w:tcPr>
          <w:p>
            <w:pPr>
              <w:jc w:val="center"/>
              <w:rPr>
                <w:b/>
                <w:bCs/>
                <w:color w:val="FF0000"/>
                <w:szCs w:val="21"/>
              </w:rPr>
            </w:pPr>
            <w:r>
              <w:rPr>
                <w:rFonts w:hint="eastAsia"/>
                <w:b/>
                <w:bCs/>
                <w:color w:val="FF0000"/>
                <w:szCs w:val="21"/>
              </w:rPr>
              <w:t>深圳大运中心一场两馆结构及幕墙安全鉴定项目</w:t>
            </w:r>
          </w:p>
        </w:tc>
        <w:tc>
          <w:tcPr>
            <w:tcW w:w="2355" w:type="dxa"/>
            <w:vAlign w:val="center"/>
          </w:tcPr>
          <w:p>
            <w:pPr>
              <w:jc w:val="center"/>
              <w:rPr>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13" w:type="dxa"/>
            <w:vAlign w:val="center"/>
          </w:tcPr>
          <w:p>
            <w:pPr>
              <w:jc w:val="center"/>
              <w:rPr>
                <w:bCs/>
                <w:color w:val="FF0000"/>
                <w:szCs w:val="21"/>
              </w:rPr>
            </w:pPr>
            <w:r>
              <w:rPr>
                <w:rFonts w:hint="eastAsia"/>
                <w:bCs/>
                <w:color w:val="FF0000"/>
                <w:szCs w:val="21"/>
              </w:rPr>
              <w:t>2</w:t>
            </w:r>
          </w:p>
        </w:tc>
        <w:tc>
          <w:tcPr>
            <w:tcW w:w="2603" w:type="dxa"/>
            <w:vAlign w:val="center"/>
          </w:tcPr>
          <w:p>
            <w:pPr>
              <w:jc w:val="center"/>
              <w:rPr>
                <w:bCs/>
                <w:color w:val="FF0000"/>
                <w:szCs w:val="21"/>
              </w:rPr>
            </w:pPr>
            <w:r>
              <w:rPr>
                <w:rFonts w:hint="eastAsia"/>
                <w:bCs/>
                <w:color w:val="FF0000"/>
                <w:szCs w:val="21"/>
              </w:rPr>
              <w:t>P</w:t>
            </w:r>
            <w:r>
              <w:rPr>
                <w:bCs/>
                <w:color w:val="FF0000"/>
                <w:szCs w:val="21"/>
              </w:rPr>
              <w:t>LAN-******</w:t>
            </w:r>
          </w:p>
        </w:tc>
        <w:tc>
          <w:tcPr>
            <w:tcW w:w="3158" w:type="dxa"/>
            <w:vMerge w:val="continue"/>
            <w:vAlign w:val="center"/>
          </w:tcPr>
          <w:p>
            <w:pPr>
              <w:jc w:val="center"/>
              <w:rPr>
                <w:b/>
                <w:bCs/>
                <w:color w:val="FF0000"/>
                <w:szCs w:val="21"/>
              </w:rPr>
            </w:pPr>
          </w:p>
        </w:tc>
        <w:tc>
          <w:tcPr>
            <w:tcW w:w="2355" w:type="dxa"/>
            <w:vAlign w:val="center"/>
          </w:tcPr>
          <w:p>
            <w:pPr>
              <w:jc w:val="center"/>
              <w:rPr>
                <w:bCs/>
                <w:color w:val="FF0000"/>
                <w:szCs w:val="21"/>
              </w:rPr>
            </w:pPr>
          </w:p>
        </w:tc>
      </w:tr>
    </w:tbl>
    <w:p>
      <w:pPr>
        <w:rPr>
          <w:rFonts w:ascii="宋体" w:hAnsi="宋体"/>
          <w:b/>
          <w:color w:val="FF0000"/>
          <w:szCs w:val="21"/>
        </w:rPr>
      </w:pPr>
    </w:p>
    <w:p>
      <w:pPr>
        <w:pStyle w:val="6"/>
        <w:spacing w:before="120" w:beforeLines="50" w:after="120" w:afterLines="50"/>
        <w:rPr>
          <w:szCs w:val="24"/>
        </w:rPr>
      </w:pPr>
      <w:r>
        <w:rPr>
          <w:rFonts w:hint="eastAsia"/>
          <w:szCs w:val="24"/>
        </w:rPr>
        <w:t>二、项目概况</w:t>
      </w:r>
    </w:p>
    <w:p>
      <w:pPr>
        <w:ind w:firstLine="421" w:firstLineChars="200"/>
        <w:rPr>
          <w:b/>
        </w:rPr>
      </w:pPr>
      <w:r>
        <w:rPr>
          <w:rFonts w:hint="eastAsia"/>
          <w:b/>
        </w:rPr>
        <w:t>（一）项目概况</w:t>
      </w:r>
    </w:p>
    <w:p>
      <w:pPr>
        <w:ind w:firstLine="420" w:firstLineChars="200"/>
        <w:rPr>
          <w:rFonts w:ascii="宋体" w:hAnsi="宋体"/>
        </w:rPr>
      </w:pPr>
      <w:r>
        <w:rPr>
          <w:rFonts w:hint="eastAsia" w:ascii="宋体" w:hAnsi="宋体"/>
        </w:rPr>
        <w:t>深圳大运中心位于深圳市龙岗区黄阁路99号，一场两馆包括体育场、体育馆、游泳馆三栋建筑。体育场建筑面积135869.20㎡，幕墙面积78000.00㎡，地上二层，结构体系为框架-剪力墙结构,屋盖及其支承墙体结构为延性空间钢结构，幕墙由三角形钢架、聚碳酸酯板和钢化夹胶玻璃共同组成“水晶石”造型，内层采用玻璃纤维张拉膜；体育馆建筑面积73761.00㎡，幕墙面积33000.00㎡，地下一层，地上三层局部四层，结构体系钢筋混凝土框架，钢屋盖结构；游泳馆建筑面积73761.00㎡，幕墙面积29000.00㎡，地下二层，地上一层局部二层，结构体系钢筋混凝土框架，结构体系为框架-剪力墙结构，屋盖及其支承墙体结构为延性空间钢结构。</w:t>
      </w:r>
    </w:p>
    <w:p>
      <w:pPr>
        <w:ind w:firstLine="480" w:firstLineChars="200"/>
        <w:rPr>
          <w:sz w:val="24"/>
        </w:rPr>
      </w:pPr>
    </w:p>
    <w:p>
      <w:pPr>
        <w:ind w:firstLine="480" w:firstLineChars="200"/>
        <w:rPr>
          <w:sz w:val="24"/>
        </w:rPr>
      </w:pPr>
    </w:p>
    <w:p>
      <w:pPr>
        <w:rPr>
          <w:rFonts w:ascii="宋体" w:hAnsi="宋体"/>
          <w:b/>
          <w:color w:val="FF0000"/>
          <w:szCs w:val="21"/>
        </w:rPr>
      </w:pPr>
    </w:p>
    <w:p>
      <w:pPr>
        <w:pStyle w:val="6"/>
        <w:spacing w:before="120" w:beforeLines="50" w:after="120" w:afterLines="50"/>
        <w:rPr>
          <w:szCs w:val="24"/>
        </w:rPr>
      </w:pPr>
      <w:r>
        <w:rPr>
          <w:rFonts w:hint="eastAsia"/>
          <w:szCs w:val="24"/>
        </w:rPr>
        <w:t>三、</w:t>
      </w:r>
      <w:bookmarkStart w:id="31" w:name="_Hlk72073432"/>
      <w:r>
        <w:rPr>
          <w:rFonts w:hint="eastAsia"/>
          <w:szCs w:val="24"/>
        </w:rPr>
        <w:t>服务需求明细</w:t>
      </w:r>
      <w:bookmarkEnd w:id="31"/>
    </w:p>
    <w:tbl>
      <w:tblPr>
        <w:tblStyle w:val="4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1156"/>
        <w:gridCol w:w="2579"/>
        <w:gridCol w:w="898"/>
        <w:gridCol w:w="820"/>
        <w:gridCol w:w="1400"/>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2" w:type="pct"/>
            <w:vAlign w:val="center"/>
          </w:tcPr>
          <w:p>
            <w:pPr>
              <w:jc w:val="center"/>
              <w:rPr>
                <w:bCs/>
                <w:szCs w:val="21"/>
              </w:rPr>
            </w:pPr>
            <w:r>
              <w:rPr>
                <w:rFonts w:hint="eastAsia"/>
                <w:bCs/>
                <w:szCs w:val="21"/>
              </w:rPr>
              <w:t>序号</w:t>
            </w:r>
          </w:p>
        </w:tc>
        <w:tc>
          <w:tcPr>
            <w:tcW w:w="674" w:type="pct"/>
            <w:vAlign w:val="center"/>
          </w:tcPr>
          <w:p>
            <w:pPr>
              <w:jc w:val="center"/>
              <w:rPr>
                <w:bCs/>
                <w:szCs w:val="21"/>
              </w:rPr>
            </w:pPr>
            <w:r>
              <w:rPr>
                <w:rFonts w:hint="eastAsia"/>
                <w:szCs w:val="21"/>
              </w:rPr>
              <w:t>采购计划编号</w:t>
            </w:r>
          </w:p>
        </w:tc>
        <w:tc>
          <w:tcPr>
            <w:tcW w:w="1512" w:type="pct"/>
            <w:vAlign w:val="center"/>
          </w:tcPr>
          <w:p>
            <w:pPr>
              <w:jc w:val="center"/>
              <w:rPr>
                <w:bCs/>
                <w:szCs w:val="21"/>
              </w:rPr>
            </w:pPr>
            <w:r>
              <w:rPr>
                <w:rFonts w:hint="eastAsia"/>
                <w:bCs/>
                <w:szCs w:val="21"/>
              </w:rPr>
              <w:t>服务需求名称（标的名称）</w:t>
            </w:r>
          </w:p>
        </w:tc>
        <w:tc>
          <w:tcPr>
            <w:tcW w:w="527" w:type="pct"/>
            <w:vAlign w:val="center"/>
          </w:tcPr>
          <w:p>
            <w:pPr>
              <w:jc w:val="center"/>
              <w:rPr>
                <w:bCs/>
                <w:szCs w:val="21"/>
              </w:rPr>
            </w:pPr>
            <w:r>
              <w:rPr>
                <w:rFonts w:hint="eastAsia"/>
                <w:bCs/>
                <w:szCs w:val="21"/>
              </w:rPr>
              <w:t>数量</w:t>
            </w:r>
          </w:p>
        </w:tc>
        <w:tc>
          <w:tcPr>
            <w:tcW w:w="481" w:type="pct"/>
            <w:vAlign w:val="center"/>
          </w:tcPr>
          <w:p>
            <w:pPr>
              <w:jc w:val="center"/>
              <w:rPr>
                <w:bCs/>
                <w:szCs w:val="21"/>
              </w:rPr>
            </w:pPr>
            <w:r>
              <w:rPr>
                <w:rFonts w:hint="eastAsia"/>
                <w:bCs/>
                <w:szCs w:val="21"/>
              </w:rPr>
              <w:t>单位</w:t>
            </w:r>
          </w:p>
        </w:tc>
        <w:tc>
          <w:tcPr>
            <w:tcW w:w="821" w:type="pct"/>
            <w:vAlign w:val="center"/>
          </w:tcPr>
          <w:p>
            <w:pPr>
              <w:jc w:val="center"/>
              <w:rPr>
                <w:bCs/>
                <w:szCs w:val="21"/>
              </w:rPr>
            </w:pPr>
            <w:r>
              <w:rPr>
                <w:rFonts w:hint="eastAsia"/>
                <w:b/>
                <w:bCs/>
                <w:color w:val="FF0000"/>
                <w:szCs w:val="21"/>
              </w:rPr>
              <w:t>是否专门面向中小企业</w:t>
            </w:r>
          </w:p>
        </w:tc>
        <w:tc>
          <w:tcPr>
            <w:tcW w:w="729" w:type="pct"/>
            <w:vAlign w:val="center"/>
          </w:tcPr>
          <w:p>
            <w:pPr>
              <w:jc w:val="center"/>
              <w:rPr>
                <w:b/>
                <w:bCs/>
                <w:color w:val="FF0000"/>
                <w:szCs w:val="21"/>
              </w:rPr>
            </w:pPr>
            <w:r>
              <w:rPr>
                <w:rFonts w:hint="eastAsia"/>
                <w:b/>
                <w:bCs/>
                <w:color w:val="FF0000"/>
                <w:szCs w:val="21"/>
              </w:rPr>
              <w:t>标的所属行业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52" w:type="pct"/>
            <w:vAlign w:val="center"/>
          </w:tcPr>
          <w:p>
            <w:pPr>
              <w:jc w:val="center"/>
              <w:rPr>
                <w:bCs/>
                <w:szCs w:val="21"/>
              </w:rPr>
            </w:pPr>
            <w:r>
              <w:rPr>
                <w:rFonts w:hint="eastAsia"/>
                <w:bCs/>
                <w:szCs w:val="21"/>
              </w:rPr>
              <w:t>1</w:t>
            </w:r>
          </w:p>
        </w:tc>
        <w:tc>
          <w:tcPr>
            <w:tcW w:w="674" w:type="pct"/>
            <w:vAlign w:val="center"/>
          </w:tcPr>
          <w:p>
            <w:pPr>
              <w:jc w:val="center"/>
              <w:rPr>
                <w:bCs/>
                <w:szCs w:val="21"/>
              </w:rPr>
            </w:pPr>
            <w:r>
              <w:rPr>
                <w:rFonts w:hint="eastAsia"/>
                <w:bCs/>
                <w:szCs w:val="21"/>
              </w:rPr>
              <w:t>PLAN-</w:t>
            </w:r>
            <w:r>
              <w:rPr>
                <w:bCs/>
                <w:szCs w:val="21"/>
              </w:rPr>
              <w:t>***</w:t>
            </w:r>
          </w:p>
        </w:tc>
        <w:tc>
          <w:tcPr>
            <w:tcW w:w="1512" w:type="pct"/>
            <w:vAlign w:val="center"/>
          </w:tcPr>
          <w:p>
            <w:pPr>
              <w:jc w:val="center"/>
              <w:rPr>
                <w:bCs/>
                <w:szCs w:val="21"/>
              </w:rPr>
            </w:pPr>
            <w:r>
              <w:rPr>
                <w:bCs/>
                <w:szCs w:val="21"/>
              </w:rPr>
              <w:t>深圳大运中心一场两馆结构及幕墙安全鉴定项目</w:t>
            </w:r>
          </w:p>
        </w:tc>
        <w:tc>
          <w:tcPr>
            <w:tcW w:w="527" w:type="pct"/>
            <w:vAlign w:val="center"/>
          </w:tcPr>
          <w:p>
            <w:pPr>
              <w:jc w:val="center"/>
              <w:rPr>
                <w:bCs/>
                <w:szCs w:val="21"/>
              </w:rPr>
            </w:pPr>
            <w:r>
              <w:rPr>
                <w:rFonts w:hint="eastAsia"/>
              </w:rPr>
              <w:t>1</w:t>
            </w:r>
          </w:p>
        </w:tc>
        <w:tc>
          <w:tcPr>
            <w:tcW w:w="481" w:type="pct"/>
            <w:vAlign w:val="center"/>
          </w:tcPr>
          <w:p>
            <w:pPr>
              <w:jc w:val="center"/>
              <w:rPr>
                <w:bCs/>
                <w:szCs w:val="21"/>
              </w:rPr>
            </w:pPr>
            <w:r>
              <w:rPr>
                <w:rFonts w:hint="eastAsia"/>
                <w:bCs/>
                <w:szCs w:val="21"/>
              </w:rPr>
              <w:t>项</w:t>
            </w:r>
          </w:p>
        </w:tc>
        <w:tc>
          <w:tcPr>
            <w:tcW w:w="821" w:type="pct"/>
            <w:vAlign w:val="center"/>
          </w:tcPr>
          <w:p>
            <w:pPr>
              <w:jc w:val="center"/>
              <w:rPr>
                <w:bCs/>
                <w:szCs w:val="21"/>
              </w:rPr>
            </w:pPr>
            <w:r>
              <w:rPr>
                <w:rFonts w:hint="eastAsia"/>
                <w:bCs/>
                <w:szCs w:val="21"/>
              </w:rPr>
              <w:t>否</w:t>
            </w:r>
          </w:p>
        </w:tc>
        <w:tc>
          <w:tcPr>
            <w:tcW w:w="729" w:type="pct"/>
            <w:vAlign w:val="center"/>
          </w:tcPr>
          <w:p>
            <w:pPr>
              <w:jc w:val="center"/>
              <w:rPr>
                <w:bCs/>
                <w:szCs w:val="21"/>
              </w:rPr>
            </w:pPr>
            <w:r>
              <w:rPr>
                <w:rFonts w:hint="eastAsia"/>
                <w:bCs/>
                <w:szCs w:val="21"/>
              </w:rPr>
              <w:t>其他未列明行业</w:t>
            </w:r>
          </w:p>
        </w:tc>
      </w:tr>
    </w:tbl>
    <w:p>
      <w:pPr>
        <w:rPr>
          <w:rFonts w:ascii="宋体" w:hAnsi="宋体"/>
          <w:b/>
          <w:color w:val="FF0000"/>
          <w:szCs w:val="21"/>
        </w:rPr>
      </w:pPr>
    </w:p>
    <w:p>
      <w:pPr>
        <w:pStyle w:val="6"/>
        <w:spacing w:before="120" w:beforeLines="50" w:after="120" w:afterLines="50"/>
        <w:rPr>
          <w:szCs w:val="24"/>
        </w:rPr>
      </w:pPr>
      <w:r>
        <w:rPr>
          <w:rFonts w:hint="eastAsia"/>
          <w:szCs w:val="24"/>
        </w:rPr>
        <w:t>四、实质性条款</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7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pPr>
              <w:adjustRightInd w:val="0"/>
              <w:snapToGrid w:val="0"/>
              <w:spacing w:line="360" w:lineRule="auto"/>
              <w:jc w:val="center"/>
              <w:rPr>
                <w:rFonts w:ascii="宋体" w:hAnsi="宋体"/>
                <w:kern w:val="0"/>
                <w:szCs w:val="21"/>
              </w:rPr>
            </w:pPr>
            <w:r>
              <w:rPr>
                <w:rFonts w:hint="eastAsia" w:ascii="宋体" w:hAnsi="宋体"/>
                <w:kern w:val="0"/>
                <w:szCs w:val="21"/>
              </w:rPr>
              <w:t>序号</w:t>
            </w:r>
          </w:p>
        </w:tc>
        <w:tc>
          <w:tcPr>
            <w:tcW w:w="7795" w:type="dxa"/>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7795" w:type="dxa"/>
          </w:tcPr>
          <w:p>
            <w:pPr>
              <w:rPr>
                <w:rFonts w:hAnsi="宋体" w:eastAsiaTheme="minorEastAsia"/>
                <w:kern w:val="0"/>
                <w:szCs w:val="21"/>
              </w:rPr>
            </w:pPr>
            <w:r>
              <w:rPr>
                <w:rFonts w:hint="eastAsia" w:hAnsi="宋体" w:eastAsiaTheme="minorEastAsia"/>
                <w:kern w:val="0"/>
                <w:szCs w:val="21"/>
              </w:rPr>
              <w:t>1.项目人员需求一览表★人员类别</w:t>
            </w:r>
            <w:r>
              <w:rPr>
                <w:rFonts w:hint="eastAsia" w:hAnsi="宋体" w:eastAsiaTheme="minorEastAsia"/>
                <w:kern w:val="0"/>
                <w:szCs w:val="21"/>
              </w:rPr>
              <w:tab/>
            </w:r>
            <w:r>
              <w:rPr>
                <w:rFonts w:hint="eastAsia" w:hAnsi="宋体" w:eastAsiaTheme="minorEastAsia"/>
                <w:kern w:val="0"/>
                <w:szCs w:val="21"/>
              </w:rPr>
              <w:t>★数量</w:t>
            </w:r>
            <w:r>
              <w:rPr>
                <w:rFonts w:hint="eastAsia" w:hAnsi="宋体" w:eastAsiaTheme="minorEastAsia"/>
                <w:kern w:val="0"/>
                <w:szCs w:val="21"/>
              </w:rPr>
              <w:tab/>
            </w:r>
            <w:r>
              <w:rPr>
                <w:rFonts w:hint="eastAsia" w:hAnsi="宋体" w:eastAsiaTheme="minorEastAsia"/>
                <w:kern w:val="0"/>
                <w:szCs w:val="21"/>
              </w:rPr>
              <w:t>★人员必须具备条件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4" w:type="dxa"/>
          </w:tcPr>
          <w:p>
            <w:pPr>
              <w:adjustRightInd w:val="0"/>
              <w:snapToGrid w:val="0"/>
              <w:spacing w:line="360" w:lineRule="auto"/>
              <w:rPr>
                <w:rFonts w:ascii="宋体" w:hAnsi="宋体"/>
                <w:kern w:val="0"/>
                <w:szCs w:val="21"/>
              </w:rPr>
            </w:pPr>
            <w:r>
              <w:rPr>
                <w:rFonts w:hint="eastAsia" w:ascii="宋体" w:hAnsi="宋体"/>
                <w:kern w:val="0"/>
                <w:szCs w:val="21"/>
              </w:rPr>
              <w:t>2</w:t>
            </w:r>
          </w:p>
        </w:tc>
        <w:tc>
          <w:tcPr>
            <w:tcW w:w="7795" w:type="dxa"/>
          </w:tcPr>
          <w:p>
            <w:pPr>
              <w:rPr>
                <w:rFonts w:asciiTheme="minorEastAsia" w:hAnsiTheme="minorEastAsia" w:eastAsiaTheme="minorEastAsia"/>
              </w:rPr>
            </w:pPr>
            <w:r>
              <w:rPr>
                <w:rFonts w:hint="eastAsia" w:asciiTheme="minorEastAsia" w:hAnsiTheme="minorEastAsia" w:eastAsiaTheme="minorEastAsia"/>
              </w:rPr>
              <w:t>★服务期：本项目服务期限为自合同签订或约定之日起100天。</w:t>
            </w:r>
          </w:p>
        </w:tc>
      </w:tr>
    </w:tbl>
    <w:p>
      <w:pPr>
        <w:pStyle w:val="5"/>
        <w:tabs>
          <w:tab w:val="left" w:pos="765"/>
        </w:tabs>
        <w:rPr>
          <w:rFonts w:ascii="黑体"/>
          <w:b w:val="0"/>
          <w:kern w:val="0"/>
          <w:sz w:val="24"/>
          <w:szCs w:val="24"/>
        </w:rPr>
      </w:pPr>
      <w:r>
        <w:rPr>
          <w:rFonts w:hint="eastAsia" w:ascii="黑体"/>
          <w:b w:val="0"/>
          <w:kern w:val="0"/>
          <w:sz w:val="24"/>
          <w:szCs w:val="24"/>
        </w:rPr>
        <w:t>注：上表所列内容为不可负偏离条款，负偏离将视为未实质性满足招标文件要求作投标无效处理。</w:t>
      </w:r>
      <w:bookmarkEnd w:id="30"/>
    </w:p>
    <w:p>
      <w:pPr>
        <w:rPr>
          <w:b/>
          <w:bCs/>
          <w:sz w:val="24"/>
        </w:rPr>
      </w:pPr>
    </w:p>
    <w:p>
      <w:pPr>
        <w:pStyle w:val="6"/>
        <w:spacing w:before="120" w:beforeLines="50" w:after="120" w:afterLines="50"/>
        <w:rPr>
          <w:szCs w:val="24"/>
        </w:rPr>
      </w:pPr>
      <w:r>
        <w:rPr>
          <w:rFonts w:hint="eastAsia"/>
          <w:szCs w:val="24"/>
        </w:rPr>
        <w:t>五、技术要求</w:t>
      </w:r>
    </w:p>
    <w:p>
      <w:pPr>
        <w:rPr>
          <w:b/>
          <w:sz w:val="24"/>
        </w:rPr>
      </w:pPr>
    </w:p>
    <w:p>
      <w:pPr>
        <w:ind w:firstLine="421" w:firstLineChars="200"/>
        <w:rPr>
          <w:b/>
          <w:sz w:val="24"/>
        </w:rPr>
      </w:pPr>
      <w:r>
        <w:rPr>
          <w:rFonts w:hint="eastAsia"/>
          <w:b/>
        </w:rPr>
        <w:t>（一）项目实施范围</w:t>
      </w:r>
    </w:p>
    <w:tbl>
      <w:tblPr>
        <w:tblStyle w:val="43"/>
        <w:tblpPr w:leftFromText="180" w:rightFromText="180" w:vertAnchor="text" w:horzAnchor="margin" w:tblpY="17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4472"/>
        <w:gridCol w:w="2224"/>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43" w:type="dxa"/>
            <w:vAlign w:val="center"/>
          </w:tcPr>
          <w:p>
            <w:pPr>
              <w:spacing w:line="276" w:lineRule="auto"/>
              <w:jc w:val="center"/>
              <w:rPr>
                <w:rFonts w:ascii="宋体" w:hAnsi="宋体" w:cs="宋体"/>
                <w:b/>
                <w:bCs/>
                <w:szCs w:val="21"/>
              </w:rPr>
            </w:pPr>
            <w:r>
              <w:rPr>
                <w:rFonts w:hint="eastAsia" w:ascii="宋体" w:hAnsi="宋体" w:cs="宋体"/>
                <w:b/>
                <w:bCs/>
                <w:szCs w:val="21"/>
              </w:rPr>
              <w:t>序号</w:t>
            </w:r>
          </w:p>
        </w:tc>
        <w:tc>
          <w:tcPr>
            <w:tcW w:w="4468" w:type="dxa"/>
            <w:vAlign w:val="center"/>
          </w:tcPr>
          <w:p>
            <w:pPr>
              <w:spacing w:line="276" w:lineRule="auto"/>
              <w:jc w:val="center"/>
              <w:rPr>
                <w:rFonts w:ascii="宋体" w:hAnsi="宋体" w:cs="宋体"/>
                <w:b/>
                <w:bCs/>
                <w:szCs w:val="21"/>
              </w:rPr>
            </w:pPr>
            <w:r>
              <w:rPr>
                <w:rFonts w:hint="eastAsia" w:ascii="宋体" w:hAnsi="宋体" w:cs="宋体"/>
                <w:b/>
                <w:bCs/>
                <w:szCs w:val="21"/>
              </w:rPr>
              <w:t>服务需求内容</w:t>
            </w:r>
          </w:p>
        </w:tc>
        <w:tc>
          <w:tcPr>
            <w:tcW w:w="2222" w:type="dxa"/>
            <w:vAlign w:val="center"/>
          </w:tcPr>
          <w:p>
            <w:pPr>
              <w:spacing w:line="276" w:lineRule="auto"/>
              <w:jc w:val="center"/>
              <w:rPr>
                <w:rFonts w:ascii="宋体" w:hAnsi="宋体" w:cs="宋体"/>
                <w:b/>
                <w:bCs/>
                <w:szCs w:val="21"/>
              </w:rPr>
            </w:pPr>
            <w:r>
              <w:rPr>
                <w:rFonts w:hint="eastAsia" w:ascii="宋体" w:hAnsi="宋体" w:cs="宋体"/>
                <w:b/>
                <w:bCs/>
                <w:szCs w:val="21"/>
              </w:rPr>
              <w:t>数量</w:t>
            </w:r>
          </w:p>
        </w:tc>
        <w:tc>
          <w:tcPr>
            <w:tcW w:w="1089" w:type="dxa"/>
            <w:vAlign w:val="center"/>
          </w:tcPr>
          <w:p>
            <w:pPr>
              <w:spacing w:line="276" w:lineRule="auto"/>
              <w:jc w:val="center"/>
              <w:rPr>
                <w:rFonts w:ascii="宋体" w:hAnsi="宋体" w:cs="宋体"/>
                <w:b/>
                <w:bCs/>
                <w:szCs w:val="21"/>
              </w:rPr>
            </w:pPr>
            <w:r>
              <w:rPr>
                <w:rFonts w:hint="eastAsia" w:ascii="宋体" w:hAnsi="宋体" w:cs="宋体"/>
                <w:b/>
                <w:bCs/>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43" w:type="dxa"/>
            <w:vAlign w:val="center"/>
          </w:tcPr>
          <w:p>
            <w:pPr>
              <w:spacing w:line="276" w:lineRule="auto"/>
              <w:jc w:val="center"/>
              <w:rPr>
                <w:rFonts w:ascii="宋体" w:hAnsi="宋体" w:cs="宋体"/>
                <w:bCs/>
                <w:szCs w:val="21"/>
              </w:rPr>
            </w:pPr>
            <w:r>
              <w:rPr>
                <w:rFonts w:hint="eastAsia" w:ascii="宋体" w:hAnsi="宋体" w:cs="宋体"/>
                <w:bCs/>
                <w:szCs w:val="21"/>
              </w:rPr>
              <w:t>1</w:t>
            </w:r>
          </w:p>
        </w:tc>
        <w:tc>
          <w:tcPr>
            <w:tcW w:w="4468" w:type="dxa"/>
            <w:vAlign w:val="center"/>
          </w:tcPr>
          <w:p>
            <w:pPr>
              <w:spacing w:line="276" w:lineRule="auto"/>
              <w:jc w:val="center"/>
              <w:rPr>
                <w:rFonts w:ascii="宋体" w:hAnsi="宋体" w:cs="宋体"/>
                <w:bCs/>
                <w:szCs w:val="21"/>
              </w:rPr>
            </w:pPr>
            <w:r>
              <w:rPr>
                <w:rFonts w:hint="eastAsia" w:ascii="宋体" w:hAnsi="宋体" w:cs="宋体"/>
                <w:szCs w:val="21"/>
              </w:rPr>
              <w:t>深圳大运中心体育场结构安全检测鉴定</w:t>
            </w:r>
          </w:p>
        </w:tc>
        <w:tc>
          <w:tcPr>
            <w:tcW w:w="2222" w:type="dxa"/>
            <w:vAlign w:val="center"/>
          </w:tcPr>
          <w:p>
            <w:pPr>
              <w:spacing w:line="276" w:lineRule="auto"/>
              <w:jc w:val="center"/>
              <w:rPr>
                <w:rFonts w:ascii="宋体" w:hAnsi="宋体" w:cs="宋体"/>
                <w:bCs/>
                <w:szCs w:val="21"/>
              </w:rPr>
            </w:pPr>
            <w:r>
              <w:rPr>
                <w:rFonts w:hint="eastAsia" w:ascii="宋体" w:hAnsi="宋体" w:cs="宋体"/>
                <w:bCs/>
                <w:szCs w:val="21"/>
              </w:rPr>
              <w:t>135869.20</w:t>
            </w:r>
          </w:p>
        </w:tc>
        <w:tc>
          <w:tcPr>
            <w:tcW w:w="1089" w:type="dxa"/>
            <w:vAlign w:val="center"/>
          </w:tcPr>
          <w:p>
            <w:pPr>
              <w:spacing w:line="276" w:lineRule="auto"/>
              <w:jc w:val="center"/>
              <w:rPr>
                <w:rFonts w:ascii="宋体" w:hAnsi="宋体" w:cs="宋体"/>
                <w:bCs/>
                <w:szCs w:val="21"/>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43" w:type="dxa"/>
            <w:vAlign w:val="center"/>
          </w:tcPr>
          <w:p>
            <w:pPr>
              <w:spacing w:line="276" w:lineRule="auto"/>
              <w:jc w:val="center"/>
              <w:rPr>
                <w:rFonts w:ascii="宋体" w:hAnsi="宋体" w:cs="宋体"/>
                <w:bCs/>
                <w:szCs w:val="21"/>
              </w:rPr>
            </w:pPr>
            <w:r>
              <w:rPr>
                <w:rFonts w:hint="eastAsia" w:ascii="宋体" w:hAnsi="宋体" w:cs="宋体"/>
                <w:bCs/>
                <w:szCs w:val="21"/>
              </w:rPr>
              <w:t>2</w:t>
            </w:r>
          </w:p>
        </w:tc>
        <w:tc>
          <w:tcPr>
            <w:tcW w:w="4468" w:type="dxa"/>
            <w:vAlign w:val="center"/>
          </w:tcPr>
          <w:p>
            <w:pPr>
              <w:spacing w:line="276" w:lineRule="auto"/>
              <w:jc w:val="center"/>
              <w:rPr>
                <w:rFonts w:ascii="宋体" w:hAnsi="宋体" w:cs="宋体"/>
                <w:szCs w:val="21"/>
              </w:rPr>
            </w:pPr>
            <w:r>
              <w:rPr>
                <w:rFonts w:hint="eastAsia" w:ascii="宋体" w:hAnsi="宋体" w:cs="宋体"/>
                <w:szCs w:val="21"/>
              </w:rPr>
              <w:t>深圳大运中心体育场幕墙安全检测鉴定</w:t>
            </w:r>
          </w:p>
        </w:tc>
        <w:tc>
          <w:tcPr>
            <w:tcW w:w="2222" w:type="dxa"/>
            <w:vAlign w:val="center"/>
          </w:tcPr>
          <w:p>
            <w:pPr>
              <w:spacing w:line="276" w:lineRule="auto"/>
              <w:jc w:val="center"/>
              <w:rPr>
                <w:rFonts w:ascii="宋体" w:hAnsi="宋体" w:cs="宋体"/>
                <w:szCs w:val="21"/>
              </w:rPr>
            </w:pPr>
            <w:r>
              <w:rPr>
                <w:rFonts w:hint="eastAsia" w:ascii="宋体" w:hAnsi="宋体" w:cs="宋体"/>
                <w:szCs w:val="21"/>
              </w:rPr>
              <w:t>78000.00</w:t>
            </w:r>
          </w:p>
        </w:tc>
        <w:tc>
          <w:tcPr>
            <w:tcW w:w="1089" w:type="dxa"/>
            <w:vAlign w:val="center"/>
          </w:tcPr>
          <w:p>
            <w:pPr>
              <w:spacing w:line="276" w:lineRule="auto"/>
              <w:jc w:val="center"/>
              <w:rPr>
                <w:rFonts w:ascii="宋体" w:hAnsi="宋体" w:cs="宋体"/>
                <w:bCs/>
                <w:szCs w:val="21"/>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43" w:type="dxa"/>
            <w:vAlign w:val="center"/>
          </w:tcPr>
          <w:p>
            <w:pPr>
              <w:spacing w:line="276" w:lineRule="auto"/>
              <w:jc w:val="center"/>
              <w:rPr>
                <w:rFonts w:ascii="宋体" w:hAnsi="宋体" w:cs="宋体"/>
                <w:bCs/>
                <w:szCs w:val="21"/>
              </w:rPr>
            </w:pPr>
            <w:r>
              <w:rPr>
                <w:rFonts w:hint="eastAsia" w:ascii="宋体" w:hAnsi="宋体" w:cs="宋体"/>
                <w:bCs/>
                <w:szCs w:val="21"/>
              </w:rPr>
              <w:t>3</w:t>
            </w:r>
          </w:p>
        </w:tc>
        <w:tc>
          <w:tcPr>
            <w:tcW w:w="4468" w:type="dxa"/>
            <w:vAlign w:val="center"/>
          </w:tcPr>
          <w:p>
            <w:pPr>
              <w:spacing w:line="276" w:lineRule="auto"/>
              <w:jc w:val="center"/>
              <w:rPr>
                <w:rFonts w:ascii="宋体" w:hAnsi="宋体" w:cs="宋体"/>
                <w:szCs w:val="21"/>
              </w:rPr>
            </w:pPr>
            <w:r>
              <w:rPr>
                <w:rFonts w:hint="eastAsia" w:ascii="宋体" w:hAnsi="宋体" w:cs="宋体"/>
                <w:szCs w:val="21"/>
              </w:rPr>
              <w:t>深圳大运中心体育馆结构安全检测鉴定</w:t>
            </w:r>
          </w:p>
        </w:tc>
        <w:tc>
          <w:tcPr>
            <w:tcW w:w="2222" w:type="dxa"/>
            <w:vAlign w:val="center"/>
          </w:tcPr>
          <w:p>
            <w:pPr>
              <w:spacing w:line="276" w:lineRule="auto"/>
              <w:jc w:val="center"/>
              <w:rPr>
                <w:rFonts w:ascii="宋体" w:hAnsi="宋体" w:cs="宋体"/>
                <w:szCs w:val="21"/>
              </w:rPr>
            </w:pPr>
            <w:r>
              <w:rPr>
                <w:rFonts w:hint="eastAsia" w:ascii="宋体" w:hAnsi="宋体" w:cs="宋体"/>
                <w:szCs w:val="21"/>
              </w:rPr>
              <w:t>73761.00</w:t>
            </w:r>
          </w:p>
        </w:tc>
        <w:tc>
          <w:tcPr>
            <w:tcW w:w="1089" w:type="dxa"/>
            <w:vAlign w:val="center"/>
          </w:tcPr>
          <w:p>
            <w:pPr>
              <w:spacing w:line="276" w:lineRule="auto"/>
              <w:jc w:val="center"/>
              <w:rPr>
                <w:rFonts w:ascii="宋体" w:hAnsi="宋体" w:cs="宋体"/>
                <w:bCs/>
                <w:szCs w:val="21"/>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43" w:type="dxa"/>
            <w:vAlign w:val="center"/>
          </w:tcPr>
          <w:p>
            <w:pPr>
              <w:spacing w:line="276" w:lineRule="auto"/>
              <w:jc w:val="center"/>
              <w:rPr>
                <w:rFonts w:ascii="宋体" w:hAnsi="宋体" w:cs="宋体"/>
                <w:bCs/>
                <w:szCs w:val="21"/>
              </w:rPr>
            </w:pPr>
            <w:r>
              <w:rPr>
                <w:rFonts w:hint="eastAsia" w:ascii="宋体" w:hAnsi="宋体" w:cs="宋体"/>
                <w:bCs/>
                <w:szCs w:val="21"/>
              </w:rPr>
              <w:t>4</w:t>
            </w:r>
          </w:p>
        </w:tc>
        <w:tc>
          <w:tcPr>
            <w:tcW w:w="4468" w:type="dxa"/>
            <w:vAlign w:val="center"/>
          </w:tcPr>
          <w:p>
            <w:pPr>
              <w:spacing w:line="276" w:lineRule="auto"/>
              <w:jc w:val="center"/>
              <w:rPr>
                <w:rFonts w:ascii="宋体" w:hAnsi="宋体" w:cs="宋体"/>
                <w:szCs w:val="21"/>
              </w:rPr>
            </w:pPr>
            <w:r>
              <w:rPr>
                <w:rFonts w:hint="eastAsia" w:ascii="宋体" w:hAnsi="宋体" w:cs="宋体"/>
                <w:szCs w:val="21"/>
              </w:rPr>
              <w:t>深圳大运中心体育馆幕墙安全检测鉴定</w:t>
            </w:r>
          </w:p>
        </w:tc>
        <w:tc>
          <w:tcPr>
            <w:tcW w:w="2222" w:type="dxa"/>
            <w:vAlign w:val="center"/>
          </w:tcPr>
          <w:p>
            <w:pPr>
              <w:spacing w:line="276" w:lineRule="auto"/>
              <w:jc w:val="center"/>
              <w:rPr>
                <w:rFonts w:ascii="宋体" w:hAnsi="宋体" w:cs="宋体"/>
                <w:szCs w:val="21"/>
              </w:rPr>
            </w:pPr>
            <w:r>
              <w:rPr>
                <w:rFonts w:hint="eastAsia" w:ascii="宋体" w:hAnsi="宋体" w:cs="宋体"/>
                <w:szCs w:val="21"/>
              </w:rPr>
              <w:t>33000.00</w:t>
            </w:r>
          </w:p>
        </w:tc>
        <w:tc>
          <w:tcPr>
            <w:tcW w:w="1089" w:type="dxa"/>
            <w:vAlign w:val="center"/>
          </w:tcPr>
          <w:p>
            <w:pPr>
              <w:spacing w:line="276" w:lineRule="auto"/>
              <w:jc w:val="center"/>
              <w:rPr>
                <w:rFonts w:ascii="宋体" w:hAnsi="宋体" w:cs="宋体"/>
                <w:bCs/>
                <w:szCs w:val="21"/>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43" w:type="dxa"/>
            <w:vAlign w:val="center"/>
          </w:tcPr>
          <w:p>
            <w:pPr>
              <w:spacing w:line="276" w:lineRule="auto"/>
              <w:jc w:val="center"/>
              <w:rPr>
                <w:rFonts w:ascii="宋体" w:hAnsi="宋体" w:cs="宋体"/>
                <w:bCs/>
                <w:szCs w:val="21"/>
              </w:rPr>
            </w:pPr>
            <w:r>
              <w:rPr>
                <w:rFonts w:hint="eastAsia" w:ascii="宋体" w:hAnsi="宋体" w:cs="宋体"/>
                <w:bCs/>
                <w:szCs w:val="21"/>
              </w:rPr>
              <w:t>5</w:t>
            </w:r>
          </w:p>
        </w:tc>
        <w:tc>
          <w:tcPr>
            <w:tcW w:w="4468" w:type="dxa"/>
            <w:vAlign w:val="center"/>
          </w:tcPr>
          <w:p>
            <w:pPr>
              <w:spacing w:line="276" w:lineRule="auto"/>
              <w:jc w:val="center"/>
              <w:rPr>
                <w:rFonts w:ascii="宋体" w:hAnsi="宋体" w:cs="宋体"/>
                <w:szCs w:val="21"/>
              </w:rPr>
            </w:pPr>
            <w:r>
              <w:rPr>
                <w:rFonts w:hint="eastAsia" w:ascii="宋体" w:hAnsi="宋体" w:cs="宋体"/>
                <w:szCs w:val="21"/>
              </w:rPr>
              <w:t>深圳大运中心游泳馆结构安全检测鉴定</w:t>
            </w:r>
          </w:p>
        </w:tc>
        <w:tc>
          <w:tcPr>
            <w:tcW w:w="2222" w:type="dxa"/>
            <w:vAlign w:val="center"/>
          </w:tcPr>
          <w:p>
            <w:pPr>
              <w:spacing w:line="276" w:lineRule="auto"/>
              <w:jc w:val="center"/>
              <w:rPr>
                <w:rFonts w:ascii="宋体" w:hAnsi="宋体" w:cs="宋体"/>
                <w:szCs w:val="21"/>
              </w:rPr>
            </w:pPr>
            <w:r>
              <w:rPr>
                <w:rFonts w:hint="eastAsia" w:ascii="宋体" w:hAnsi="宋体" w:cs="宋体"/>
                <w:szCs w:val="21"/>
              </w:rPr>
              <w:t>73761.00</w:t>
            </w:r>
          </w:p>
        </w:tc>
        <w:tc>
          <w:tcPr>
            <w:tcW w:w="1089" w:type="dxa"/>
            <w:vAlign w:val="center"/>
          </w:tcPr>
          <w:p>
            <w:pPr>
              <w:spacing w:line="276" w:lineRule="auto"/>
              <w:jc w:val="center"/>
              <w:rPr>
                <w:rFonts w:ascii="宋体" w:hAnsi="宋体" w:cs="宋体"/>
                <w:bCs/>
                <w:szCs w:val="21"/>
              </w:rPr>
            </w:pPr>
            <w:r>
              <w:rPr>
                <w:rFonts w:hint="eastAsia" w:ascii="宋体" w:hAnsi="宋体" w:cs="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743" w:type="dxa"/>
            <w:vAlign w:val="center"/>
          </w:tcPr>
          <w:p>
            <w:pPr>
              <w:spacing w:line="276" w:lineRule="auto"/>
              <w:jc w:val="center"/>
              <w:rPr>
                <w:rFonts w:ascii="宋体" w:hAnsi="宋体" w:cs="宋体"/>
                <w:bCs/>
                <w:szCs w:val="21"/>
              </w:rPr>
            </w:pPr>
            <w:r>
              <w:rPr>
                <w:rFonts w:hint="eastAsia" w:ascii="宋体" w:hAnsi="宋体" w:cs="宋体"/>
                <w:bCs/>
                <w:szCs w:val="21"/>
              </w:rPr>
              <w:t>6</w:t>
            </w:r>
          </w:p>
        </w:tc>
        <w:tc>
          <w:tcPr>
            <w:tcW w:w="4468" w:type="dxa"/>
            <w:vAlign w:val="center"/>
          </w:tcPr>
          <w:p>
            <w:pPr>
              <w:spacing w:line="276" w:lineRule="auto"/>
              <w:jc w:val="center"/>
              <w:rPr>
                <w:rFonts w:ascii="宋体" w:hAnsi="宋体" w:cs="宋体"/>
                <w:szCs w:val="21"/>
              </w:rPr>
            </w:pPr>
            <w:r>
              <w:rPr>
                <w:rFonts w:hint="eastAsia" w:ascii="宋体" w:hAnsi="宋体" w:cs="宋体"/>
                <w:szCs w:val="21"/>
              </w:rPr>
              <w:t>深圳大运中心游泳馆幕墙安全检测鉴定</w:t>
            </w:r>
          </w:p>
        </w:tc>
        <w:tc>
          <w:tcPr>
            <w:tcW w:w="2222" w:type="dxa"/>
            <w:vAlign w:val="center"/>
          </w:tcPr>
          <w:p>
            <w:pPr>
              <w:spacing w:line="276" w:lineRule="auto"/>
              <w:jc w:val="center"/>
              <w:rPr>
                <w:rFonts w:ascii="宋体" w:hAnsi="宋体" w:cs="宋体"/>
                <w:szCs w:val="21"/>
              </w:rPr>
            </w:pPr>
            <w:r>
              <w:rPr>
                <w:rFonts w:hint="eastAsia" w:ascii="宋体" w:hAnsi="宋体" w:cs="宋体"/>
                <w:szCs w:val="21"/>
              </w:rPr>
              <w:t>29000.00</w:t>
            </w:r>
          </w:p>
        </w:tc>
        <w:tc>
          <w:tcPr>
            <w:tcW w:w="1089" w:type="dxa"/>
            <w:vAlign w:val="center"/>
          </w:tcPr>
          <w:p>
            <w:pPr>
              <w:spacing w:line="276" w:lineRule="auto"/>
              <w:jc w:val="center"/>
              <w:rPr>
                <w:rFonts w:ascii="宋体" w:hAnsi="宋体" w:cs="宋体"/>
                <w:bCs/>
                <w:szCs w:val="21"/>
              </w:rPr>
            </w:pPr>
            <w:r>
              <w:rPr>
                <w:rFonts w:hint="eastAsia" w:ascii="宋体" w:hAnsi="宋体" w:cs="宋体"/>
                <w:bCs/>
                <w:szCs w:val="21"/>
              </w:rPr>
              <w:t>㎡</w:t>
            </w:r>
          </w:p>
        </w:tc>
      </w:tr>
    </w:tbl>
    <w:p/>
    <w:p>
      <w:pPr>
        <w:ind w:firstLine="421" w:firstLineChars="200"/>
        <w:rPr>
          <w:b/>
        </w:rPr>
      </w:pPr>
      <w:r>
        <w:rPr>
          <w:rFonts w:hint="eastAsia"/>
          <w:b/>
        </w:rPr>
        <w:t>（二）项目实施内容</w:t>
      </w:r>
    </w:p>
    <w:p>
      <w:pPr>
        <w:ind w:firstLine="420" w:firstLineChars="200"/>
      </w:pPr>
      <w:r>
        <w:rPr>
          <w:rFonts w:hint="eastAsia"/>
        </w:rPr>
        <w:t>为了解深圳市大运中心体育场、体育馆、游泳馆主体结构及幕墙安全情况，全面落实《广东省体育局关于开展重要体育赛事活动公共体育场馆重大安全风险排查的通知》、《深圳市既有建筑幕墙安全维护和管理办法》、《龙岗区住房和建设局关于配合开展建筑幕墙安全抽查工作的通知》的要求，同时体育场、体育馆拟进行吊顶改造，对体育场、体育馆、游泳馆以的结构及幕墙进行安全鉴定。</w:t>
      </w:r>
    </w:p>
    <w:p>
      <w:pPr>
        <w:ind w:firstLine="421" w:firstLineChars="200"/>
        <w:rPr>
          <w:b/>
        </w:rPr>
      </w:pPr>
      <w:r>
        <w:rPr>
          <w:rFonts w:hint="eastAsia"/>
          <w:b/>
        </w:rPr>
        <w:t>（三）项目实施要求</w:t>
      </w:r>
    </w:p>
    <w:p>
      <w:pPr>
        <w:ind w:firstLine="420" w:firstLineChars="200"/>
        <w:rPr>
          <w:rFonts w:ascii="宋体" w:hAnsi="宋体" w:cs="仿宋_GB2312"/>
          <w:color w:val="000000"/>
          <w:szCs w:val="21"/>
        </w:rPr>
      </w:pPr>
      <w:r>
        <w:rPr>
          <w:rFonts w:hint="eastAsia" w:ascii="宋体" w:hAnsi="宋体" w:cs="仿宋_GB2312"/>
          <w:color w:val="000000"/>
          <w:szCs w:val="21"/>
        </w:rPr>
        <w:t>1.依据《民用建筑可靠性鉴定标准》（GB 50292-2015）、《建筑抗震鉴定标准》（GB50023-2009）、《既有建筑幕墙安全性鉴定技术标准》（SJG 112-2022 ）和相关检测鉴定规范标准对深圳市大运中心体育场、体育馆、游泳馆进行结构及幕墙安全检测鉴定，检测鉴定内容包含：</w:t>
      </w:r>
    </w:p>
    <w:p>
      <w:pPr>
        <w:pStyle w:val="71"/>
        <w:numPr>
          <w:ilvl w:val="0"/>
          <w:numId w:val="11"/>
        </w:numPr>
        <w:ind w:left="0" w:firstLine="420"/>
        <w:rPr>
          <w:rFonts w:ascii="宋体" w:hAnsi="宋体" w:cs="仿宋_GB2312"/>
          <w:color w:val="000000"/>
          <w:szCs w:val="21"/>
        </w:rPr>
      </w:pPr>
      <w:r>
        <w:rPr>
          <w:rFonts w:hint="eastAsia" w:ascii="宋体" w:hAnsi="宋体" w:cs="仿宋_GB2312"/>
          <w:color w:val="000000"/>
          <w:szCs w:val="21"/>
        </w:rPr>
        <w:t>混凝土结构截面尺寸、混凝土材料强度、混凝土中钢筋、损伤或变形等检测；</w:t>
      </w:r>
    </w:p>
    <w:p>
      <w:pPr>
        <w:pStyle w:val="71"/>
        <w:numPr>
          <w:ilvl w:val="0"/>
          <w:numId w:val="11"/>
        </w:numPr>
        <w:ind w:left="0" w:firstLine="420"/>
        <w:rPr>
          <w:rFonts w:ascii="宋体" w:hAnsi="宋体" w:cs="仿宋_GB2312"/>
          <w:color w:val="000000"/>
          <w:szCs w:val="21"/>
        </w:rPr>
      </w:pPr>
      <w:r>
        <w:rPr>
          <w:rFonts w:hint="eastAsia" w:ascii="宋体" w:hAnsi="宋体" w:cs="仿宋_GB2312"/>
          <w:color w:val="000000"/>
          <w:szCs w:val="21"/>
        </w:rPr>
        <w:t>钢结构截面尺寸、强度、涂装厚度、连接、损伤或变形等检测；</w:t>
      </w:r>
    </w:p>
    <w:p>
      <w:pPr>
        <w:pStyle w:val="71"/>
        <w:numPr>
          <w:ilvl w:val="0"/>
          <w:numId w:val="11"/>
        </w:numPr>
        <w:ind w:left="0" w:firstLine="420"/>
        <w:rPr>
          <w:rFonts w:ascii="宋体" w:hAnsi="宋体" w:cs="仿宋_GB2312"/>
          <w:color w:val="000000"/>
          <w:szCs w:val="21"/>
        </w:rPr>
      </w:pPr>
      <w:r>
        <w:rPr>
          <w:rFonts w:hint="eastAsia" w:ascii="宋体" w:hAnsi="宋体" w:cs="仿宋_GB2312"/>
          <w:color w:val="000000"/>
          <w:szCs w:val="21"/>
        </w:rPr>
        <w:t>幕墙结构构件（材料）、连接构造、功能性构造等检测</w:t>
      </w:r>
    </w:p>
    <w:p>
      <w:pPr>
        <w:pStyle w:val="71"/>
        <w:numPr>
          <w:ilvl w:val="0"/>
          <w:numId w:val="11"/>
        </w:numPr>
        <w:ind w:left="0" w:firstLine="420"/>
        <w:rPr>
          <w:rFonts w:ascii="宋体" w:hAnsi="宋体" w:cs="仿宋_GB2312"/>
          <w:color w:val="000000"/>
          <w:szCs w:val="21"/>
        </w:rPr>
      </w:pPr>
      <w:r>
        <w:rPr>
          <w:rFonts w:hint="eastAsia" w:ascii="宋体" w:hAnsi="宋体" w:cs="仿宋_GB2312"/>
          <w:color w:val="000000"/>
          <w:szCs w:val="21"/>
        </w:rPr>
        <w:t>对混凝土、钢结构进行可靠性鉴定、抗震鉴定；</w:t>
      </w:r>
    </w:p>
    <w:p>
      <w:pPr>
        <w:pStyle w:val="71"/>
        <w:numPr>
          <w:ilvl w:val="0"/>
          <w:numId w:val="11"/>
        </w:numPr>
        <w:ind w:left="0" w:firstLine="420"/>
        <w:rPr>
          <w:rFonts w:ascii="宋体" w:hAnsi="宋体" w:cs="仿宋_GB2312"/>
          <w:color w:val="000000"/>
          <w:szCs w:val="21"/>
        </w:rPr>
      </w:pPr>
      <w:r>
        <w:rPr>
          <w:rFonts w:hint="eastAsia" w:ascii="宋体" w:hAnsi="宋体" w:cs="仿宋_GB2312"/>
          <w:color w:val="000000"/>
          <w:szCs w:val="21"/>
        </w:rPr>
        <w:t>对幕墙进行安全性鉴定；</w:t>
      </w:r>
    </w:p>
    <w:p>
      <w:pPr>
        <w:pStyle w:val="71"/>
        <w:numPr>
          <w:ilvl w:val="0"/>
          <w:numId w:val="11"/>
        </w:numPr>
        <w:ind w:left="0" w:firstLine="420"/>
        <w:rPr>
          <w:rFonts w:ascii="宋体" w:hAnsi="宋体" w:cs="仿宋_GB2312"/>
          <w:color w:val="000000"/>
          <w:szCs w:val="21"/>
        </w:rPr>
      </w:pPr>
      <w:r>
        <w:rPr>
          <w:rFonts w:hint="eastAsia" w:ascii="宋体" w:hAnsi="宋体" w:cs="仿宋_GB2312"/>
          <w:color w:val="000000"/>
          <w:szCs w:val="21"/>
        </w:rPr>
        <w:t>提出相应处理建议。</w:t>
      </w:r>
    </w:p>
    <w:p>
      <w:pPr>
        <w:ind w:firstLine="420" w:firstLineChars="200"/>
        <w:rPr>
          <w:rFonts w:ascii="宋体" w:hAnsi="宋体" w:cs="仿宋_GB2312"/>
          <w:color w:val="000000"/>
          <w:szCs w:val="21"/>
        </w:rPr>
      </w:pPr>
      <w:r>
        <w:rPr>
          <w:rFonts w:hint="eastAsia" w:ascii="宋体" w:hAnsi="宋体" w:cs="仿宋_GB2312"/>
          <w:color w:val="000000"/>
          <w:szCs w:val="21"/>
        </w:rPr>
        <w:t>2.检测和鉴定时不得损害建筑物本身结构安全，否则按照损害程度经专业机构鉴定后赔偿。</w:t>
      </w:r>
    </w:p>
    <w:p>
      <w:pPr>
        <w:ind w:firstLine="420" w:firstLineChars="200"/>
        <w:rPr>
          <w:rFonts w:ascii="宋体" w:hAnsi="宋体" w:cs="仿宋_GB2312"/>
          <w:color w:val="000000"/>
          <w:szCs w:val="21"/>
        </w:rPr>
      </w:pPr>
      <w:r>
        <w:rPr>
          <w:rFonts w:hint="eastAsia" w:ascii="宋体" w:hAnsi="宋体" w:cs="仿宋_GB2312"/>
          <w:color w:val="000000"/>
          <w:szCs w:val="21"/>
        </w:rPr>
        <w:t>3.进行建筑物检测和鉴定时应采取错峰作业，尽量减少对场馆运营的影响。</w:t>
      </w:r>
    </w:p>
    <w:p>
      <w:pPr>
        <w:ind w:firstLine="420" w:firstLineChars="200"/>
        <w:rPr>
          <w:rFonts w:ascii="宋体" w:hAnsi="宋体" w:cs="仿宋_GB2312"/>
          <w:color w:val="000000"/>
          <w:szCs w:val="21"/>
        </w:rPr>
      </w:pPr>
      <w:r>
        <w:rPr>
          <w:rFonts w:hint="eastAsia" w:ascii="宋体" w:hAnsi="宋体" w:cs="仿宋_GB2312"/>
          <w:color w:val="000000"/>
          <w:szCs w:val="21"/>
        </w:rPr>
        <w:t>4.进行建筑物检测测点修复。</w:t>
      </w:r>
    </w:p>
    <w:p>
      <w:pPr>
        <w:ind w:firstLine="421" w:firstLineChars="200"/>
        <w:rPr>
          <w:b/>
        </w:rPr>
      </w:pPr>
      <w:r>
        <w:rPr>
          <w:rFonts w:hint="eastAsia"/>
          <w:b/>
        </w:rPr>
        <w:t>（四）服务团队要求</w:t>
      </w:r>
    </w:p>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1.</w:t>
      </w:r>
      <w:r>
        <w:rPr>
          <w:rFonts w:hint="eastAsia" w:asciiTheme="minorEastAsia" w:hAnsiTheme="minorEastAsia" w:eastAsiaTheme="minorEastAsia" w:cstheme="minorEastAsia"/>
          <w:b/>
          <w:szCs w:val="21"/>
        </w:rPr>
        <w:t>项目人员需求一览表</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399"/>
        <w:gridCol w:w="1433"/>
        <w:gridCol w:w="2512"/>
        <w:gridCol w:w="2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序号</w:t>
            </w:r>
          </w:p>
        </w:tc>
        <w:tc>
          <w:tcPr>
            <w:tcW w:w="81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★人员类别</w:t>
            </w:r>
          </w:p>
        </w:tc>
        <w:tc>
          <w:tcPr>
            <w:tcW w:w="84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★数量</w:t>
            </w:r>
          </w:p>
        </w:tc>
        <w:tc>
          <w:tcPr>
            <w:tcW w:w="14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★人员必须具备条件</w:t>
            </w:r>
          </w:p>
        </w:tc>
        <w:tc>
          <w:tcPr>
            <w:tcW w:w="1473"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人员</w:t>
            </w:r>
            <w:r>
              <w:rPr>
                <w:rFonts w:hint="eastAsia" w:asciiTheme="minorEastAsia" w:hAnsiTheme="minorEastAsia" w:eastAsiaTheme="minorEastAsia" w:cstheme="minorEastAsia"/>
                <w:szCs w:val="21"/>
                <w:highlight w:val="none"/>
                <w:lang w:val="en-US" w:eastAsia="zh-CN"/>
              </w:rPr>
              <w:t>可偏离</w:t>
            </w:r>
            <w:r>
              <w:rPr>
                <w:rFonts w:hint="eastAsia" w:asciiTheme="minorEastAsia" w:hAnsiTheme="minorEastAsia" w:eastAsiaTheme="minorEastAsia" w:cstheme="minorEastAsia"/>
                <w:szCs w:val="21"/>
                <w:highlight w:val="none"/>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81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项目负责人</w:t>
            </w:r>
          </w:p>
        </w:tc>
        <w:tc>
          <w:tcPr>
            <w:tcW w:w="84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1人</w:t>
            </w:r>
          </w:p>
        </w:tc>
        <w:tc>
          <w:tcPr>
            <w:tcW w:w="14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1.自有员工</w:t>
            </w:r>
          </w:p>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2.项目负责人应当从事建筑幕墙相关专业工作五年以上，并具有设计、施工或检测相关专业中级及以上专业技术职称。</w:t>
            </w:r>
          </w:p>
        </w:tc>
        <w:tc>
          <w:tcPr>
            <w:tcW w:w="1473" w:type="pct"/>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stheme="minorEastAsia"/>
                <w:szCs w:val="21"/>
                <w:highlight w:val="none"/>
              </w:rPr>
            </w:pPr>
            <w:r>
              <w:rPr>
                <w:rFonts w:hint="eastAsia"/>
                <w:highlight w:val="none"/>
                <w:lang w:val="zh-CN"/>
              </w:rPr>
              <w:t>具有建筑结构高级</w:t>
            </w:r>
            <w:r>
              <w:rPr>
                <w:rFonts w:hint="eastAsia"/>
                <w:highlight w:val="none"/>
              </w:rPr>
              <w:t>（包含副高级）</w:t>
            </w:r>
            <w:r>
              <w:rPr>
                <w:rFonts w:hint="eastAsia"/>
                <w:highlight w:val="none"/>
                <w:lang w:val="en-US" w:eastAsia="zh-CN"/>
              </w:rPr>
              <w:t>或以上</w:t>
            </w:r>
            <w:r>
              <w:rPr>
                <w:rFonts w:hint="eastAsia"/>
                <w:highlight w:val="none"/>
                <w:lang w:val="zh-CN"/>
              </w:rPr>
              <w:t>工程师职称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jc w:val="center"/>
        </w:trPr>
        <w:tc>
          <w:tcPr>
            <w:tcW w:w="39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2</w:t>
            </w:r>
          </w:p>
        </w:tc>
        <w:tc>
          <w:tcPr>
            <w:tcW w:w="819"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项目团队成员</w:t>
            </w:r>
          </w:p>
        </w:tc>
        <w:tc>
          <w:tcPr>
            <w:tcW w:w="84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大于等于3</w:t>
            </w:r>
            <w:r>
              <w:rPr>
                <w:rFonts w:asciiTheme="minorEastAsia" w:hAnsiTheme="minorEastAsia" w:eastAsiaTheme="minorEastAsia" w:cstheme="minorEastAsia"/>
                <w:szCs w:val="21"/>
                <w:highlight w:val="none"/>
              </w:rPr>
              <w:t>0</w:t>
            </w:r>
            <w:r>
              <w:rPr>
                <w:rFonts w:hint="eastAsia" w:asciiTheme="minorEastAsia" w:hAnsiTheme="minorEastAsia" w:eastAsiaTheme="minorEastAsia" w:cstheme="minorEastAsia"/>
                <w:szCs w:val="21"/>
                <w:highlight w:val="none"/>
              </w:rPr>
              <w:t>人</w:t>
            </w:r>
          </w:p>
        </w:tc>
        <w:tc>
          <w:tcPr>
            <w:tcW w:w="1473" w:type="pct"/>
            <w:tcBorders>
              <w:top w:val="single" w:color="auto" w:sz="4" w:space="0"/>
              <w:left w:val="single" w:color="auto" w:sz="4" w:space="0"/>
              <w:bottom w:val="single" w:color="auto" w:sz="4" w:space="0"/>
              <w:right w:val="single" w:color="auto" w:sz="4" w:space="0"/>
            </w:tcBorders>
            <w:vAlign w:val="center"/>
          </w:tcPr>
          <w:p>
            <w:pPr>
              <w:pStyle w:val="19"/>
              <w:rPr>
                <w:b w:val="0"/>
                <w:bCs w:val="0"/>
                <w:sz w:val="21"/>
                <w:highlight w:val="none"/>
              </w:rPr>
            </w:pPr>
            <w:r>
              <w:rPr>
                <w:rFonts w:hint="eastAsia"/>
                <w:b w:val="0"/>
                <w:bCs w:val="0"/>
                <w:sz w:val="21"/>
                <w:highlight w:val="none"/>
              </w:rPr>
              <w:t>1.自有员工</w:t>
            </w:r>
          </w:p>
          <w:p>
            <w:pPr>
              <w:pStyle w:val="19"/>
              <w:rPr>
                <w:highlight w:val="none"/>
              </w:rPr>
            </w:pPr>
            <w:r>
              <w:rPr>
                <w:b w:val="0"/>
                <w:bCs w:val="0"/>
                <w:sz w:val="21"/>
                <w:highlight w:val="none"/>
              </w:rPr>
              <w:t>2.</w:t>
            </w:r>
            <w:r>
              <w:rPr>
                <w:rFonts w:hint="eastAsia"/>
                <w:b w:val="0"/>
                <w:bCs w:val="0"/>
                <w:sz w:val="21"/>
                <w:highlight w:val="none"/>
              </w:rPr>
              <w:t>技术负责人应当从事建筑幕墙相关专业工作十年以上，并具有设计、施工或检测等相关专业高级专业技术职称</w:t>
            </w:r>
          </w:p>
        </w:tc>
        <w:tc>
          <w:tcPr>
            <w:tcW w:w="1473" w:type="pct"/>
            <w:tcBorders>
              <w:top w:val="single" w:color="auto" w:sz="4" w:space="0"/>
              <w:left w:val="single" w:color="auto" w:sz="4" w:space="0"/>
              <w:bottom w:val="single" w:color="auto" w:sz="4" w:space="0"/>
              <w:right w:val="single" w:color="auto" w:sz="4" w:space="0"/>
            </w:tcBorders>
            <w:vAlign w:val="center"/>
          </w:tcPr>
          <w:p>
            <w:pPr>
              <w:pStyle w:val="71"/>
              <w:numPr>
                <w:ilvl w:val="0"/>
                <w:numId w:val="0"/>
              </w:numPr>
              <w:rPr>
                <w:rFonts w:ascii="宋体" w:hAnsi="宋体" w:cs="仿宋_GB2312"/>
                <w:szCs w:val="21"/>
                <w:highlight w:val="none"/>
                <w:lang w:val="zh-CN"/>
              </w:rPr>
            </w:pPr>
            <w:r>
              <w:rPr>
                <w:rFonts w:hint="eastAsia" w:ascii="宋体" w:hAnsi="宋体" w:cs="仿宋_GB2312"/>
                <w:szCs w:val="21"/>
                <w:highlight w:val="none"/>
                <w:lang w:val="en-US" w:eastAsia="zh-CN"/>
              </w:rPr>
              <w:t>1.</w:t>
            </w:r>
            <w:r>
              <w:rPr>
                <w:rFonts w:hint="eastAsia" w:ascii="宋体" w:hAnsi="宋体" w:cs="仿宋_GB2312"/>
                <w:szCs w:val="21"/>
                <w:highlight w:val="none"/>
                <w:lang w:val="zh-CN"/>
              </w:rPr>
              <w:t>具有建筑结构高级工程师职称及一级注册结构工程师；</w:t>
            </w:r>
          </w:p>
          <w:p>
            <w:pPr>
              <w:pStyle w:val="71"/>
              <w:numPr>
                <w:ilvl w:val="0"/>
                <w:numId w:val="0"/>
              </w:numPr>
              <w:rPr>
                <w:rFonts w:ascii="宋体" w:hAnsi="宋体" w:cs="仿宋_GB2312"/>
                <w:szCs w:val="21"/>
                <w:highlight w:val="none"/>
                <w:lang w:val="zh-CN"/>
              </w:rPr>
            </w:pPr>
            <w:r>
              <w:rPr>
                <w:rFonts w:hint="eastAsia" w:ascii="宋体" w:hAnsi="宋体" w:cs="仿宋_GB2312"/>
                <w:szCs w:val="21"/>
                <w:highlight w:val="none"/>
                <w:lang w:val="en-US" w:eastAsia="zh-CN"/>
              </w:rPr>
              <w:t>2.</w:t>
            </w:r>
            <w:r>
              <w:rPr>
                <w:rFonts w:hint="eastAsia" w:ascii="宋体" w:hAnsi="宋体" w:cs="仿宋_GB2312"/>
                <w:szCs w:val="21"/>
                <w:highlight w:val="none"/>
                <w:lang w:val="zh-CN"/>
              </w:rPr>
              <w:t>具有建筑结构中级工程师或以上职称证书；</w:t>
            </w:r>
          </w:p>
          <w:p>
            <w:pPr>
              <w:pStyle w:val="71"/>
              <w:numPr>
                <w:ilvl w:val="0"/>
                <w:numId w:val="0"/>
              </w:numPr>
              <w:ind w:leftChars="0"/>
              <w:rPr>
                <w:rFonts w:ascii="宋体" w:hAnsi="宋体" w:cs="仿宋_GB2312"/>
                <w:szCs w:val="21"/>
                <w:highlight w:val="none"/>
                <w:lang w:val="zh-CN"/>
              </w:rPr>
            </w:pPr>
            <w:r>
              <w:rPr>
                <w:rFonts w:hint="eastAsia" w:ascii="宋体" w:hAnsi="宋体" w:cs="仿宋_GB2312"/>
                <w:szCs w:val="21"/>
                <w:highlight w:val="none"/>
                <w:lang w:val="en-US" w:eastAsia="zh-CN"/>
              </w:rPr>
              <w:t>3.</w:t>
            </w:r>
            <w:r>
              <w:rPr>
                <w:rFonts w:hint="eastAsia" w:ascii="宋体" w:hAnsi="宋体" w:cs="仿宋_GB2312"/>
                <w:szCs w:val="21"/>
                <w:highlight w:val="none"/>
                <w:lang w:val="zh-CN"/>
              </w:rPr>
              <w:t>具有检测鉴定培训合格员证。</w:t>
            </w:r>
          </w:p>
          <w:p>
            <w:pPr>
              <w:pStyle w:val="19"/>
              <w:rPr>
                <w:b w:val="0"/>
                <w:bCs w:val="0"/>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213" w:type="pct"/>
            <w:gridSpan w:val="2"/>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合计</w:t>
            </w:r>
          </w:p>
        </w:tc>
        <w:tc>
          <w:tcPr>
            <w:tcW w:w="840"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大于等于31人</w:t>
            </w:r>
          </w:p>
        </w:tc>
        <w:tc>
          <w:tcPr>
            <w:tcW w:w="14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highlight w:val="none"/>
              </w:rPr>
            </w:pPr>
          </w:p>
        </w:tc>
        <w:tc>
          <w:tcPr>
            <w:tcW w:w="1473"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highlight w:val="none"/>
              </w:rPr>
            </w:pPr>
          </w:p>
        </w:tc>
      </w:tr>
    </w:tbl>
    <w:p>
      <w:pPr>
        <w:rPr>
          <w:b/>
          <w:sz w:val="24"/>
        </w:rPr>
      </w:pPr>
    </w:p>
    <w:p>
      <w:pPr>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lang w:val="en-US" w:eastAsia="zh-CN"/>
        </w:rPr>
        <w:t>2.外部技术支持人员</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982"/>
        <w:gridCol w:w="2031"/>
        <w:gridCol w:w="3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5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序号</w:t>
            </w:r>
          </w:p>
        </w:tc>
        <w:tc>
          <w:tcPr>
            <w:tcW w:w="1162"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人员类别</w:t>
            </w:r>
          </w:p>
        </w:tc>
        <w:tc>
          <w:tcPr>
            <w:tcW w:w="119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数量</w:t>
            </w:r>
          </w:p>
        </w:tc>
        <w:tc>
          <w:tcPr>
            <w:tcW w:w="208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人员</w:t>
            </w:r>
            <w:r>
              <w:rPr>
                <w:rFonts w:hint="eastAsia" w:asciiTheme="minorEastAsia" w:hAnsiTheme="minorEastAsia" w:eastAsiaTheme="minorEastAsia" w:cstheme="minorEastAsia"/>
                <w:szCs w:val="21"/>
                <w:highlight w:val="none"/>
                <w:lang w:val="en-US" w:eastAsia="zh-CN"/>
              </w:rPr>
              <w:t>可偏离</w:t>
            </w:r>
            <w:r>
              <w:rPr>
                <w:rFonts w:hint="eastAsia" w:asciiTheme="minorEastAsia" w:hAnsiTheme="minorEastAsia" w:eastAsiaTheme="minorEastAsia" w:cstheme="minorEastAsia"/>
                <w:szCs w:val="21"/>
                <w:highlight w:val="none"/>
              </w:rPr>
              <w:t>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55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w:t>
            </w:r>
          </w:p>
        </w:tc>
        <w:tc>
          <w:tcPr>
            <w:tcW w:w="1162"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highlight w:val="none"/>
              </w:rPr>
            </w:pPr>
            <w:r>
              <w:rPr>
                <w:rFonts w:hint="eastAsia" w:ascii="宋体" w:hAnsi="宋体" w:cs="仿宋_GB2312"/>
                <w:szCs w:val="21"/>
                <w:highlight w:val="none"/>
                <w:lang w:val="zh-CN"/>
              </w:rPr>
              <w:t>外部技术支持人员</w:t>
            </w:r>
          </w:p>
        </w:tc>
        <w:tc>
          <w:tcPr>
            <w:tcW w:w="1191"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lang w:val="en-US" w:eastAsia="zh-CN"/>
              </w:rPr>
              <w:t>11</w:t>
            </w:r>
            <w:r>
              <w:rPr>
                <w:rFonts w:hint="eastAsia" w:asciiTheme="minorEastAsia" w:hAnsiTheme="minorEastAsia" w:eastAsiaTheme="minorEastAsia" w:cstheme="minorEastAsia"/>
                <w:szCs w:val="21"/>
                <w:highlight w:val="none"/>
              </w:rPr>
              <w:t>人</w:t>
            </w:r>
          </w:p>
        </w:tc>
        <w:tc>
          <w:tcPr>
            <w:tcW w:w="2088" w:type="pct"/>
            <w:tcBorders>
              <w:top w:val="single" w:color="auto" w:sz="4" w:space="0"/>
              <w:left w:val="single" w:color="auto" w:sz="4" w:space="0"/>
              <w:bottom w:val="single" w:color="auto" w:sz="4" w:space="0"/>
              <w:right w:val="single" w:color="auto" w:sz="4" w:space="0"/>
            </w:tcBorders>
            <w:vAlign w:val="center"/>
          </w:tcPr>
          <w:p>
            <w:pPr>
              <w:pStyle w:val="19"/>
              <w:rPr>
                <w:b w:val="0"/>
                <w:bCs w:val="0"/>
                <w:sz w:val="21"/>
                <w:highlight w:val="none"/>
                <w:lang w:val="zh-CN"/>
              </w:rPr>
            </w:pPr>
            <w:r>
              <w:rPr>
                <w:rFonts w:hint="eastAsia"/>
                <w:b w:val="0"/>
                <w:bCs w:val="0"/>
                <w:sz w:val="21"/>
                <w:highlight w:val="none"/>
                <w:lang w:val="en-US" w:eastAsia="zh-CN"/>
              </w:rPr>
              <w:t>1.</w:t>
            </w:r>
            <w:r>
              <w:rPr>
                <w:rFonts w:hint="eastAsia"/>
                <w:b w:val="0"/>
                <w:bCs w:val="0"/>
                <w:sz w:val="21"/>
                <w:highlight w:val="none"/>
                <w:lang w:val="zh-CN"/>
              </w:rPr>
              <w:t>具有建筑结构高级工程师职称及一级注册结构工程师的；</w:t>
            </w:r>
          </w:p>
          <w:p>
            <w:pPr>
              <w:rPr>
                <w:rFonts w:asciiTheme="minorEastAsia" w:hAnsiTheme="minorEastAsia" w:eastAsiaTheme="minorEastAsia" w:cstheme="minorEastAsia"/>
                <w:szCs w:val="21"/>
                <w:highlight w:val="none"/>
              </w:rPr>
            </w:pPr>
            <w:r>
              <w:rPr>
                <w:rFonts w:hint="eastAsia"/>
                <w:b w:val="0"/>
                <w:bCs w:val="0"/>
                <w:sz w:val="21"/>
                <w:highlight w:val="none"/>
                <w:lang w:val="en-US" w:eastAsia="zh-CN"/>
              </w:rPr>
              <w:t>2.</w:t>
            </w:r>
            <w:r>
              <w:rPr>
                <w:rFonts w:hint="eastAsia"/>
                <w:b w:val="0"/>
                <w:bCs w:val="0"/>
                <w:sz w:val="21"/>
                <w:highlight w:val="none"/>
                <w:lang w:val="zh-CN"/>
              </w:rPr>
              <w:t>具有建筑结构中级工程师或以上职称证书的；</w:t>
            </w:r>
          </w:p>
        </w:tc>
      </w:tr>
    </w:tbl>
    <w:p>
      <w:pPr>
        <w:pStyle w:val="6"/>
        <w:spacing w:before="120" w:beforeLines="50" w:after="120" w:afterLines="50"/>
        <w:rPr>
          <w:rFonts w:hint="eastAsia"/>
          <w:szCs w:val="24"/>
        </w:rPr>
      </w:pPr>
    </w:p>
    <w:p>
      <w:pPr>
        <w:pStyle w:val="6"/>
        <w:spacing w:before="120" w:beforeLines="50" w:after="120" w:afterLines="50"/>
        <w:rPr>
          <w:szCs w:val="24"/>
        </w:rPr>
      </w:pPr>
      <w:r>
        <w:rPr>
          <w:rFonts w:hint="eastAsia"/>
          <w:szCs w:val="24"/>
        </w:rPr>
        <w:t>六、商务要求</w:t>
      </w:r>
    </w:p>
    <w:p>
      <w:pPr>
        <w:spacing w:line="276" w:lineRule="auto"/>
        <w:ind w:firstLine="421" w:firstLineChars="200"/>
        <w:rPr>
          <w:rFonts w:ascii="宋体" w:hAnsi="宋体" w:cs="宋体"/>
          <w:b/>
        </w:rPr>
      </w:pPr>
      <w:r>
        <w:rPr>
          <w:rFonts w:hint="eastAsia" w:ascii="宋体" w:hAnsi="宋体" w:cs="宋体"/>
          <w:b/>
        </w:rPr>
        <w:t>（一）项目服务期限</w:t>
      </w:r>
    </w:p>
    <w:p>
      <w:pPr>
        <w:spacing w:line="276" w:lineRule="auto"/>
        <w:ind w:firstLine="421" w:firstLineChars="200"/>
        <w:rPr>
          <w:rFonts w:ascii="宋体" w:hAnsi="宋体" w:cs="宋体"/>
          <w:b/>
        </w:rPr>
      </w:pPr>
      <w:r>
        <w:rPr>
          <w:rFonts w:hint="eastAsia" w:ascii="宋体" w:hAnsi="宋体"/>
          <w:b/>
          <w:bCs/>
          <w:color w:val="FF0000"/>
        </w:rPr>
        <w:t>★</w:t>
      </w:r>
      <w:r>
        <w:rPr>
          <w:rFonts w:hint="eastAsia" w:ascii="宋体" w:hAnsi="宋体" w:cs="宋体"/>
          <w:b/>
          <w:color w:val="FF0000"/>
        </w:rPr>
        <w:t>服务期：本项目服务期限为自合同签订或约定之日起</w:t>
      </w:r>
      <w:r>
        <w:rPr>
          <w:rFonts w:hint="eastAsia" w:ascii="宋体" w:hAnsi="宋体" w:cs="宋体"/>
          <w:b/>
          <w:color w:val="FF0000"/>
          <w:szCs w:val="21"/>
        </w:rPr>
        <w:t>100天</w:t>
      </w:r>
      <w:r>
        <w:rPr>
          <w:rFonts w:hint="eastAsia" w:ascii="宋体" w:hAnsi="宋体" w:cs="宋体"/>
          <w:b/>
          <w:color w:val="FF0000"/>
        </w:rPr>
        <w:t>。</w:t>
      </w:r>
    </w:p>
    <w:p>
      <w:pPr>
        <w:spacing w:line="276" w:lineRule="auto"/>
        <w:ind w:firstLine="421" w:firstLineChars="200"/>
        <w:rPr>
          <w:rFonts w:ascii="宋体" w:hAnsi="宋体" w:cs="宋体"/>
          <w:b/>
        </w:rPr>
      </w:pPr>
      <w:r>
        <w:rPr>
          <w:rFonts w:hint="eastAsia" w:ascii="宋体" w:hAnsi="宋体" w:cs="宋体"/>
          <w:b/>
        </w:rPr>
        <w:t>（二）付款方式</w:t>
      </w:r>
    </w:p>
    <w:p>
      <w:pPr>
        <w:spacing w:line="276" w:lineRule="auto"/>
        <w:ind w:firstLine="420" w:firstLineChars="200"/>
        <w:rPr>
          <w:rFonts w:ascii="宋体" w:hAnsi="宋体" w:cs="宋体"/>
        </w:rPr>
      </w:pPr>
      <w:r>
        <w:rPr>
          <w:rFonts w:hint="eastAsia" w:ascii="宋体" w:hAnsi="宋体" w:cs="宋体"/>
        </w:rPr>
        <w:t>签订合同时按深圳市龙岗区财政局的相关规定办理支付。</w:t>
      </w:r>
    </w:p>
    <w:p>
      <w:pPr>
        <w:ind w:firstLine="420" w:firstLineChars="200"/>
        <w:rPr>
          <w:rFonts w:asciiTheme="minorEastAsia" w:hAnsiTheme="minorEastAsia" w:eastAsiaTheme="minorEastAsia"/>
        </w:rPr>
      </w:pPr>
    </w:p>
    <w:p/>
    <w:p>
      <w:pPr>
        <w:pStyle w:val="6"/>
        <w:spacing w:before="120" w:beforeLines="50" w:after="120" w:afterLines="50"/>
        <w:rPr>
          <w:szCs w:val="24"/>
        </w:rPr>
      </w:pPr>
      <w:r>
        <w:rPr>
          <w:rFonts w:hint="eastAsia"/>
          <w:szCs w:val="24"/>
        </w:rPr>
        <w:t>七、其他重要条款</w:t>
      </w:r>
    </w:p>
    <w:p>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pStyle w:val="8"/>
        <w:spacing w:before="60" w:beforeLines="25" w:after="60" w:afterLines="25"/>
        <w:ind w:firstLine="392" w:firstLineChars="187"/>
        <w:rPr>
          <w:rFonts w:ascii="宋体" w:hAnsi="宋体"/>
          <w:szCs w:val="21"/>
        </w:rPr>
      </w:pPr>
      <w:r>
        <w:rPr>
          <w:bCs/>
          <w:szCs w:val="21"/>
        </w:rPr>
        <w:t>2</w:t>
      </w:r>
      <w:r>
        <w:rPr>
          <w:rFonts w:hint="eastAsia"/>
          <w:bCs/>
          <w:szCs w:val="21"/>
        </w:rPr>
        <w:t>、投标人应充分了解项目的位置、情况、道路及任何其它足以影响投标报价的情况，任何因忽视或误解项目情况而导致的索赔或服务期限延长申请将不获批准。</w:t>
      </w:r>
    </w:p>
    <w:p>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pPr>
        <w:ind w:firstLine="420" w:firstLineChars="200"/>
        <w:rPr>
          <w:bCs/>
          <w:szCs w:val="21"/>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pPr>
        <w:pStyle w:val="8"/>
        <w:spacing w:before="60" w:beforeLines="25" w:after="60" w:afterLines="25"/>
        <w:ind w:firstLine="392" w:firstLineChars="187"/>
        <w:rPr>
          <w:rFonts w:ascii="宋体" w:hAnsi="宋体"/>
          <w:szCs w:val="21"/>
        </w:rPr>
      </w:pPr>
    </w:p>
    <w:p>
      <w:pPr>
        <w:pStyle w:val="8"/>
        <w:spacing w:before="60" w:beforeLines="25" w:after="60" w:afterLines="25"/>
        <w:ind w:firstLine="392" w:firstLineChars="187"/>
        <w:rPr>
          <w:rFonts w:ascii="宋体" w:hAnsi="宋体"/>
          <w:szCs w:val="21"/>
        </w:rPr>
      </w:pPr>
    </w:p>
    <w:p>
      <w:r>
        <w:rPr>
          <w:rFonts w:hint="eastAsia"/>
        </w:rPr>
        <w:br w:type="page"/>
      </w:r>
    </w:p>
    <w:p>
      <w:pPr>
        <w:pStyle w:val="6"/>
        <w:rPr>
          <w:kern w:val="2"/>
        </w:rPr>
      </w:pPr>
      <w:r>
        <w:rPr>
          <w:rFonts w:hint="eastAsia"/>
          <w:kern w:val="2"/>
        </w:rPr>
        <w:t>第四章 投标文件组成要求及格式</w:t>
      </w:r>
    </w:p>
    <w:p>
      <w:pPr>
        <w:rPr>
          <w:rStyle w:val="56"/>
          <w:sz w:val="24"/>
        </w:rPr>
      </w:pPr>
      <w:r>
        <w:rPr>
          <w:rStyle w:val="56"/>
          <w:rFonts w:hint="eastAsia"/>
          <w:sz w:val="24"/>
        </w:rPr>
        <w:t>特别提醒：</w:t>
      </w:r>
    </w:p>
    <w:p>
      <w:pPr>
        <w:ind w:firstLine="480" w:firstLineChars="200"/>
        <w:rPr>
          <w:rFonts w:ascii="仿宋_GB2312" w:eastAsia="仿宋_GB2312"/>
          <w:sz w:val="24"/>
        </w:rPr>
      </w:pPr>
      <w:r>
        <w:rPr>
          <w:rFonts w:hint="eastAsia" w:ascii="仿宋_GB2312" w:eastAsia="仿宋_GB2312"/>
          <w:sz w:val="24"/>
        </w:rPr>
        <w:t>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rPr>
          <w:rFonts w:ascii="仿宋_GB2312" w:eastAsia="仿宋_GB2312"/>
          <w:sz w:val="24"/>
        </w:rPr>
      </w:pPr>
      <w:r>
        <w:rPr>
          <w:rFonts w:hint="eastAsia" w:ascii="仿宋_GB2312" w:eastAsia="仿宋_GB2312"/>
          <w:sz w:val="24"/>
        </w:rPr>
        <w:t xml:space="preserve">    投标文件正文（信息公开部分）必须编制于“正文（公开部分）”，投标文件附件（非信息公开部分）必须编制于“附件（不公开部分）”，如下图所示。</w:t>
      </w:r>
    </w:p>
    <w:p>
      <w:pPr>
        <w:widowControl/>
        <w:jc w:val="left"/>
        <w:rPr>
          <w:rFonts w:ascii="宋体" w:hAnsi="宋体" w:cs="宋体"/>
          <w:kern w:val="0"/>
          <w:sz w:val="24"/>
        </w:rPr>
      </w:pPr>
      <w:r>
        <w:drawing>
          <wp:inline distT="0" distB="0" distL="114300" distR="114300">
            <wp:extent cx="5203190" cy="4043045"/>
            <wp:effectExtent l="0" t="0" r="8890" b="10795"/>
            <wp:docPr id="8" name="图片 1" descr="c66f322b8feee32c1a3f0d48f365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66f322b8feee32c1a3f0d48f365c82"/>
                    <pic:cNvPicPr>
                      <a:picLocks noChangeAspect="1"/>
                    </pic:cNvPicPr>
                  </pic:nvPicPr>
                  <pic:blipFill>
                    <a:blip r:embed="rId7"/>
                    <a:stretch>
                      <a:fillRect/>
                    </a:stretch>
                  </pic:blipFill>
                  <pic:spPr>
                    <a:xfrm>
                      <a:off x="0" y="0"/>
                      <a:ext cx="5203190" cy="4043045"/>
                    </a:xfrm>
                    <a:prstGeom prst="rect">
                      <a:avLst/>
                    </a:prstGeom>
                  </pic:spPr>
                </pic:pic>
              </a:graphicData>
            </a:graphic>
          </wp:inline>
        </w:drawing>
      </w:r>
    </w:p>
    <w:p>
      <w:pPr>
        <w:ind w:firstLine="480" w:firstLineChars="200"/>
        <w:rPr>
          <w:rFonts w:ascii="仿宋_GB2312" w:eastAsia="仿宋_GB2312"/>
          <w:sz w:val="24"/>
        </w:rPr>
      </w:pPr>
      <w:r>
        <w:rPr>
          <w:rFonts w:hint="eastAsia" w:ascii="仿宋_GB2312" w:eastAsia="仿宋_GB2312"/>
          <w:sz w:val="24"/>
        </w:rPr>
        <w:t>政府集中采购机构公布投标文件正文（信息公开部分）时为计算机截取信息自动公布，</w:t>
      </w:r>
      <w:r>
        <w:rPr>
          <w:rFonts w:hint="eastAsia" w:ascii="仿宋_GB2312" w:eastAsia="仿宋_GB2312"/>
          <w:b/>
          <w:bCs/>
          <w:sz w:val="24"/>
        </w:rPr>
        <w:t>如投标人误将涉及个人隐私的信息放入投标文件正文，相关后果由投标人自负；</w:t>
      </w:r>
      <w:r>
        <w:rPr>
          <w:rFonts w:hint="eastAsia" w:ascii="仿宋_GB2312" w:eastAsia="仿宋_GB2312"/>
          <w:sz w:val="24"/>
          <w:highlight w:val="yellow"/>
        </w:rPr>
        <w:t>如投标人将必须放于投标文件正文（信息公开部分）的内容放入投标文件附件（非信息公开部分），将作投标无效处理。</w:t>
      </w:r>
    </w:p>
    <w:p>
      <w:pPr>
        <w:ind w:firstLine="480" w:firstLineChars="200"/>
        <w:rPr>
          <w:rFonts w:ascii="仿宋_GB2312" w:eastAsia="仿宋_GB2312"/>
          <w:sz w:val="24"/>
        </w:rPr>
      </w:pPr>
    </w:p>
    <w:p>
      <w:pPr>
        <w:ind w:firstLine="481" w:firstLineChars="200"/>
        <w:rPr>
          <w:rFonts w:ascii="宋体" w:hAnsi="宋体"/>
          <w:b/>
          <w:sz w:val="24"/>
        </w:rPr>
      </w:pPr>
    </w:p>
    <w:p>
      <w:pPr>
        <w:rPr>
          <w:rFonts w:ascii="宋体" w:hAnsi="宋体"/>
          <w:sz w:val="24"/>
        </w:rPr>
      </w:pPr>
      <w:r>
        <w:rPr>
          <w:rFonts w:hint="eastAsia" w:ascii="宋体" w:hAnsi="宋体"/>
          <w:sz w:val="24"/>
        </w:rPr>
        <w:t>投标文件组成：</w:t>
      </w:r>
    </w:p>
    <w:p>
      <w:pPr>
        <w:ind w:firstLine="1200" w:firstLineChars="500"/>
        <w:outlineLvl w:val="0"/>
        <w:rPr>
          <w:rFonts w:ascii="宋体" w:hAnsi="宋体"/>
          <w:sz w:val="24"/>
        </w:rPr>
      </w:pPr>
      <w:r>
        <w:rPr>
          <w:rFonts w:hint="eastAsia" w:ascii="宋体" w:hAnsi="宋体"/>
          <w:sz w:val="24"/>
        </w:rPr>
        <w:t>1.投标文件正文</w:t>
      </w:r>
      <w:r>
        <w:rPr>
          <w:rFonts w:hint="eastAsia" w:ascii="宋体" w:hAnsi="宋体"/>
          <w:b/>
          <w:color w:val="FF0000"/>
          <w:sz w:val="24"/>
        </w:rPr>
        <w:t>（信息公开部分）</w:t>
      </w:r>
      <w:r>
        <w:rPr>
          <w:rFonts w:hint="eastAsia" w:ascii="宋体" w:hAnsi="宋体"/>
          <w:sz w:val="24"/>
        </w:rPr>
        <w:t>，主要包括以下内容：</w:t>
      </w:r>
    </w:p>
    <w:p>
      <w:pPr>
        <w:ind w:left="718" w:leftChars="342" w:firstLine="1417" w:firstLineChars="675"/>
        <w:rPr>
          <w:szCs w:val="21"/>
        </w:rPr>
      </w:pPr>
      <w:r>
        <w:rPr>
          <w:rFonts w:hint="eastAsia"/>
          <w:szCs w:val="21"/>
        </w:rPr>
        <w:t>（1）</w:t>
      </w:r>
      <w:bookmarkStart w:id="32" w:name="_Hlk72070784"/>
      <w:r>
        <w:rPr>
          <w:rFonts w:hint="eastAsia"/>
          <w:szCs w:val="21"/>
        </w:rPr>
        <w:t>投标函</w:t>
      </w:r>
      <w:bookmarkEnd w:id="32"/>
    </w:p>
    <w:p>
      <w:pPr>
        <w:ind w:left="718" w:leftChars="342" w:firstLine="1417" w:firstLineChars="675"/>
        <w:rPr>
          <w:szCs w:val="21"/>
        </w:rPr>
      </w:pPr>
      <w:r>
        <w:rPr>
          <w:rFonts w:hint="eastAsia"/>
          <w:szCs w:val="21"/>
        </w:rPr>
        <w:t>（2）</w:t>
      </w:r>
      <w:bookmarkStart w:id="33" w:name="_Hlk72062521"/>
      <w:r>
        <w:rPr>
          <w:rFonts w:hint="eastAsia"/>
          <w:szCs w:val="21"/>
        </w:rPr>
        <w:t>政府采购投标及履约承诺函</w:t>
      </w:r>
      <w:bookmarkEnd w:id="33"/>
    </w:p>
    <w:p>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pPr>
        <w:ind w:left="718" w:leftChars="342" w:firstLine="1417" w:firstLineChars="675"/>
        <w:rPr>
          <w:rFonts w:ascii="宋体" w:hAnsi="宋体"/>
          <w:szCs w:val="21"/>
        </w:rPr>
      </w:pPr>
      <w:bookmarkStart w:id="34" w:name="_Hlk72257201"/>
      <w:r>
        <w:rPr>
          <w:rFonts w:hint="eastAsia"/>
          <w:szCs w:val="21"/>
        </w:rPr>
        <w:t>（</w:t>
      </w:r>
      <w:r>
        <w:rPr>
          <w:szCs w:val="21"/>
        </w:rPr>
        <w:t>4</w:t>
      </w:r>
      <w:r>
        <w:rPr>
          <w:rFonts w:hint="eastAsia"/>
          <w:szCs w:val="21"/>
        </w:rPr>
        <w:t>）项目详细报价</w:t>
      </w:r>
      <w:bookmarkEnd w:id="34"/>
    </w:p>
    <w:p>
      <w:pPr>
        <w:ind w:left="718" w:leftChars="342" w:firstLine="1417" w:firstLineChars="675"/>
        <w:rPr>
          <w:rFonts w:hint="eastAsia"/>
          <w:szCs w:val="21"/>
        </w:rPr>
      </w:pPr>
      <w:r>
        <w:rPr>
          <w:rFonts w:hint="eastAsia"/>
          <w:szCs w:val="21"/>
        </w:rPr>
        <w:t>（</w:t>
      </w:r>
      <w:r>
        <w:rPr>
          <w:rFonts w:hint="eastAsia"/>
          <w:szCs w:val="21"/>
          <w:lang w:val="en-US" w:eastAsia="zh-CN"/>
        </w:rPr>
        <w:t>5</w:t>
      </w:r>
      <w:r>
        <w:rPr>
          <w:rFonts w:hint="eastAsia"/>
          <w:szCs w:val="21"/>
        </w:rPr>
        <w:t>）联合体投标协议书</w:t>
      </w:r>
    </w:p>
    <w:p>
      <w:pPr>
        <w:ind w:left="718" w:leftChars="342" w:firstLine="1417" w:firstLineChars="675"/>
        <w:rPr>
          <w:rFonts w:ascii="宋体" w:hAnsi="宋体"/>
          <w:szCs w:val="21"/>
        </w:rPr>
      </w:pPr>
      <w:r>
        <w:rPr>
          <w:rFonts w:hint="eastAsia"/>
          <w:szCs w:val="21"/>
        </w:rPr>
        <w:t>（</w:t>
      </w:r>
      <w:r>
        <w:rPr>
          <w:rFonts w:hint="eastAsia"/>
          <w:szCs w:val="21"/>
          <w:lang w:val="en-US" w:eastAsia="zh-CN"/>
        </w:rPr>
        <w:t>6</w:t>
      </w:r>
      <w:r>
        <w:rPr>
          <w:rFonts w:hint="eastAsia"/>
          <w:szCs w:val="21"/>
        </w:rPr>
        <w:t>）</w:t>
      </w:r>
      <w:r>
        <w:rPr>
          <w:rFonts w:hint="eastAsia" w:ascii="宋体" w:hAnsi="宋体" w:cs="仿宋_GB2312"/>
          <w:szCs w:val="21"/>
          <w:lang w:val="zh-CN"/>
        </w:rPr>
        <w:t>同类业绩</w:t>
      </w:r>
    </w:p>
    <w:p>
      <w:pPr>
        <w:ind w:left="718" w:leftChars="342" w:firstLine="1417" w:firstLineChars="675"/>
        <w:rPr>
          <w:rFonts w:ascii="宋体" w:hAnsi="宋体"/>
          <w:szCs w:val="21"/>
        </w:rPr>
      </w:pPr>
      <w:r>
        <w:rPr>
          <w:rFonts w:hint="eastAsia"/>
          <w:szCs w:val="21"/>
        </w:rPr>
        <w:t>（</w:t>
      </w:r>
      <w:r>
        <w:rPr>
          <w:rFonts w:hint="eastAsia"/>
          <w:szCs w:val="21"/>
          <w:lang w:val="en-US" w:eastAsia="zh-CN"/>
        </w:rPr>
        <w:t>7</w:t>
      </w:r>
      <w:r>
        <w:rPr>
          <w:rFonts w:hint="eastAsia"/>
          <w:szCs w:val="21"/>
        </w:rPr>
        <w:t>）</w:t>
      </w:r>
      <w:r>
        <w:rPr>
          <w:rFonts w:hint="eastAsia" w:ascii="宋体" w:hAnsi="宋体" w:cs="仿宋_GB2312"/>
          <w:szCs w:val="21"/>
          <w:lang w:val="zh-CN"/>
        </w:rPr>
        <w:t>企业体系认证情况</w:t>
      </w:r>
    </w:p>
    <w:p>
      <w:pPr>
        <w:ind w:left="718" w:leftChars="342" w:firstLine="1417" w:firstLineChars="675"/>
        <w:rPr>
          <w:rFonts w:ascii="宋体" w:hAnsi="宋体"/>
          <w:szCs w:val="21"/>
        </w:rPr>
      </w:pPr>
      <w:r>
        <w:rPr>
          <w:rFonts w:hint="eastAsia"/>
          <w:szCs w:val="21"/>
        </w:rPr>
        <w:t>（</w:t>
      </w:r>
      <w:r>
        <w:rPr>
          <w:rFonts w:hint="eastAsia"/>
          <w:szCs w:val="21"/>
          <w:lang w:val="en-US" w:eastAsia="zh-CN"/>
        </w:rPr>
        <w:t>8</w:t>
      </w:r>
      <w:r>
        <w:rPr>
          <w:rFonts w:hint="eastAsia"/>
          <w:szCs w:val="21"/>
        </w:rPr>
        <w:t>）</w:t>
      </w:r>
      <w:r>
        <w:rPr>
          <w:rFonts w:hint="eastAsia" w:ascii="宋体" w:hAnsi="宋体" w:cs="仿宋_GB2312"/>
          <w:szCs w:val="21"/>
          <w:lang w:val="zh-CN"/>
        </w:rPr>
        <w:t>企业综合能力</w:t>
      </w:r>
    </w:p>
    <w:p>
      <w:pPr>
        <w:ind w:left="718" w:leftChars="342" w:firstLine="1417" w:firstLineChars="675"/>
      </w:pPr>
      <w:r>
        <w:rPr>
          <w:rFonts w:hint="eastAsia"/>
          <w:szCs w:val="21"/>
        </w:rPr>
        <w:t>（</w:t>
      </w:r>
      <w:r>
        <w:rPr>
          <w:rFonts w:hint="eastAsia"/>
          <w:szCs w:val="21"/>
          <w:lang w:val="en-US" w:eastAsia="zh-CN"/>
        </w:rPr>
        <w:t>9</w:t>
      </w:r>
      <w:r>
        <w:rPr>
          <w:rFonts w:hint="eastAsia"/>
          <w:szCs w:val="21"/>
        </w:rPr>
        <w:t>）</w:t>
      </w:r>
      <w:r>
        <w:rPr>
          <w:rFonts w:hint="eastAsia" w:ascii="宋体" w:hAnsi="宋体" w:cs="仿宋_GB2312"/>
          <w:szCs w:val="21"/>
          <w:lang w:val="zh-CN"/>
        </w:rPr>
        <w:t>企业荣誉</w:t>
      </w:r>
    </w:p>
    <w:p>
      <w:pPr>
        <w:ind w:firstLine="1200" w:firstLineChars="500"/>
        <w:outlineLvl w:val="0"/>
        <w:rPr>
          <w:rFonts w:ascii="宋体" w:hAnsi="宋体"/>
          <w:sz w:val="24"/>
        </w:rPr>
      </w:pPr>
      <w:r>
        <w:rPr>
          <w:rFonts w:hint="eastAsia" w:ascii="宋体" w:hAnsi="宋体"/>
          <w:sz w:val="24"/>
        </w:rPr>
        <w:t>2.投标文件附件</w:t>
      </w:r>
      <w:r>
        <w:rPr>
          <w:rFonts w:hint="eastAsia" w:ascii="宋体" w:hAnsi="宋体"/>
          <w:b/>
          <w:color w:val="FF0000"/>
          <w:sz w:val="24"/>
        </w:rPr>
        <w:t>（信息不公开部分）</w:t>
      </w:r>
      <w:r>
        <w:rPr>
          <w:rFonts w:hint="eastAsia" w:ascii="宋体" w:hAnsi="宋体"/>
          <w:sz w:val="24"/>
        </w:rPr>
        <w:t>：主要包括以下内容：</w:t>
      </w:r>
    </w:p>
    <w:p>
      <w:pPr>
        <w:ind w:firstLine="2100" w:firstLineChars="1000"/>
        <w:rPr>
          <w:szCs w:val="21"/>
        </w:rPr>
      </w:pPr>
      <w:r>
        <w:rPr>
          <w:rFonts w:hint="eastAsia"/>
          <w:szCs w:val="21"/>
        </w:rPr>
        <w:t>（1）供应商基本情况表</w:t>
      </w:r>
    </w:p>
    <w:p>
      <w:pPr>
        <w:ind w:firstLine="2100" w:firstLineChars="1000"/>
        <w:rPr>
          <w:szCs w:val="21"/>
        </w:rPr>
      </w:pPr>
      <w:r>
        <w:rPr>
          <w:rFonts w:hint="eastAsia"/>
          <w:szCs w:val="21"/>
        </w:rPr>
        <w:t>（2）法定代表人（负责人）证明书</w:t>
      </w:r>
    </w:p>
    <w:p>
      <w:pPr>
        <w:ind w:left="718" w:leftChars="342" w:firstLine="1417" w:firstLineChars="675"/>
        <w:rPr>
          <w:szCs w:val="21"/>
        </w:rPr>
      </w:pPr>
      <w:r>
        <w:rPr>
          <w:rFonts w:hint="eastAsia"/>
          <w:szCs w:val="21"/>
        </w:rPr>
        <w:t>（3）投标文件签署授权委托书</w:t>
      </w:r>
    </w:p>
    <w:p>
      <w:pPr>
        <w:ind w:left="718" w:leftChars="342" w:firstLine="1417" w:firstLineChars="675"/>
        <w:rPr>
          <w:szCs w:val="21"/>
        </w:rPr>
      </w:pPr>
      <w:r>
        <w:rPr>
          <w:rFonts w:hint="eastAsia"/>
          <w:szCs w:val="21"/>
        </w:rPr>
        <w:t>（4）</w:t>
      </w:r>
      <w:r>
        <w:rPr>
          <w:szCs w:val="21"/>
        </w:rPr>
        <w:t>实质性条款响应情况表</w:t>
      </w:r>
    </w:p>
    <w:p>
      <w:pPr>
        <w:ind w:left="718" w:leftChars="342" w:firstLine="1417" w:firstLineChars="675"/>
        <w:rPr>
          <w:szCs w:val="21"/>
        </w:rPr>
      </w:pPr>
      <w:r>
        <w:rPr>
          <w:rFonts w:hint="eastAsia"/>
          <w:szCs w:val="21"/>
        </w:rPr>
        <w:t>（</w:t>
      </w:r>
      <w:r>
        <w:rPr>
          <w:rFonts w:hint="eastAsia"/>
          <w:szCs w:val="21"/>
          <w:lang w:val="en-US" w:eastAsia="zh-CN"/>
        </w:rPr>
        <w:t>5</w:t>
      </w:r>
      <w:r>
        <w:rPr>
          <w:rFonts w:hint="eastAsia"/>
          <w:szCs w:val="21"/>
        </w:rPr>
        <w:t>）</w:t>
      </w:r>
      <w:r>
        <w:rPr>
          <w:rFonts w:hint="eastAsia" w:ascii="宋体" w:hAnsi="宋体" w:cs="仿宋_GB2312"/>
          <w:szCs w:val="21"/>
          <w:lang w:val="zh-CN"/>
        </w:rPr>
        <w:t>拟安排的外部技术支持人员</w:t>
      </w:r>
    </w:p>
    <w:p>
      <w:pPr>
        <w:ind w:left="718" w:leftChars="342" w:firstLine="1417" w:firstLineChars="675"/>
        <w:rPr>
          <w:rFonts w:hint="eastAsia" w:ascii="宋体" w:hAnsi="宋体" w:cs="仿宋_GB2312"/>
          <w:szCs w:val="21"/>
          <w:lang w:val="zh-CN"/>
        </w:rPr>
      </w:pPr>
      <w:r>
        <w:rPr>
          <w:rFonts w:hint="eastAsia"/>
          <w:szCs w:val="21"/>
        </w:rPr>
        <w:t>（</w:t>
      </w:r>
      <w:r>
        <w:rPr>
          <w:rFonts w:hint="eastAsia"/>
          <w:szCs w:val="21"/>
          <w:lang w:val="en-US" w:eastAsia="zh-CN"/>
        </w:rPr>
        <w:t>6</w:t>
      </w:r>
      <w:r>
        <w:rPr>
          <w:rFonts w:hint="eastAsia"/>
          <w:szCs w:val="21"/>
        </w:rPr>
        <w:t>）</w:t>
      </w:r>
      <w:r>
        <w:rPr>
          <w:rFonts w:hint="eastAsia" w:ascii="宋体" w:hAnsi="宋体" w:cs="仿宋_GB2312"/>
          <w:szCs w:val="21"/>
          <w:lang w:val="zh-CN"/>
        </w:rPr>
        <w:t>拟安排的项目团队成员情况（项目负责人除外）</w:t>
      </w:r>
    </w:p>
    <w:p>
      <w:pPr>
        <w:ind w:left="718" w:leftChars="342" w:firstLine="1417" w:firstLineChars="675"/>
        <w:rPr>
          <w:rFonts w:hint="eastAsia" w:ascii="宋体" w:hAnsi="宋体" w:cs="仿宋_GB2312"/>
          <w:szCs w:val="21"/>
          <w:lang w:val="zh-CN"/>
        </w:rPr>
      </w:pPr>
      <w:r>
        <w:rPr>
          <w:rFonts w:hint="eastAsia"/>
          <w:szCs w:val="21"/>
        </w:rPr>
        <w:t>（</w:t>
      </w:r>
      <w:r>
        <w:rPr>
          <w:rFonts w:hint="eastAsia"/>
          <w:szCs w:val="21"/>
          <w:lang w:val="en-US" w:eastAsia="zh-CN"/>
        </w:rPr>
        <w:t>7</w:t>
      </w:r>
      <w:r>
        <w:rPr>
          <w:rFonts w:hint="eastAsia"/>
          <w:szCs w:val="21"/>
        </w:rPr>
        <w:t>）</w:t>
      </w:r>
      <w:r>
        <w:rPr>
          <w:rFonts w:hint="eastAsia" w:ascii="宋体" w:hAnsi="宋体" w:cs="仿宋_GB2312"/>
          <w:szCs w:val="21"/>
          <w:lang w:val="zh-CN"/>
        </w:rPr>
        <w:t>拟安排的项目负责人情况(仅限1人）</w:t>
      </w:r>
    </w:p>
    <w:p>
      <w:pPr>
        <w:ind w:left="718" w:leftChars="342" w:firstLine="1417" w:firstLineChars="675"/>
        <w:rPr>
          <w:rFonts w:hint="eastAsia" w:ascii="宋体" w:hAnsi="宋体" w:cs="仿宋_GB2312"/>
          <w:szCs w:val="21"/>
          <w:lang w:val="zh-CN"/>
        </w:rPr>
      </w:pPr>
      <w:r>
        <w:rPr>
          <w:rFonts w:hint="eastAsia"/>
          <w:szCs w:val="21"/>
        </w:rPr>
        <w:t>（</w:t>
      </w:r>
      <w:r>
        <w:rPr>
          <w:rFonts w:hint="eastAsia"/>
          <w:szCs w:val="21"/>
          <w:lang w:val="en-US" w:eastAsia="zh-CN"/>
        </w:rPr>
        <w:t>8</w:t>
      </w:r>
      <w:r>
        <w:rPr>
          <w:rFonts w:hint="eastAsia"/>
          <w:szCs w:val="21"/>
        </w:rPr>
        <w:t>）</w:t>
      </w:r>
      <w:r>
        <w:rPr>
          <w:rFonts w:hint="eastAsia" w:ascii="宋体" w:hAnsi="宋体" w:cs="仿宋_GB2312"/>
          <w:szCs w:val="21"/>
          <w:lang w:val="zh-CN"/>
        </w:rPr>
        <w:t>质量进度保障措施及方案</w:t>
      </w:r>
    </w:p>
    <w:p>
      <w:pPr>
        <w:ind w:left="718" w:leftChars="342" w:firstLine="1417" w:firstLineChars="675"/>
        <w:rPr>
          <w:rFonts w:hint="eastAsia" w:ascii="宋体" w:hAnsi="宋体" w:cs="仿宋_GB2312"/>
          <w:szCs w:val="21"/>
          <w:lang w:val="zh-CN"/>
        </w:rPr>
      </w:pPr>
      <w:r>
        <w:rPr>
          <w:rFonts w:hint="eastAsia"/>
          <w:szCs w:val="21"/>
        </w:rPr>
        <w:t>（</w:t>
      </w:r>
      <w:r>
        <w:rPr>
          <w:rFonts w:hint="eastAsia"/>
          <w:szCs w:val="21"/>
          <w:lang w:val="en-US" w:eastAsia="zh-CN"/>
        </w:rPr>
        <w:t>9</w:t>
      </w:r>
      <w:r>
        <w:rPr>
          <w:rFonts w:hint="eastAsia"/>
          <w:szCs w:val="21"/>
        </w:rPr>
        <w:t>）</w:t>
      </w:r>
      <w:r>
        <w:rPr>
          <w:rFonts w:hint="eastAsia" w:ascii="宋体" w:hAnsi="宋体" w:cs="仿宋_GB2312"/>
          <w:szCs w:val="21"/>
          <w:lang w:val="zh-CN"/>
        </w:rPr>
        <w:t>项目重点难点分析、应对措施及相关的合理化建议</w:t>
      </w:r>
    </w:p>
    <w:p>
      <w:pPr>
        <w:ind w:left="718" w:leftChars="342" w:firstLine="1417" w:firstLineChars="675"/>
        <w:rPr>
          <w:rFonts w:hint="eastAsia"/>
        </w:rPr>
      </w:pPr>
      <w:r>
        <w:rPr>
          <w:rFonts w:hint="eastAsia"/>
          <w:szCs w:val="21"/>
        </w:rPr>
        <w:t>（</w:t>
      </w:r>
      <w:r>
        <w:rPr>
          <w:rFonts w:hint="eastAsia"/>
          <w:szCs w:val="21"/>
          <w:lang w:val="en-US" w:eastAsia="zh-CN"/>
        </w:rPr>
        <w:t>10</w:t>
      </w:r>
      <w:r>
        <w:rPr>
          <w:rFonts w:hint="eastAsia"/>
          <w:szCs w:val="21"/>
        </w:rPr>
        <w:t>）</w:t>
      </w:r>
      <w:r>
        <w:rPr>
          <w:rFonts w:hint="eastAsia" w:ascii="宋体" w:hAnsi="宋体" w:cs="仿宋_GB2312"/>
          <w:szCs w:val="21"/>
          <w:lang w:val="zh-CN"/>
        </w:rPr>
        <w:t>项目服务方案</w:t>
      </w:r>
    </w:p>
    <w:p>
      <w:pPr>
        <w:ind w:left="718" w:leftChars="342" w:firstLine="1417" w:firstLineChars="675"/>
        <w:rPr>
          <w:szCs w:val="21"/>
        </w:rPr>
      </w:pPr>
      <w:r>
        <w:rPr>
          <w:rFonts w:hint="eastAsia"/>
          <w:szCs w:val="21"/>
        </w:rPr>
        <w:t>（</w:t>
      </w:r>
      <w:r>
        <w:rPr>
          <w:rFonts w:hint="eastAsia"/>
          <w:szCs w:val="21"/>
          <w:lang w:val="en-US" w:eastAsia="zh-CN"/>
        </w:rPr>
        <w:t>11</w:t>
      </w:r>
      <w:r>
        <w:rPr>
          <w:rFonts w:hint="eastAsia"/>
          <w:szCs w:val="21"/>
        </w:rPr>
        <w:t>）投标人认为需要加以说明的其他内容</w:t>
      </w:r>
    </w:p>
    <w:p>
      <w:pPr>
        <w:ind w:left="718" w:leftChars="342" w:firstLine="1417" w:firstLineChars="675"/>
        <w:rPr>
          <w:rFonts w:ascii="宋体" w:hAnsi="宋体"/>
          <w:szCs w:val="21"/>
        </w:rPr>
      </w:pPr>
      <w:r>
        <w:rPr>
          <w:rFonts w:hint="eastAsia" w:ascii="宋体" w:hAnsi="宋体"/>
          <w:szCs w:val="21"/>
        </w:rPr>
        <w:t>…………</w:t>
      </w:r>
    </w:p>
    <w:p>
      <w:pPr>
        <w:pStyle w:val="19"/>
      </w:pPr>
    </w:p>
    <w:p>
      <w:pPr>
        <w:pStyle w:val="8"/>
        <w:ind w:left="210" w:leftChars="100" w:firstLine="781" w:firstLineChars="372"/>
        <w:rPr>
          <w:rFonts w:ascii="宋体" w:hAnsi="宋体"/>
          <w:szCs w:val="21"/>
        </w:rPr>
      </w:pPr>
    </w:p>
    <w:p>
      <w:pPr>
        <w:rPr>
          <w:rFonts w:ascii="仿宋_GB2312" w:eastAsia="仿宋_GB2312"/>
          <w:sz w:val="24"/>
        </w:rPr>
      </w:pPr>
    </w:p>
    <w:p>
      <w:pPr>
        <w:ind w:firstLine="425" w:firstLineChars="202"/>
        <w:rPr>
          <w:rFonts w:ascii="宋体" w:hAnsi="宋体"/>
          <w:b/>
          <w:szCs w:val="21"/>
        </w:rPr>
      </w:pPr>
      <w:r>
        <w:rPr>
          <w:rFonts w:hint="eastAsia" w:ascii="宋体" w:hAnsi="宋体"/>
          <w:b/>
          <w:szCs w:val="21"/>
        </w:rPr>
        <w:t>备注：</w:t>
      </w:r>
    </w:p>
    <w:p>
      <w:pPr>
        <w:ind w:firstLine="425" w:firstLineChars="202"/>
        <w:rPr>
          <w:rFonts w:ascii="宋体" w:hAnsi="宋体"/>
          <w:b/>
          <w:szCs w:val="21"/>
        </w:rPr>
      </w:pPr>
      <w:r>
        <w:rPr>
          <w:rFonts w:hint="eastAsia" w:ascii="宋体" w:hAnsi="宋体"/>
          <w:b/>
          <w:szCs w:val="21"/>
        </w:rPr>
        <w:t>1.本项目为网上电子投标项目，投标文件不需法人或授权委托人另行签字，无需加盖单位公章，招标文件另有规定的除外。</w:t>
      </w:r>
    </w:p>
    <w:p>
      <w:pPr>
        <w:ind w:firstLine="425" w:firstLineChars="202"/>
        <w:rPr>
          <w:rFonts w:ascii="宋体" w:hAnsi="宋体"/>
          <w:b/>
          <w:szCs w:val="21"/>
        </w:rPr>
      </w:pPr>
      <w:r>
        <w:rPr>
          <w:rFonts w:hint="eastAsia" w:ascii="宋体" w:hAnsi="宋体"/>
          <w:b/>
          <w:szCs w:val="21"/>
        </w:rPr>
        <w:t>2.关于填写“开标一览表”的说明：“开标一览表”中除“投标总价”外，其他信息不作评审依据。</w:t>
      </w:r>
    </w:p>
    <w:p>
      <w:pPr>
        <w:rPr>
          <w:rFonts w:ascii="仿宋_GB2312" w:eastAsia="仿宋_GB2312"/>
          <w:sz w:val="24"/>
        </w:rPr>
      </w:pPr>
    </w:p>
    <w:p>
      <w:pPr>
        <w:rPr>
          <w:rFonts w:ascii="宋体" w:hAnsi="宋体"/>
          <w:b/>
          <w:szCs w:val="21"/>
        </w:rPr>
      </w:pPr>
    </w:p>
    <w:p>
      <w:pPr>
        <w:rPr>
          <w:rFonts w:ascii="宋体" w:hAnsi="宋体"/>
          <w:b/>
          <w:szCs w:val="21"/>
        </w:rPr>
      </w:pPr>
    </w:p>
    <w:p>
      <w:pPr>
        <w:jc w:val="left"/>
        <w:rPr>
          <w:rFonts w:ascii="宋体" w:hAnsi="宋体"/>
          <w:b/>
          <w:color w:val="FF0000"/>
          <w:sz w:val="36"/>
          <w:szCs w:val="36"/>
        </w:rPr>
      </w:pPr>
      <w:r>
        <w:rPr>
          <w:rFonts w:hint="eastAsia" w:ascii="宋体" w:hAnsi="宋体"/>
          <w:b/>
          <w:color w:val="FF0000"/>
          <w:sz w:val="36"/>
          <w:szCs w:val="36"/>
        </w:rPr>
        <w:br w:type="page"/>
      </w:r>
    </w:p>
    <w:p>
      <w:pPr>
        <w:outlineLvl w:val="1"/>
        <w:rPr>
          <w:rFonts w:ascii="宋体" w:hAnsi="宋体"/>
          <w:b/>
          <w:color w:val="FF0000"/>
          <w:sz w:val="28"/>
          <w:szCs w:val="28"/>
        </w:rPr>
      </w:pPr>
      <w:r>
        <w:rPr>
          <w:rFonts w:hint="eastAsia" w:ascii="宋体" w:hAnsi="宋体"/>
          <w:b/>
          <w:color w:val="FF0000"/>
          <w:sz w:val="28"/>
          <w:szCs w:val="28"/>
        </w:rPr>
        <w:t>投标文件正文（信息公开部分）</w:t>
      </w:r>
    </w:p>
    <w:p>
      <w:pPr>
        <w:pStyle w:val="4"/>
        <w:jc w:val="center"/>
        <w:rPr>
          <w:rFonts w:ascii="黑体" w:eastAsia="黑体"/>
          <w:b w:val="0"/>
          <w:kern w:val="0"/>
          <w:sz w:val="24"/>
        </w:rPr>
      </w:pPr>
      <w:r>
        <w:rPr>
          <w:rFonts w:hint="eastAsia" w:ascii="黑体" w:eastAsia="黑体"/>
          <w:b w:val="0"/>
          <w:kern w:val="0"/>
          <w:sz w:val="24"/>
        </w:rPr>
        <w:t>一、投标函</w:t>
      </w:r>
    </w:p>
    <w:p>
      <w:pPr>
        <w:spacing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pPr>
        <w:ind w:firstLine="420" w:firstLineChars="200"/>
        <w:rPr>
          <w:rFonts w:ascii="宋体" w:hAnsi="宋体"/>
          <w:szCs w:val="21"/>
        </w:rPr>
      </w:pPr>
      <w:bookmarkStart w:id="35"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（项目名称）       </w:t>
      </w:r>
      <w:r>
        <w:rPr>
          <w:rFonts w:hint="eastAsia"/>
          <w:szCs w:val="21"/>
        </w:rPr>
        <w:t>项目的招标文件，遵照《深圳经济特区政府采购条例》和《深圳网上政府采购管理暂行办法》等有关规定，我单位经研究上述招标文件的专用条款及通用条款后，</w:t>
      </w:r>
      <w:bookmarkStart w:id="36" w:name="_Hlk72263588"/>
      <w:r>
        <w:rPr>
          <w:rFonts w:hint="eastAsia"/>
          <w:szCs w:val="21"/>
        </w:rPr>
        <w:t>愿意按照招标文件要求承包上述项目并修补其任何缺陷。</w:t>
      </w:r>
      <w:bookmarkEnd w:id="36"/>
    </w:p>
    <w:p>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pPr>
        <w:ind w:left="420" w:leftChars="200"/>
        <w:rPr>
          <w:rFonts w:ascii="宋体" w:hAnsi="宋体"/>
          <w:szCs w:val="21"/>
        </w:rPr>
      </w:pPr>
      <w:r>
        <w:rPr>
          <w:rFonts w:hint="eastAsia" w:ascii="宋体" w:hAnsi="宋体"/>
          <w:szCs w:val="21"/>
        </w:rPr>
        <w:t>6、我单位理解贵单位将不受必须接受所收到的最低报价或其它任何投标文件的约束。</w:t>
      </w:r>
      <w:bookmarkEnd w:id="35"/>
    </w:p>
    <w:p>
      <w:pPr>
        <w:ind w:left="420" w:left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单位地址：</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     </w:t>
      </w:r>
    </w:p>
    <w:p>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pPr>
        <w:ind w:left="420" w:leftChars="200"/>
        <w:rPr>
          <w:sz w:val="24"/>
        </w:rPr>
      </w:pPr>
      <w:r>
        <w:rPr>
          <w:rFonts w:hint="eastAsia"/>
          <w:sz w:val="24"/>
        </w:rPr>
        <w:t xml:space="preserve">                       </w:t>
      </w:r>
    </w:p>
    <w:p>
      <w:pPr>
        <w:rPr>
          <w:rFonts w:ascii="黑体" w:hAnsi="宋体" w:eastAsia="黑体"/>
        </w:rPr>
      </w:pPr>
    </w:p>
    <w:p>
      <w:pPr>
        <w:rPr>
          <w:rFonts w:ascii="宋体" w:hAnsi="宋体"/>
          <w:szCs w:val="21"/>
        </w:rPr>
      </w:pPr>
    </w:p>
    <w:p>
      <w:pPr>
        <w:pStyle w:val="4"/>
        <w:jc w:val="center"/>
        <w:rPr>
          <w:rFonts w:ascii="黑体" w:eastAsia="黑体"/>
          <w:b w:val="0"/>
          <w:kern w:val="0"/>
          <w:sz w:val="24"/>
        </w:rPr>
      </w:pPr>
      <w:r>
        <w:rPr>
          <w:rFonts w:hint="eastAsia" w:ascii="黑体" w:eastAsia="黑体"/>
          <w:b w:val="0"/>
          <w:kern w:val="0"/>
          <w:sz w:val="24"/>
        </w:rPr>
        <w:t>二、政府采购投标及履约承诺函</w:t>
      </w:r>
    </w:p>
    <w:p>
      <w:pPr>
        <w:rPr>
          <w:rFonts w:ascii="宋体" w:hAnsi="宋体"/>
          <w:sz w:val="24"/>
        </w:rPr>
      </w:pPr>
    </w:p>
    <w:p>
      <w:pPr>
        <w:rPr>
          <w:rFonts w:ascii="宋体" w:hAnsi="宋体"/>
          <w:color w:val="FF0000"/>
          <w:szCs w:val="21"/>
        </w:rPr>
      </w:pPr>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3.我单位具备《</w:t>
      </w:r>
      <w:r>
        <w:rPr>
          <w:rFonts w:hint="eastAsia" w:ascii="宋体" w:hAnsi="宋体"/>
          <w:szCs w:val="21"/>
          <w:lang w:eastAsia="zh-CN"/>
        </w:rPr>
        <w:t>中华人民共和国政府采购法》</w:t>
      </w:r>
      <w:r>
        <w:rPr>
          <w:rFonts w:hint="eastAsia" w:ascii="宋体" w:hAnsi="宋体"/>
          <w:szCs w:val="21"/>
        </w:rPr>
        <w:t>第二十二条第一款规定的六项条件。</w:t>
      </w:r>
    </w:p>
    <w:p>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pPr>
        <w:ind w:firstLine="420" w:firstLineChars="200"/>
      </w:pPr>
      <w:r>
        <w:rPr>
          <w:rFonts w:hint="eastAsia"/>
          <w:color w:val="FF0000"/>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rPr>
        <w:t>9.我单位承诺中标后项目不转包，未经采购人同意不进行分包。</w:t>
      </w:r>
    </w:p>
    <w:p>
      <w:pPr>
        <w:ind w:firstLine="420" w:firstLineChars="200"/>
        <w:rPr>
          <w:rFonts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pPr>
        <w:ind w:firstLine="420" w:firstLineChars="200"/>
        <w:rPr>
          <w:rFonts w:ascii="宋体" w:hAnsi="宋体"/>
          <w:bCs/>
        </w:rPr>
      </w:pPr>
      <w:r>
        <w:rPr>
          <w:rFonts w:hint="eastAsia" w:ascii="宋体" w:hAnsi="宋体" w:cs="宋体"/>
          <w:bCs/>
          <w:kern w:val="0"/>
          <w:szCs w:val="21"/>
        </w:rPr>
        <w:t>12.</w:t>
      </w:r>
      <w:r>
        <w:rPr>
          <w:rFonts w:hint="eastAsia" w:ascii="宋体" w:hAnsi="宋体"/>
          <w:bCs/>
        </w:rPr>
        <w:t>我单位已知悉并同意中标（成交）结果信息公示（公开）的内容。</w:t>
      </w:r>
    </w:p>
    <w:p>
      <w:pPr>
        <w:ind w:firstLine="420" w:firstLineChars="200"/>
        <w:rPr>
          <w:rFonts w:ascii="宋体" w:hAnsi="宋体"/>
          <w:bCs/>
        </w:rPr>
      </w:pPr>
      <w:r>
        <w:rPr>
          <w:rFonts w:hint="eastAsia" w:ascii="宋体" w:hAnsi="宋体"/>
          <w:bCs/>
        </w:rPr>
        <w:t>13.我单位保证，符合《</w:t>
      </w:r>
      <w:r>
        <w:rPr>
          <w:rFonts w:hint="eastAsia" w:ascii="宋体" w:hAnsi="宋体"/>
          <w:bCs/>
          <w:lang w:eastAsia="zh-CN"/>
        </w:rPr>
        <w:t>中华人民共和国政府采购法</w:t>
      </w:r>
      <w:r>
        <w:rPr>
          <w:rFonts w:hint="eastAsia" w:ascii="宋体" w:hAnsi="宋体"/>
          <w:bCs/>
        </w:rPr>
        <w:t>实施条例》第十八条规定，与其他投标供应商不存在单位负责人为同一人或者存在直接控股、管理关系；不存在为本次采购项目提供整体设计、规范编制或者项目管理、监理、检测等服务的情形。若存在“不同供应商的董事、股东或其他高级管理人员为同一人的”情形的，我单位保证不存在串通投标、恶意串通或者视为串通投标的情形。</w:t>
      </w:r>
    </w:p>
    <w:p>
      <w:pPr>
        <w:ind w:firstLine="421" w:firstLineChars="200"/>
        <w:rPr>
          <w:rFonts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pPr>
        <w:pStyle w:val="19"/>
        <w:ind w:firstLine="481" w:firstLineChars="200"/>
        <w:rPr>
          <w:rFonts w:ascii="宋体" w:hAnsi="宋体"/>
        </w:rPr>
      </w:pPr>
    </w:p>
    <w:p>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pPr>
        <w:spacing w:before="60" w:beforeLines="25" w:after="60" w:afterLines="25"/>
        <w:ind w:firstLine="5460" w:firstLineChars="2600"/>
        <w:rPr>
          <w:rFonts w:ascii="宋体" w:hAnsi="宋体"/>
          <w:szCs w:val="21"/>
        </w:rPr>
      </w:pPr>
      <w:r>
        <w:rPr>
          <w:rFonts w:hint="eastAsia" w:ascii="宋体" w:hAnsi="宋体"/>
          <w:szCs w:val="21"/>
        </w:rPr>
        <w:t xml:space="preserve">                                    </w:t>
      </w:r>
    </w:p>
    <w:p>
      <w:pPr>
        <w:spacing w:before="60" w:beforeLines="25" w:after="60" w:afterLines="25"/>
        <w:ind w:firstLine="5460" w:firstLineChars="2600"/>
        <w:rPr>
          <w:color w:val="FF0000"/>
        </w:rPr>
      </w:pPr>
      <w:r>
        <w:rPr>
          <w:rFonts w:hint="eastAsia"/>
          <w:color w:val="FF0000"/>
          <w:szCs w:val="21"/>
        </w:rPr>
        <w:t>投标人：</w:t>
      </w:r>
      <w:r>
        <w:rPr>
          <w:rFonts w:hint="eastAsia"/>
          <w:color w:val="FF0000"/>
          <w:szCs w:val="21"/>
          <w:u w:val="single"/>
        </w:rPr>
        <w:t xml:space="preserve">              </w:t>
      </w:r>
    </w:p>
    <w:p>
      <w:pPr>
        <w:ind w:firstLine="645"/>
        <w:rPr>
          <w:rFonts w:ascii="宋体" w:hAnsi="宋体"/>
          <w:color w:val="FF0000"/>
          <w:szCs w:val="21"/>
        </w:rPr>
      </w:pPr>
      <w:r>
        <w:rPr>
          <w:rFonts w:hint="eastAsia" w:ascii="宋体" w:hAnsi="宋体"/>
          <w:color w:val="FF0000"/>
          <w:szCs w:val="21"/>
        </w:rPr>
        <w:t xml:space="preserve">                                              日期：</w:t>
      </w:r>
      <w:r>
        <w:rPr>
          <w:rFonts w:hint="eastAsia" w:ascii="宋体" w:hAnsi="宋体"/>
          <w:color w:val="FF0000"/>
          <w:szCs w:val="21"/>
          <w:u w:val="single"/>
        </w:rPr>
        <w:t xml:space="preserve">    </w:t>
      </w:r>
      <w:r>
        <w:rPr>
          <w:rFonts w:hint="eastAsia" w:ascii="宋体" w:hAnsi="宋体"/>
          <w:color w:val="FF0000"/>
          <w:szCs w:val="21"/>
        </w:rPr>
        <w:t>年</w:t>
      </w:r>
      <w:r>
        <w:rPr>
          <w:rFonts w:hint="eastAsia" w:ascii="宋体" w:hAnsi="宋体"/>
          <w:color w:val="FF0000"/>
          <w:szCs w:val="21"/>
          <w:u w:val="single"/>
        </w:rPr>
        <w:t xml:space="preserve">   </w:t>
      </w:r>
      <w:r>
        <w:rPr>
          <w:rFonts w:hint="eastAsia" w:ascii="宋体" w:hAnsi="宋体"/>
          <w:color w:val="FF0000"/>
          <w:szCs w:val="21"/>
        </w:rPr>
        <w:t>月</w:t>
      </w:r>
      <w:r>
        <w:rPr>
          <w:rFonts w:hint="eastAsia" w:ascii="宋体" w:hAnsi="宋体"/>
          <w:color w:val="FF0000"/>
          <w:szCs w:val="21"/>
          <w:u w:val="single"/>
        </w:rPr>
        <w:t xml:space="preserve">   </w:t>
      </w:r>
      <w:r>
        <w:rPr>
          <w:rFonts w:hint="eastAsia" w:ascii="宋体" w:hAnsi="宋体"/>
          <w:color w:val="FF0000"/>
          <w:szCs w:val="21"/>
        </w:rPr>
        <w:t>日</w:t>
      </w:r>
    </w:p>
    <w:p>
      <w:pPr>
        <w:rPr>
          <w:rFonts w:ascii="宋体" w:hAnsi="宋体"/>
          <w:szCs w:val="21"/>
        </w:rPr>
      </w:pPr>
    </w:p>
    <w:p>
      <w:pPr>
        <w:rPr>
          <w:rFonts w:ascii="宋体" w:hAnsi="宋体"/>
          <w:szCs w:val="21"/>
        </w:rPr>
      </w:pPr>
    </w:p>
    <w:p/>
    <w:p/>
    <w:p>
      <w:pPr>
        <w:pStyle w:val="4"/>
        <w:spacing w:before="120" w:after="120"/>
        <w:jc w:val="center"/>
        <w:rPr>
          <w:rFonts w:ascii="黑体" w:eastAsia="黑体"/>
          <w:b w:val="0"/>
          <w:kern w:val="0"/>
          <w:sz w:val="24"/>
        </w:rPr>
      </w:pPr>
      <w:r>
        <w:rPr>
          <w:rFonts w:hint="eastAsia" w:ascii="黑体" w:eastAsia="黑体"/>
          <w:b w:val="0"/>
          <w:kern w:val="0"/>
          <w:sz w:val="24"/>
        </w:rPr>
        <w:t>三、投标人情况及资格证明文件</w:t>
      </w:r>
    </w:p>
    <w:p>
      <w:pPr>
        <w:ind w:firstLine="2640" w:firstLineChars="1100"/>
        <w:outlineLvl w:val="3"/>
        <w:rPr>
          <w:rFonts w:ascii="黑体" w:hAnsi="宋体" w:eastAsia="黑体"/>
          <w:bCs/>
          <w:kern w:val="0"/>
          <w:sz w:val="24"/>
          <w:szCs w:val="32"/>
        </w:rPr>
      </w:pPr>
      <w:r>
        <w:rPr>
          <w:rFonts w:hint="eastAsia" w:ascii="黑体" w:hAnsi="宋体" w:eastAsia="黑体"/>
          <w:bCs/>
          <w:kern w:val="0"/>
          <w:sz w:val="24"/>
          <w:szCs w:val="32"/>
        </w:rPr>
        <w:t>（一）投标人资格证明文件</w:t>
      </w:r>
    </w:p>
    <w:p>
      <w:pPr>
        <w:spacing w:before="120" w:beforeLines="50"/>
        <w:ind w:firstLine="421" w:firstLineChars="200"/>
        <w:rPr>
          <w:b/>
          <w:bCs/>
          <w:color w:val="FF0000"/>
        </w:rPr>
      </w:pPr>
      <w:r>
        <w:rPr>
          <w:rFonts w:hint="eastAsia"/>
          <w:b/>
          <w:bCs/>
          <w:color w:val="FF0000"/>
        </w:rPr>
        <w:t>（特别提示：投标人须按本招标文件第一册第一章招标公告“申请人的资格要求”（即投标人资格要求）提供相关的资格证明资料，未提供或提供不完整、不符合要求的，将作投标无效处理，其中要求提供《政府采购投标及履约承诺函》《供应商基本情况表》</w:t>
      </w:r>
      <w:r>
        <w:rPr>
          <w:rFonts w:hint="eastAsia"/>
          <w:b/>
          <w:bCs/>
          <w:color w:val="FF0000"/>
          <w:lang w:eastAsia="zh-CN"/>
        </w:rPr>
        <w:t>《联合体投标协议书》</w:t>
      </w:r>
      <w:r>
        <w:rPr>
          <w:rFonts w:hint="eastAsia"/>
          <w:b/>
          <w:bCs/>
          <w:color w:val="FF0000"/>
        </w:rPr>
        <w:t>且已在规定章节中提供的，此处</w:t>
      </w:r>
      <w:r>
        <w:rPr>
          <w:rFonts w:hint="eastAsia"/>
          <w:b/>
          <w:bCs/>
          <w:color w:val="FF0000"/>
          <w:lang w:val="en-US" w:eastAsia="zh-CN"/>
        </w:rPr>
        <w:t>可</w:t>
      </w:r>
      <w:r>
        <w:rPr>
          <w:rFonts w:hint="eastAsia"/>
          <w:b/>
          <w:bCs/>
          <w:color w:val="FF0000"/>
        </w:rPr>
        <w:t>不重复提供。）</w:t>
      </w:r>
    </w:p>
    <w:p>
      <w:pPr>
        <w:ind w:firstLine="481" w:firstLineChars="200"/>
        <w:rPr>
          <w:b/>
          <w:sz w:val="24"/>
        </w:rPr>
      </w:pPr>
    </w:p>
    <w:p>
      <w:pPr>
        <w:ind w:firstLine="480" w:firstLineChars="200"/>
        <w:outlineLvl w:val="3"/>
        <w:rPr>
          <w:rFonts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pPr>
        <w:jc w:val="left"/>
        <w:outlineLvl w:val="3"/>
        <w:rPr>
          <w:rFonts w:ascii="黑体" w:hAnsi="宋体" w:eastAsia="黑体"/>
          <w:bCs/>
          <w:kern w:val="0"/>
          <w:sz w:val="24"/>
          <w:szCs w:val="32"/>
        </w:rPr>
      </w:pP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w:t>
      </w:r>
      <w:r>
        <w:rPr>
          <w:rFonts w:hint="eastAsia" w:ascii="黑体" w:hAnsi="黑体" w:eastAsia="黑体"/>
          <w:color w:val="FF0000"/>
          <w:szCs w:val="21"/>
          <w:lang w:eastAsia="zh-CN"/>
        </w:rPr>
        <w:t>《中华人民共和国政府采购法</w:t>
      </w:r>
      <w:r>
        <w:rPr>
          <w:rFonts w:hint="eastAsia" w:ascii="黑体" w:hAnsi="黑体" w:eastAsia="黑体"/>
          <w:color w:val="FF0000"/>
          <w:szCs w:val="21"/>
        </w:rPr>
        <w:t>》等国家有关规定追究相应责任。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37"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《工业和信息化部、国家统计局、国家发展和改革委员会、财政部关于印发中小企业划型标准规定的通知》（工信部联企业〔2011〕300号</w:t>
      </w:r>
      <w:bookmarkEnd w:id="37"/>
      <w:r>
        <w:rPr>
          <w:rFonts w:hint="eastAsia" w:ascii="黑体" w:hAnsi="黑体" w:eastAsia="黑体"/>
          <w:color w:val="FF0000"/>
          <w:szCs w:val="21"/>
        </w:rPr>
        <w:t>）</w:t>
      </w:r>
    </w:p>
    <w:p>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文件中确定的项目名称。对于分包方式面向中小企业采购的项目，应标明中小企业的具体分包内容；对于以联合体方式面向中小企业采购的项目，应标明联合体中中小企业所承担的具体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标的具体名称（以招标文件第一册第三章用户需求书“服务需求明细”的“服务需求名称（标的名称）”一栏为准）；如果涉及多项服务（标的）为同一企业承接的，“标的名称”下划线处可以如实填写多项服务；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填写采购标的对应的中小企业划分标准所属行业（所属行业以招标文件第一册第三章用户需求书“服务需求明细”的“标的所属行业”一栏为准），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第五处，在“企业名称”下划线处如实填写</w:t>
      </w:r>
      <w:r>
        <w:rPr>
          <w:rFonts w:hint="eastAsia" w:ascii="黑体" w:hAnsi="宋体" w:eastAsia="黑体"/>
          <w:b/>
          <w:color w:val="FF0000"/>
          <w:kern w:val="0"/>
          <w:szCs w:val="21"/>
        </w:rPr>
        <w:t>服务承接商名称。</w:t>
      </w:r>
      <w:r>
        <w:rPr>
          <w:rFonts w:hint="eastAsia" w:ascii="黑体" w:hAnsi="宋体" w:eastAsia="黑体"/>
          <w:bCs/>
          <w:color w:val="FF0000"/>
          <w:kern w:val="0"/>
          <w:szCs w:val="21"/>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六、七、八处，在“从业人员”、“营业收入”、“资产总额”下划线处如实填写从业人员、营业收入、资产总额。从业人员、资产总额指标以上年度末数据为依据，营业收入指标以上年度累计数据为依据。无上年度数据的新成立企业可不填报。</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九处，在“中型企业、小型企业、微型企业”下划线处应依据企业上年度从业人员、营业收入、资产总额等指标，按照《中小企业划型标准规定》（工信部联企业〔2011〕300号）、《金融业企业划型标准规定》（银发〔2015〕309号），判断《中小企业声明函》载明的服务承接商是否属于采购文件所属行业的中型企业/小型企业/微型企业。</w:t>
      </w:r>
    </w:p>
    <w:p>
      <w:pPr>
        <w:pStyle w:val="193"/>
        <w:ind w:firstLine="420" w:firstLineChars="200"/>
        <w:rPr>
          <w:rFonts w:ascii="黑体" w:hAnsi="宋体" w:eastAsia="黑体"/>
          <w:bCs/>
          <w:color w:val="FF0000"/>
          <w:kern w:val="0"/>
          <w:szCs w:val="21"/>
        </w:rPr>
      </w:pPr>
      <w:r>
        <w:rPr>
          <w:rFonts w:hint="eastAsia" w:ascii="黑体" w:hAnsi="宋体" w:eastAsia="黑体"/>
          <w:bCs/>
          <w:color w:val="FF0000"/>
          <w:kern w:val="0"/>
          <w:szCs w:val="21"/>
        </w:rPr>
        <w:t>（2）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（3）事业单位、社会组织等非企业主体不享受中小企业扶持政策。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（4）声明是残疾人福利性单位须填写《残疾人福利性单位声明函》的相关内容，具体参照以上《中小企业声明函》填写要求执行。</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（5）声明是监狱企业须填写《监狱企业声明函》的三项内容（填写位置的字体已加粗），具体参照以上《中小企业声明函》填写要求执行。</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5、本项目属于服务类项目，相关服务承接商应当为中小企业或残疾人福利性单位或监狱企业，如包含硬件设备、产品等货物采购的，不再对其中涉及的货物制造商作出要求。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pStyle w:val="19"/>
      </w:pPr>
    </w:p>
    <w:p>
      <w:pPr>
        <w:numPr>
          <w:ilvl w:val="0"/>
          <w:numId w:val="12"/>
        </w:numPr>
        <w:jc w:val="center"/>
        <w:outlineLvl w:val="3"/>
        <w:rPr>
          <w:b/>
          <w:sz w:val="24"/>
        </w:rPr>
      </w:pPr>
      <w:r>
        <w:rPr>
          <w:b/>
          <w:sz w:val="24"/>
        </w:rPr>
        <w:t>中小企业声明函（</w:t>
      </w:r>
      <w:r>
        <w:rPr>
          <w:rFonts w:hint="eastAsia"/>
          <w:b/>
          <w:sz w:val="24"/>
        </w:rPr>
        <w:t>服务</w:t>
      </w:r>
      <w:r>
        <w:rPr>
          <w:b/>
          <w:sz w:val="24"/>
        </w:rPr>
        <w:t>）</w:t>
      </w:r>
    </w:p>
    <w:p>
      <w:pPr>
        <w:pStyle w:val="19"/>
      </w:pPr>
    </w:p>
    <w:p>
      <w:pPr>
        <w:spacing w:line="360" w:lineRule="auto"/>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pPr>
        <w:spacing w:line="360" w:lineRule="auto"/>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spacing w:line="360" w:lineRule="auto"/>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pPr>
        <w:spacing w:line="360" w:lineRule="auto"/>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pPr>
        <w:spacing w:line="360" w:lineRule="auto"/>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pPr>
        <w:spacing w:line="360" w:lineRule="auto"/>
        <w:ind w:firstLine="420" w:firstLineChars="200"/>
        <w:outlineLvl w:val="3"/>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pPr>
        <w:spacing w:line="360" w:lineRule="auto"/>
        <w:ind w:firstLine="420" w:firstLineChars="200"/>
        <w:outlineLvl w:val="3"/>
        <w:rPr>
          <w:rFonts w:asciiTheme="minorEastAsia" w:hAnsiTheme="minorEastAsia" w:eastAsiaTheme="minorEastAsia" w:cstheme="minorEastAsia"/>
          <w:szCs w:val="21"/>
        </w:rPr>
      </w:pPr>
      <w:bookmarkStart w:id="38"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w:t>
      </w:r>
      <w:bookmarkStart w:id="97" w:name="_GoBack"/>
      <w:bookmarkEnd w:id="97"/>
      <w:r>
        <w:rPr>
          <w:rFonts w:hint="eastAsia" w:asciiTheme="minorEastAsia" w:hAnsiTheme="minorEastAsia" w:eastAsiaTheme="minorEastAsia" w:cstheme="minorEastAsia"/>
          <w:szCs w:val="21"/>
          <w:lang w:eastAsia="zh-CN"/>
        </w:rPr>
        <w:t>《中华人民共和国政府采购法</w:t>
      </w:r>
      <w:r>
        <w:rPr>
          <w:rFonts w:hint="eastAsia" w:asciiTheme="minorEastAsia" w:hAnsiTheme="minorEastAsia" w:eastAsiaTheme="minorEastAsia" w:cstheme="minorEastAsia"/>
          <w:szCs w:val="21"/>
        </w:rPr>
        <w:t>》等政府采购有关法律法规规定追究相应责任。</w:t>
      </w:r>
      <w:bookmarkEnd w:id="38"/>
    </w:p>
    <w:p>
      <w:pPr>
        <w:ind w:firstLine="420" w:firstLineChars="200"/>
      </w:pPr>
    </w:p>
    <w:p>
      <w:pPr>
        <w:jc w:val="center"/>
        <w:outlineLvl w:val="3"/>
        <w:rPr>
          <w:b/>
          <w:sz w:val="24"/>
        </w:rPr>
      </w:pPr>
      <w:r>
        <w:rPr>
          <w:rFonts w:hint="eastAsia"/>
          <w:b/>
          <w:sz w:val="24"/>
        </w:rPr>
        <w:t>2、残疾人福利性单位声明函（服务类）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项目采购活动由本单位提供服务。</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pPr>
        <w:ind w:firstLine="420" w:firstLineChars="200"/>
        <w:rPr>
          <w:rFonts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pPr>
        <w:ind w:firstLine="420" w:firstLineChars="200"/>
        <w:rPr>
          <w:rFonts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pPr>
        <w:ind w:firstLine="420" w:firstLineChars="200"/>
        <w:rPr>
          <w:rFonts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pPr>
        <w:ind w:firstLine="420" w:firstLineChars="200"/>
        <w:outlineLvl w:val="3"/>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pPr>
        <w:ind w:firstLine="420" w:firstLineChars="200"/>
        <w:rPr>
          <w:rFonts w:ascii="宋体" w:hAnsi="宋体"/>
          <w:szCs w:val="21"/>
        </w:rPr>
      </w:pPr>
      <w:r>
        <w:rPr>
          <w:rFonts w:hint="eastAsia" w:ascii="宋体" w:hAnsi="宋体"/>
          <w:szCs w:val="21"/>
        </w:rPr>
        <w:t>附：省级以上监狱管理局、戒毒管理局（含新疆生产建设兵团）出具的监狱企业证明文件。</w:t>
      </w:r>
    </w:p>
    <w:p>
      <w:pPr>
        <w:ind w:left="723" w:hanging="722" w:hangingChars="300"/>
        <w:rPr>
          <w:b/>
          <w:sz w:val="24"/>
        </w:rPr>
      </w:pPr>
    </w:p>
    <w:p>
      <w:pPr>
        <w:ind w:left="723" w:hanging="722" w:hangingChars="300"/>
        <w:rPr>
          <w:b/>
          <w:sz w:val="24"/>
        </w:rPr>
      </w:pPr>
    </w:p>
    <w:p>
      <w:pPr>
        <w:pStyle w:val="4"/>
        <w:jc w:val="center"/>
        <w:rPr>
          <w:rFonts w:ascii="黑体" w:eastAsia="黑体"/>
          <w:b/>
          <w:sz w:val="24"/>
          <w:szCs w:val="24"/>
        </w:rPr>
      </w:pPr>
      <w:r>
        <w:rPr>
          <w:rFonts w:hint="eastAsia" w:ascii="黑体" w:eastAsia="黑体"/>
          <w:b w:val="0"/>
          <w:sz w:val="24"/>
          <w:szCs w:val="24"/>
        </w:rPr>
        <w:t>四、项目详细报价</w:t>
      </w:r>
    </w:p>
    <w:p>
      <w:pPr>
        <w:tabs>
          <w:tab w:val="left" w:pos="720"/>
        </w:tabs>
        <w:ind w:firstLine="3132" w:firstLineChars="1300"/>
        <w:rPr>
          <w:b/>
          <w:sz w:val="24"/>
        </w:rPr>
      </w:pPr>
      <w:r>
        <w:rPr>
          <w:rFonts w:hint="eastAsia"/>
          <w:b/>
          <w:sz w:val="24"/>
        </w:rPr>
        <w:t>（一）分项报价表</w:t>
      </w:r>
    </w:p>
    <w:tbl>
      <w:tblPr>
        <w:tblStyle w:val="43"/>
        <w:tblpPr w:leftFromText="180" w:rightFromText="180" w:vertAnchor="text" w:horzAnchor="margin" w:tblpY="17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3222"/>
        <w:gridCol w:w="1109"/>
        <w:gridCol w:w="533"/>
        <w:gridCol w:w="1406"/>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318" w:type="pct"/>
            <w:vAlign w:val="center"/>
          </w:tcPr>
          <w:p>
            <w:pPr>
              <w:spacing w:line="276" w:lineRule="auto"/>
              <w:jc w:val="center"/>
              <w:rPr>
                <w:rFonts w:ascii="宋体" w:hAnsi="宋体" w:cs="宋体"/>
                <w:b/>
                <w:bCs/>
                <w:szCs w:val="21"/>
              </w:rPr>
            </w:pPr>
            <w:r>
              <w:rPr>
                <w:rFonts w:hint="eastAsia" w:ascii="宋体" w:hAnsi="宋体" w:cs="宋体"/>
                <w:b/>
                <w:bCs/>
                <w:szCs w:val="21"/>
              </w:rPr>
              <w:t>序号</w:t>
            </w:r>
          </w:p>
        </w:tc>
        <w:tc>
          <w:tcPr>
            <w:tcW w:w="1925" w:type="pct"/>
            <w:vAlign w:val="center"/>
          </w:tcPr>
          <w:p>
            <w:pPr>
              <w:spacing w:line="276" w:lineRule="auto"/>
              <w:jc w:val="center"/>
              <w:rPr>
                <w:rFonts w:ascii="宋体" w:hAnsi="宋体" w:cs="宋体"/>
                <w:b/>
                <w:bCs/>
                <w:szCs w:val="21"/>
              </w:rPr>
            </w:pPr>
            <w:r>
              <w:rPr>
                <w:rFonts w:hint="eastAsia" w:ascii="宋体" w:hAnsi="宋体" w:cs="宋体"/>
                <w:b/>
                <w:bCs/>
                <w:szCs w:val="21"/>
              </w:rPr>
              <w:t>服务需求内容</w:t>
            </w:r>
          </w:p>
        </w:tc>
        <w:tc>
          <w:tcPr>
            <w:tcW w:w="669" w:type="pct"/>
            <w:vAlign w:val="center"/>
          </w:tcPr>
          <w:p>
            <w:pPr>
              <w:spacing w:line="276" w:lineRule="auto"/>
              <w:jc w:val="center"/>
              <w:rPr>
                <w:rFonts w:ascii="宋体" w:hAnsi="宋体" w:cs="宋体"/>
                <w:b/>
                <w:bCs/>
                <w:szCs w:val="21"/>
              </w:rPr>
            </w:pPr>
            <w:r>
              <w:rPr>
                <w:rFonts w:hint="eastAsia" w:ascii="宋体" w:hAnsi="宋体" w:cs="宋体"/>
                <w:b/>
                <w:bCs/>
                <w:szCs w:val="21"/>
              </w:rPr>
              <w:t>工程量</w:t>
            </w:r>
          </w:p>
        </w:tc>
        <w:tc>
          <w:tcPr>
            <w:tcW w:w="365" w:type="pct"/>
            <w:vAlign w:val="center"/>
          </w:tcPr>
          <w:p>
            <w:pPr>
              <w:spacing w:line="276" w:lineRule="auto"/>
              <w:jc w:val="center"/>
              <w:rPr>
                <w:rFonts w:ascii="宋体" w:hAnsi="宋体" w:cs="宋体"/>
                <w:b/>
                <w:bCs/>
                <w:szCs w:val="21"/>
              </w:rPr>
            </w:pPr>
            <w:r>
              <w:rPr>
                <w:rFonts w:hint="eastAsia" w:ascii="宋体" w:hAnsi="宋体" w:cs="宋体"/>
                <w:b/>
                <w:bCs/>
                <w:szCs w:val="21"/>
              </w:rPr>
              <w:t>单位</w:t>
            </w:r>
          </w:p>
        </w:tc>
        <w:tc>
          <w:tcPr>
            <w:tcW w:w="860" w:type="pct"/>
          </w:tcPr>
          <w:p>
            <w:pPr>
              <w:spacing w:line="276" w:lineRule="auto"/>
              <w:jc w:val="center"/>
              <w:rPr>
                <w:rFonts w:ascii="宋体" w:hAnsi="宋体" w:cs="宋体"/>
                <w:b/>
                <w:bCs/>
                <w:szCs w:val="21"/>
              </w:rPr>
            </w:pPr>
            <w:r>
              <w:rPr>
                <w:rFonts w:hint="eastAsia" w:ascii="宋体" w:hAnsi="宋体" w:cs="宋体"/>
                <w:b/>
                <w:bCs/>
                <w:szCs w:val="21"/>
              </w:rPr>
              <w:t>单价（元/㎡）</w:t>
            </w:r>
          </w:p>
        </w:tc>
        <w:tc>
          <w:tcPr>
            <w:tcW w:w="860" w:type="pct"/>
          </w:tcPr>
          <w:p>
            <w:pPr>
              <w:spacing w:line="276" w:lineRule="auto"/>
              <w:jc w:val="center"/>
              <w:rPr>
                <w:rFonts w:ascii="宋体" w:hAnsi="宋体" w:cs="宋体"/>
                <w:b/>
                <w:bCs/>
                <w:szCs w:val="21"/>
              </w:rPr>
            </w:pPr>
            <w:r>
              <w:rPr>
                <w:rFonts w:hint="eastAsia" w:ascii="宋体" w:hAnsi="宋体" w:cs="宋体"/>
                <w:b/>
                <w:bCs/>
                <w:szCs w:val="21"/>
              </w:rPr>
              <w:t>合价（元</w:t>
            </w:r>
            <w:r>
              <w:rPr>
                <w:rFonts w:hint="eastAsia" w:ascii="宋体" w:hAnsi="宋体" w:cs="宋体"/>
                <w:b/>
                <w:bCs/>
                <w:szCs w:val="21"/>
                <w:lang w:eastAsia="zh-CN"/>
              </w:rPr>
              <w:t>）</w:t>
            </w:r>
            <w:r>
              <w:rPr>
                <w:rFonts w:hint="eastAsia" w:ascii="宋体" w:hAnsi="宋体" w:cs="宋体"/>
                <w:b/>
                <w:bCs/>
                <w:szCs w:val="21"/>
                <w:lang w:val="en-US" w:eastAsia="zh-CN"/>
              </w:rPr>
              <w:t>计算方式：</w:t>
            </w:r>
            <w:r>
              <w:rPr>
                <w:rFonts w:hint="eastAsia" w:ascii="宋体" w:hAnsi="宋体" w:cs="宋体"/>
                <w:b/>
                <w:bCs/>
                <w:szCs w:val="21"/>
              </w:rPr>
              <w:t>工</w:t>
            </w:r>
            <w:r>
              <w:rPr>
                <w:rFonts w:hint="eastAsia" w:ascii="宋体" w:hAnsi="宋体" w:eastAsia="宋体" w:cs="宋体"/>
                <w:b/>
                <w:bCs/>
                <w:szCs w:val="21"/>
                <w:lang w:val="en-US" w:eastAsia="zh-CN"/>
              </w:rPr>
              <w:t>程量㎡*单</w:t>
            </w:r>
            <w:r>
              <w:rPr>
                <w:rFonts w:hint="eastAsia" w:ascii="宋体" w:hAnsi="宋体" w:cs="宋体"/>
                <w:b/>
                <w:bCs/>
                <w:szCs w:val="21"/>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8" w:type="pct"/>
            <w:vAlign w:val="center"/>
          </w:tcPr>
          <w:p>
            <w:pPr>
              <w:spacing w:line="276" w:lineRule="auto"/>
              <w:jc w:val="center"/>
              <w:rPr>
                <w:rFonts w:ascii="宋体" w:hAnsi="宋体" w:cs="宋体"/>
                <w:bCs/>
                <w:szCs w:val="21"/>
              </w:rPr>
            </w:pPr>
            <w:r>
              <w:rPr>
                <w:rFonts w:hint="eastAsia" w:ascii="宋体" w:hAnsi="宋体" w:cs="宋体"/>
                <w:bCs/>
                <w:szCs w:val="21"/>
              </w:rPr>
              <w:t>1</w:t>
            </w:r>
          </w:p>
        </w:tc>
        <w:tc>
          <w:tcPr>
            <w:tcW w:w="1925" w:type="pct"/>
            <w:vAlign w:val="center"/>
          </w:tcPr>
          <w:p>
            <w:pPr>
              <w:spacing w:line="276" w:lineRule="auto"/>
              <w:jc w:val="center"/>
              <w:rPr>
                <w:rFonts w:ascii="宋体" w:hAnsi="宋体" w:cs="宋体"/>
                <w:bCs/>
                <w:szCs w:val="21"/>
              </w:rPr>
            </w:pPr>
            <w:r>
              <w:rPr>
                <w:rFonts w:hint="eastAsia" w:ascii="宋体" w:hAnsi="宋体" w:cs="宋体"/>
                <w:szCs w:val="21"/>
              </w:rPr>
              <w:t>深圳大运中心体育场结构安全检测鉴定</w:t>
            </w:r>
          </w:p>
        </w:tc>
        <w:tc>
          <w:tcPr>
            <w:tcW w:w="669" w:type="pct"/>
            <w:vAlign w:val="center"/>
          </w:tcPr>
          <w:p>
            <w:pPr>
              <w:spacing w:line="276" w:lineRule="auto"/>
              <w:jc w:val="center"/>
              <w:rPr>
                <w:rFonts w:ascii="宋体" w:hAnsi="宋体" w:cs="宋体"/>
                <w:bCs/>
                <w:szCs w:val="21"/>
              </w:rPr>
            </w:pPr>
            <w:r>
              <w:rPr>
                <w:rFonts w:hint="eastAsia" w:ascii="宋体" w:hAnsi="宋体" w:cs="宋体"/>
                <w:bCs/>
                <w:szCs w:val="21"/>
              </w:rPr>
              <w:t>135869.20</w:t>
            </w:r>
          </w:p>
        </w:tc>
        <w:tc>
          <w:tcPr>
            <w:tcW w:w="365" w:type="pct"/>
            <w:vAlign w:val="center"/>
          </w:tcPr>
          <w:p>
            <w:pPr>
              <w:spacing w:line="276" w:lineRule="auto"/>
              <w:jc w:val="center"/>
              <w:rPr>
                <w:rFonts w:ascii="宋体" w:hAnsi="宋体" w:cs="宋体"/>
                <w:bCs/>
                <w:szCs w:val="21"/>
              </w:rPr>
            </w:pPr>
            <w:r>
              <w:rPr>
                <w:rFonts w:hint="eastAsia" w:ascii="宋体" w:hAnsi="宋体" w:cs="宋体"/>
                <w:bCs/>
                <w:szCs w:val="21"/>
              </w:rPr>
              <w:t>㎡</w:t>
            </w:r>
          </w:p>
        </w:tc>
        <w:tc>
          <w:tcPr>
            <w:tcW w:w="860" w:type="pct"/>
          </w:tcPr>
          <w:p>
            <w:pPr>
              <w:spacing w:line="276" w:lineRule="auto"/>
              <w:jc w:val="center"/>
              <w:rPr>
                <w:rFonts w:ascii="宋体" w:hAnsi="宋体" w:cs="宋体"/>
                <w:bCs/>
                <w:szCs w:val="21"/>
              </w:rPr>
            </w:pPr>
          </w:p>
        </w:tc>
        <w:tc>
          <w:tcPr>
            <w:tcW w:w="860" w:type="pct"/>
          </w:tcPr>
          <w:p>
            <w:pPr>
              <w:spacing w:line="276" w:lineRule="auto"/>
              <w:jc w:val="center"/>
              <w:rPr>
                <w:rFonts w:hint="eastAsia"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8" w:type="pct"/>
            <w:vAlign w:val="center"/>
          </w:tcPr>
          <w:p>
            <w:pPr>
              <w:spacing w:line="276" w:lineRule="auto"/>
              <w:jc w:val="center"/>
              <w:rPr>
                <w:rFonts w:ascii="宋体" w:hAnsi="宋体" w:cs="宋体"/>
                <w:bCs/>
                <w:szCs w:val="21"/>
              </w:rPr>
            </w:pPr>
            <w:r>
              <w:rPr>
                <w:rFonts w:hint="eastAsia" w:ascii="宋体" w:hAnsi="宋体" w:cs="宋体"/>
                <w:bCs/>
                <w:szCs w:val="21"/>
              </w:rPr>
              <w:t>2</w:t>
            </w:r>
          </w:p>
        </w:tc>
        <w:tc>
          <w:tcPr>
            <w:tcW w:w="1925" w:type="pct"/>
            <w:vAlign w:val="center"/>
          </w:tcPr>
          <w:p>
            <w:pPr>
              <w:spacing w:line="276" w:lineRule="auto"/>
              <w:jc w:val="center"/>
              <w:rPr>
                <w:rFonts w:ascii="宋体" w:hAnsi="宋体" w:cs="宋体"/>
                <w:szCs w:val="21"/>
              </w:rPr>
            </w:pPr>
            <w:r>
              <w:rPr>
                <w:rFonts w:hint="eastAsia" w:ascii="宋体" w:hAnsi="宋体" w:cs="宋体"/>
                <w:szCs w:val="21"/>
              </w:rPr>
              <w:t>深圳大运中心体育场幕墙安全检测鉴定</w:t>
            </w:r>
          </w:p>
        </w:tc>
        <w:tc>
          <w:tcPr>
            <w:tcW w:w="669" w:type="pct"/>
            <w:vAlign w:val="center"/>
          </w:tcPr>
          <w:p>
            <w:pPr>
              <w:spacing w:line="276" w:lineRule="auto"/>
              <w:jc w:val="center"/>
              <w:rPr>
                <w:rFonts w:ascii="宋体" w:hAnsi="宋体" w:cs="宋体"/>
                <w:szCs w:val="21"/>
              </w:rPr>
            </w:pPr>
            <w:r>
              <w:rPr>
                <w:rFonts w:hint="eastAsia" w:ascii="宋体" w:hAnsi="宋体" w:cs="宋体"/>
                <w:szCs w:val="21"/>
              </w:rPr>
              <w:t>78000.00</w:t>
            </w:r>
          </w:p>
        </w:tc>
        <w:tc>
          <w:tcPr>
            <w:tcW w:w="365" w:type="pct"/>
            <w:vAlign w:val="center"/>
          </w:tcPr>
          <w:p>
            <w:pPr>
              <w:spacing w:line="276" w:lineRule="auto"/>
              <w:jc w:val="center"/>
              <w:rPr>
                <w:rFonts w:ascii="宋体" w:hAnsi="宋体" w:cs="宋体"/>
                <w:bCs/>
                <w:szCs w:val="21"/>
              </w:rPr>
            </w:pPr>
            <w:r>
              <w:rPr>
                <w:rFonts w:hint="eastAsia" w:ascii="宋体" w:hAnsi="宋体" w:cs="宋体"/>
                <w:bCs/>
                <w:szCs w:val="21"/>
              </w:rPr>
              <w:t>㎡</w:t>
            </w:r>
          </w:p>
        </w:tc>
        <w:tc>
          <w:tcPr>
            <w:tcW w:w="860" w:type="pct"/>
          </w:tcPr>
          <w:p>
            <w:pPr>
              <w:spacing w:line="276" w:lineRule="auto"/>
              <w:jc w:val="center"/>
              <w:rPr>
                <w:rFonts w:ascii="宋体" w:hAnsi="宋体" w:cs="宋体"/>
                <w:bCs/>
                <w:szCs w:val="21"/>
              </w:rPr>
            </w:pPr>
          </w:p>
        </w:tc>
        <w:tc>
          <w:tcPr>
            <w:tcW w:w="860" w:type="pct"/>
          </w:tcPr>
          <w:p>
            <w:pPr>
              <w:spacing w:line="276"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8" w:type="pct"/>
            <w:vAlign w:val="center"/>
          </w:tcPr>
          <w:p>
            <w:pPr>
              <w:spacing w:line="276" w:lineRule="auto"/>
              <w:jc w:val="center"/>
              <w:rPr>
                <w:rFonts w:ascii="宋体" w:hAnsi="宋体" w:cs="宋体"/>
                <w:bCs/>
                <w:szCs w:val="21"/>
              </w:rPr>
            </w:pPr>
            <w:r>
              <w:rPr>
                <w:rFonts w:hint="eastAsia" w:ascii="宋体" w:hAnsi="宋体" w:cs="宋体"/>
                <w:bCs/>
                <w:szCs w:val="21"/>
              </w:rPr>
              <w:t>3</w:t>
            </w:r>
          </w:p>
        </w:tc>
        <w:tc>
          <w:tcPr>
            <w:tcW w:w="1925" w:type="pct"/>
            <w:vAlign w:val="center"/>
          </w:tcPr>
          <w:p>
            <w:pPr>
              <w:spacing w:line="276" w:lineRule="auto"/>
              <w:jc w:val="center"/>
              <w:rPr>
                <w:rFonts w:ascii="宋体" w:hAnsi="宋体" w:cs="宋体"/>
                <w:szCs w:val="21"/>
              </w:rPr>
            </w:pPr>
            <w:r>
              <w:rPr>
                <w:rFonts w:hint="eastAsia" w:ascii="宋体" w:hAnsi="宋体" w:cs="宋体"/>
                <w:szCs w:val="21"/>
              </w:rPr>
              <w:t>深圳大运中心体育馆结构安全检测鉴定</w:t>
            </w:r>
          </w:p>
        </w:tc>
        <w:tc>
          <w:tcPr>
            <w:tcW w:w="669" w:type="pct"/>
            <w:vAlign w:val="center"/>
          </w:tcPr>
          <w:p>
            <w:pPr>
              <w:spacing w:line="276" w:lineRule="auto"/>
              <w:jc w:val="center"/>
              <w:rPr>
                <w:rFonts w:ascii="宋体" w:hAnsi="宋体" w:cs="宋体"/>
                <w:szCs w:val="21"/>
              </w:rPr>
            </w:pPr>
            <w:r>
              <w:rPr>
                <w:rFonts w:hint="eastAsia" w:ascii="宋体" w:hAnsi="宋体" w:cs="宋体"/>
                <w:szCs w:val="21"/>
              </w:rPr>
              <w:t>73761.00</w:t>
            </w:r>
          </w:p>
        </w:tc>
        <w:tc>
          <w:tcPr>
            <w:tcW w:w="365" w:type="pct"/>
            <w:vAlign w:val="center"/>
          </w:tcPr>
          <w:p>
            <w:pPr>
              <w:spacing w:line="276" w:lineRule="auto"/>
              <w:jc w:val="center"/>
              <w:rPr>
                <w:rFonts w:ascii="宋体" w:hAnsi="宋体" w:cs="宋体"/>
                <w:bCs/>
                <w:szCs w:val="21"/>
              </w:rPr>
            </w:pPr>
            <w:r>
              <w:rPr>
                <w:rFonts w:hint="eastAsia" w:ascii="宋体" w:hAnsi="宋体" w:cs="宋体"/>
                <w:bCs/>
                <w:szCs w:val="21"/>
              </w:rPr>
              <w:t>㎡</w:t>
            </w:r>
          </w:p>
        </w:tc>
        <w:tc>
          <w:tcPr>
            <w:tcW w:w="860" w:type="pct"/>
          </w:tcPr>
          <w:p>
            <w:pPr>
              <w:spacing w:line="276" w:lineRule="auto"/>
              <w:jc w:val="center"/>
              <w:rPr>
                <w:rFonts w:ascii="宋体" w:hAnsi="宋体" w:cs="宋体"/>
                <w:bCs/>
                <w:szCs w:val="21"/>
              </w:rPr>
            </w:pPr>
          </w:p>
        </w:tc>
        <w:tc>
          <w:tcPr>
            <w:tcW w:w="860" w:type="pct"/>
          </w:tcPr>
          <w:p>
            <w:pPr>
              <w:spacing w:line="276"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8" w:type="pct"/>
            <w:vAlign w:val="center"/>
          </w:tcPr>
          <w:p>
            <w:pPr>
              <w:spacing w:line="276" w:lineRule="auto"/>
              <w:jc w:val="center"/>
              <w:rPr>
                <w:rFonts w:ascii="宋体" w:hAnsi="宋体" w:cs="宋体"/>
                <w:bCs/>
                <w:szCs w:val="21"/>
              </w:rPr>
            </w:pPr>
            <w:r>
              <w:rPr>
                <w:rFonts w:hint="eastAsia" w:ascii="宋体" w:hAnsi="宋体" w:cs="宋体"/>
                <w:bCs/>
                <w:szCs w:val="21"/>
              </w:rPr>
              <w:t>4</w:t>
            </w:r>
          </w:p>
        </w:tc>
        <w:tc>
          <w:tcPr>
            <w:tcW w:w="1925" w:type="pct"/>
            <w:vAlign w:val="center"/>
          </w:tcPr>
          <w:p>
            <w:pPr>
              <w:spacing w:line="276" w:lineRule="auto"/>
              <w:jc w:val="center"/>
              <w:rPr>
                <w:rFonts w:ascii="宋体" w:hAnsi="宋体" w:cs="宋体"/>
                <w:szCs w:val="21"/>
              </w:rPr>
            </w:pPr>
            <w:r>
              <w:rPr>
                <w:rFonts w:hint="eastAsia" w:ascii="宋体" w:hAnsi="宋体" w:cs="宋体"/>
                <w:szCs w:val="21"/>
              </w:rPr>
              <w:t>深圳大运中心体育馆幕墙安全检测鉴定</w:t>
            </w:r>
          </w:p>
        </w:tc>
        <w:tc>
          <w:tcPr>
            <w:tcW w:w="669" w:type="pct"/>
            <w:vAlign w:val="center"/>
          </w:tcPr>
          <w:p>
            <w:pPr>
              <w:spacing w:line="276" w:lineRule="auto"/>
              <w:jc w:val="center"/>
              <w:rPr>
                <w:rFonts w:ascii="宋体" w:hAnsi="宋体" w:cs="宋体"/>
                <w:szCs w:val="21"/>
              </w:rPr>
            </w:pPr>
            <w:r>
              <w:rPr>
                <w:rFonts w:hint="eastAsia" w:ascii="宋体" w:hAnsi="宋体" w:cs="宋体"/>
                <w:szCs w:val="21"/>
              </w:rPr>
              <w:t>33000.00</w:t>
            </w:r>
          </w:p>
        </w:tc>
        <w:tc>
          <w:tcPr>
            <w:tcW w:w="365" w:type="pct"/>
            <w:vAlign w:val="center"/>
          </w:tcPr>
          <w:p>
            <w:pPr>
              <w:spacing w:line="276" w:lineRule="auto"/>
              <w:jc w:val="center"/>
              <w:rPr>
                <w:rFonts w:ascii="宋体" w:hAnsi="宋体" w:cs="宋体"/>
                <w:bCs/>
                <w:szCs w:val="21"/>
              </w:rPr>
            </w:pPr>
            <w:r>
              <w:rPr>
                <w:rFonts w:hint="eastAsia" w:ascii="宋体" w:hAnsi="宋体" w:cs="宋体"/>
                <w:bCs/>
                <w:szCs w:val="21"/>
              </w:rPr>
              <w:t>㎡</w:t>
            </w:r>
          </w:p>
        </w:tc>
        <w:tc>
          <w:tcPr>
            <w:tcW w:w="860" w:type="pct"/>
          </w:tcPr>
          <w:p>
            <w:pPr>
              <w:spacing w:line="276" w:lineRule="auto"/>
              <w:jc w:val="center"/>
              <w:rPr>
                <w:rFonts w:ascii="宋体" w:hAnsi="宋体" w:cs="宋体"/>
                <w:bCs/>
                <w:szCs w:val="21"/>
              </w:rPr>
            </w:pPr>
          </w:p>
        </w:tc>
        <w:tc>
          <w:tcPr>
            <w:tcW w:w="860" w:type="pct"/>
          </w:tcPr>
          <w:p>
            <w:pPr>
              <w:spacing w:line="276"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8" w:type="pct"/>
            <w:vAlign w:val="center"/>
          </w:tcPr>
          <w:p>
            <w:pPr>
              <w:spacing w:line="276" w:lineRule="auto"/>
              <w:jc w:val="center"/>
              <w:rPr>
                <w:rFonts w:ascii="宋体" w:hAnsi="宋体" w:cs="宋体"/>
                <w:bCs/>
                <w:szCs w:val="21"/>
              </w:rPr>
            </w:pPr>
            <w:r>
              <w:rPr>
                <w:rFonts w:hint="eastAsia" w:ascii="宋体" w:hAnsi="宋体" w:cs="宋体"/>
                <w:bCs/>
                <w:szCs w:val="21"/>
              </w:rPr>
              <w:t>5</w:t>
            </w:r>
          </w:p>
        </w:tc>
        <w:tc>
          <w:tcPr>
            <w:tcW w:w="1925" w:type="pct"/>
            <w:vAlign w:val="center"/>
          </w:tcPr>
          <w:p>
            <w:pPr>
              <w:spacing w:line="276" w:lineRule="auto"/>
              <w:jc w:val="center"/>
              <w:rPr>
                <w:rFonts w:ascii="宋体" w:hAnsi="宋体" w:cs="宋体"/>
                <w:szCs w:val="21"/>
              </w:rPr>
            </w:pPr>
            <w:r>
              <w:rPr>
                <w:rFonts w:hint="eastAsia" w:ascii="宋体" w:hAnsi="宋体" w:cs="宋体"/>
                <w:szCs w:val="21"/>
              </w:rPr>
              <w:t>深圳大运中心游泳馆结构安全检测鉴定</w:t>
            </w:r>
          </w:p>
        </w:tc>
        <w:tc>
          <w:tcPr>
            <w:tcW w:w="669" w:type="pct"/>
            <w:vAlign w:val="center"/>
          </w:tcPr>
          <w:p>
            <w:pPr>
              <w:spacing w:line="276" w:lineRule="auto"/>
              <w:jc w:val="center"/>
              <w:rPr>
                <w:rFonts w:ascii="宋体" w:hAnsi="宋体" w:cs="宋体"/>
                <w:szCs w:val="21"/>
              </w:rPr>
            </w:pPr>
            <w:r>
              <w:rPr>
                <w:rFonts w:hint="eastAsia" w:ascii="宋体" w:hAnsi="宋体" w:cs="宋体"/>
                <w:szCs w:val="21"/>
              </w:rPr>
              <w:t>73761.00</w:t>
            </w:r>
          </w:p>
        </w:tc>
        <w:tc>
          <w:tcPr>
            <w:tcW w:w="365" w:type="pct"/>
            <w:vAlign w:val="center"/>
          </w:tcPr>
          <w:p>
            <w:pPr>
              <w:spacing w:line="276" w:lineRule="auto"/>
              <w:jc w:val="center"/>
              <w:rPr>
                <w:rFonts w:ascii="宋体" w:hAnsi="宋体" w:cs="宋体"/>
                <w:bCs/>
                <w:szCs w:val="21"/>
              </w:rPr>
            </w:pPr>
            <w:r>
              <w:rPr>
                <w:rFonts w:hint="eastAsia" w:ascii="宋体" w:hAnsi="宋体" w:cs="宋体"/>
                <w:bCs/>
                <w:szCs w:val="21"/>
              </w:rPr>
              <w:t>㎡</w:t>
            </w:r>
          </w:p>
        </w:tc>
        <w:tc>
          <w:tcPr>
            <w:tcW w:w="860" w:type="pct"/>
          </w:tcPr>
          <w:p>
            <w:pPr>
              <w:spacing w:line="276" w:lineRule="auto"/>
              <w:jc w:val="center"/>
              <w:rPr>
                <w:rFonts w:ascii="宋体" w:hAnsi="宋体" w:cs="宋体"/>
                <w:bCs/>
                <w:szCs w:val="21"/>
              </w:rPr>
            </w:pPr>
          </w:p>
        </w:tc>
        <w:tc>
          <w:tcPr>
            <w:tcW w:w="860" w:type="pct"/>
          </w:tcPr>
          <w:p>
            <w:pPr>
              <w:spacing w:line="276"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8" w:type="pct"/>
            <w:vAlign w:val="center"/>
          </w:tcPr>
          <w:p>
            <w:pPr>
              <w:spacing w:line="276" w:lineRule="auto"/>
              <w:jc w:val="center"/>
              <w:rPr>
                <w:rFonts w:ascii="宋体" w:hAnsi="宋体" w:cs="宋体"/>
                <w:bCs/>
                <w:szCs w:val="21"/>
              </w:rPr>
            </w:pPr>
            <w:r>
              <w:rPr>
                <w:rFonts w:hint="eastAsia" w:ascii="宋体" w:hAnsi="宋体" w:cs="宋体"/>
                <w:bCs/>
                <w:szCs w:val="21"/>
              </w:rPr>
              <w:t>6</w:t>
            </w:r>
          </w:p>
        </w:tc>
        <w:tc>
          <w:tcPr>
            <w:tcW w:w="1925" w:type="pct"/>
            <w:vAlign w:val="center"/>
          </w:tcPr>
          <w:p>
            <w:pPr>
              <w:spacing w:line="276" w:lineRule="auto"/>
              <w:jc w:val="center"/>
              <w:rPr>
                <w:rFonts w:ascii="宋体" w:hAnsi="宋体" w:cs="宋体"/>
                <w:szCs w:val="21"/>
              </w:rPr>
            </w:pPr>
            <w:r>
              <w:rPr>
                <w:rFonts w:hint="eastAsia" w:ascii="宋体" w:hAnsi="宋体" w:cs="宋体"/>
                <w:szCs w:val="21"/>
              </w:rPr>
              <w:t>深圳大运中心游泳馆幕墙安全检测鉴定</w:t>
            </w:r>
          </w:p>
        </w:tc>
        <w:tc>
          <w:tcPr>
            <w:tcW w:w="669" w:type="pct"/>
            <w:vAlign w:val="center"/>
          </w:tcPr>
          <w:p>
            <w:pPr>
              <w:spacing w:line="276" w:lineRule="auto"/>
              <w:jc w:val="center"/>
              <w:rPr>
                <w:rFonts w:ascii="宋体" w:hAnsi="宋体" w:cs="宋体"/>
                <w:szCs w:val="21"/>
              </w:rPr>
            </w:pPr>
            <w:r>
              <w:rPr>
                <w:rFonts w:hint="eastAsia" w:ascii="宋体" w:hAnsi="宋体" w:cs="宋体"/>
                <w:szCs w:val="21"/>
              </w:rPr>
              <w:t>29000.00</w:t>
            </w:r>
          </w:p>
        </w:tc>
        <w:tc>
          <w:tcPr>
            <w:tcW w:w="365" w:type="pct"/>
            <w:vAlign w:val="center"/>
          </w:tcPr>
          <w:p>
            <w:pPr>
              <w:spacing w:line="276" w:lineRule="auto"/>
              <w:jc w:val="center"/>
              <w:rPr>
                <w:rFonts w:ascii="宋体" w:hAnsi="宋体" w:cs="宋体"/>
                <w:bCs/>
                <w:szCs w:val="21"/>
              </w:rPr>
            </w:pPr>
            <w:r>
              <w:rPr>
                <w:rFonts w:hint="eastAsia" w:ascii="宋体" w:hAnsi="宋体" w:cs="宋体"/>
                <w:bCs/>
                <w:szCs w:val="21"/>
              </w:rPr>
              <w:t>㎡</w:t>
            </w:r>
          </w:p>
        </w:tc>
        <w:tc>
          <w:tcPr>
            <w:tcW w:w="860" w:type="pct"/>
          </w:tcPr>
          <w:p>
            <w:pPr>
              <w:spacing w:line="276" w:lineRule="auto"/>
              <w:jc w:val="center"/>
              <w:rPr>
                <w:rFonts w:ascii="宋体" w:hAnsi="宋体" w:cs="宋体"/>
                <w:bCs/>
                <w:szCs w:val="21"/>
              </w:rPr>
            </w:pPr>
          </w:p>
        </w:tc>
        <w:tc>
          <w:tcPr>
            <w:tcW w:w="860" w:type="pct"/>
          </w:tcPr>
          <w:p>
            <w:pPr>
              <w:spacing w:line="276" w:lineRule="auto"/>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318" w:type="pct"/>
            <w:vAlign w:val="center"/>
          </w:tcPr>
          <w:p>
            <w:pPr>
              <w:spacing w:line="276" w:lineRule="auto"/>
              <w:jc w:val="center"/>
              <w:rPr>
                <w:rFonts w:ascii="宋体" w:hAnsi="宋体" w:cs="宋体"/>
                <w:bCs/>
                <w:szCs w:val="21"/>
              </w:rPr>
            </w:pPr>
            <w:r>
              <w:rPr>
                <w:rFonts w:hint="eastAsia" w:ascii="宋体" w:hAnsi="宋体" w:cs="宋体"/>
                <w:bCs/>
                <w:szCs w:val="21"/>
              </w:rPr>
              <w:t>合计（元）</w:t>
            </w:r>
          </w:p>
        </w:tc>
        <w:tc>
          <w:tcPr>
            <w:tcW w:w="4681" w:type="pct"/>
            <w:gridSpan w:val="5"/>
            <w:vAlign w:val="center"/>
          </w:tcPr>
          <w:p>
            <w:pPr>
              <w:spacing w:line="276" w:lineRule="auto"/>
              <w:jc w:val="center"/>
              <w:rPr>
                <w:rFonts w:ascii="宋体" w:hAnsi="宋体" w:cs="宋体"/>
                <w:bCs/>
                <w:szCs w:val="21"/>
              </w:rPr>
            </w:pPr>
          </w:p>
        </w:tc>
      </w:tr>
    </w:tbl>
    <w:p>
      <w:pPr>
        <w:pStyle w:val="19"/>
      </w:pPr>
    </w:p>
    <w:p>
      <w:pPr>
        <w:ind w:firstLine="0" w:firstLineChars="0"/>
      </w:pPr>
    </w:p>
    <w:p>
      <w:pPr>
        <w:ind w:left="632" w:hanging="632" w:hangingChars="300"/>
        <w:rPr>
          <w:b/>
          <w:color w:val="0000FF"/>
          <w:szCs w:val="21"/>
        </w:rPr>
      </w:pPr>
      <w:r>
        <w:rPr>
          <w:rFonts w:hint="eastAsia"/>
          <w:b/>
          <w:color w:val="0000FF"/>
          <w:szCs w:val="21"/>
        </w:rPr>
        <w:t>注：</w:t>
      </w:r>
    </w:p>
    <w:p>
      <w:pPr>
        <w:widowControl/>
        <w:snapToGrid w:val="0"/>
        <w:ind w:firstLine="420" w:firstLineChars="200"/>
        <w:jc w:val="left"/>
        <w:rPr>
          <w:rFonts w:ascii="宋体" w:hAnsi="宋体"/>
          <w:color w:val="0000FF"/>
          <w:kern w:val="0"/>
          <w:szCs w:val="21"/>
        </w:rPr>
      </w:pPr>
      <w:r>
        <w:rPr>
          <w:rFonts w:hint="eastAsia" w:ascii="宋体" w:hAnsi="宋体"/>
          <w:color w:val="0000FF"/>
          <w:kern w:val="0"/>
          <w:szCs w:val="21"/>
        </w:rPr>
        <w:t>1、投标人的投标报价不得超过预算金额，否则将导致投标被否决。</w:t>
      </w:r>
    </w:p>
    <w:p>
      <w:pPr>
        <w:ind w:firstLine="481" w:firstLineChars="200"/>
        <w:rPr>
          <w:rFonts w:hAnsi="宋体"/>
          <w:b/>
          <w:bCs/>
          <w:sz w:val="24"/>
        </w:rPr>
      </w:pPr>
    </w:p>
    <w:p>
      <w:pPr>
        <w:tabs>
          <w:tab w:val="left" w:pos="720"/>
        </w:tabs>
        <w:jc w:val="center"/>
        <w:rPr>
          <w:b/>
          <w:sz w:val="24"/>
        </w:rPr>
      </w:pPr>
      <w:r>
        <w:rPr>
          <w:rFonts w:hint="eastAsia"/>
          <w:b/>
          <w:sz w:val="24"/>
        </w:rPr>
        <w:t>（二）投标人认为需要涉及的其他内容报价清单</w:t>
      </w:r>
    </w:p>
    <w:p>
      <w:pPr>
        <w:rPr>
          <w:b/>
          <w:bCs/>
        </w:rPr>
      </w:pPr>
    </w:p>
    <w:p>
      <w:pPr>
        <w:pStyle w:val="4"/>
        <w:jc w:val="center"/>
        <w:rPr>
          <w:rFonts w:hint="eastAsia" w:ascii="黑体" w:hAnsi="宋体" w:eastAsia="黑体" w:cs="Times New Roman"/>
          <w:b w:val="0"/>
          <w:sz w:val="24"/>
          <w:szCs w:val="24"/>
        </w:rPr>
      </w:pPr>
      <w:r>
        <w:rPr>
          <w:rFonts w:hint="eastAsia" w:ascii="黑体" w:hAnsi="宋体" w:eastAsia="黑体" w:cs="Times New Roman"/>
          <w:b w:val="0"/>
          <w:sz w:val="24"/>
          <w:szCs w:val="24"/>
          <w:lang w:val="en-US" w:eastAsia="zh-CN"/>
        </w:rPr>
        <w:t>五、</w:t>
      </w:r>
      <w:r>
        <w:rPr>
          <w:rFonts w:hint="eastAsia" w:ascii="黑体" w:hAnsi="宋体" w:eastAsia="黑体" w:cs="Times New Roman"/>
          <w:b w:val="0"/>
          <w:sz w:val="24"/>
          <w:szCs w:val="24"/>
        </w:rPr>
        <w:t>联合体投标协议书</w:t>
      </w:r>
    </w:p>
    <w:p>
      <w:pPr>
        <w:rPr>
          <w:rFonts w:hint="eastAsia" w:ascii="宋体" w:hAnsi="宋体" w:cs="仿宋_GB2312"/>
          <w:szCs w:val="21"/>
          <w:lang w:val="en-US" w:eastAsia="zh-CN"/>
        </w:rPr>
      </w:pPr>
      <w:r>
        <w:rPr>
          <w:rFonts w:hint="eastAsia" w:asciiTheme="minorEastAsia" w:hAnsiTheme="minorEastAsia" w:eastAsiaTheme="minorEastAsia" w:cstheme="minorEastAsia"/>
          <w:color w:val="FF0000"/>
          <w:sz w:val="24"/>
        </w:rPr>
        <w:t>（特别提示：投标人按本招标文件这一要求，提供证明资料）</w:t>
      </w:r>
    </w:p>
    <w:p>
      <w:pPr>
        <w:pStyle w:val="4"/>
        <w:jc w:val="center"/>
        <w:rPr>
          <w:rFonts w:hint="eastAsia" w:ascii="黑体" w:hAnsi="宋体" w:eastAsia="黑体" w:cs="Times New Roman"/>
          <w:b w:val="0"/>
          <w:sz w:val="24"/>
          <w:szCs w:val="24"/>
          <w:lang w:val="en-US" w:eastAsia="zh-CN"/>
        </w:rPr>
      </w:pPr>
      <w:r>
        <w:rPr>
          <w:rFonts w:hint="eastAsia" w:ascii="黑体" w:hAnsi="宋体" w:eastAsia="黑体" w:cs="Times New Roman"/>
          <w:b w:val="0"/>
          <w:sz w:val="24"/>
          <w:szCs w:val="24"/>
          <w:lang w:val="en-US" w:eastAsia="zh-CN"/>
        </w:rPr>
        <w:t>六、</w:t>
      </w:r>
      <w:r>
        <w:rPr>
          <w:rFonts w:hint="eastAsia" w:ascii="黑体" w:hAnsi="宋体" w:eastAsia="黑体" w:cs="Times New Roman"/>
          <w:b w:val="0"/>
          <w:sz w:val="24"/>
          <w:szCs w:val="24"/>
          <w:lang w:val="zh-CN" w:eastAsia="zh-CN"/>
        </w:rPr>
        <w:t>同类业绩</w:t>
      </w:r>
    </w:p>
    <w:p>
      <w:pPr>
        <w:rPr>
          <w:rFonts w:hint="eastAsia" w:ascii="宋体" w:hAnsi="宋体" w:cs="仿宋_GB2312"/>
          <w:szCs w:val="21"/>
          <w:lang w:val="en-US" w:eastAsia="zh-CN"/>
        </w:rPr>
      </w:pPr>
      <w:r>
        <w:t xml:space="preserve"> </w:t>
      </w: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pStyle w:val="4"/>
        <w:jc w:val="center"/>
        <w:rPr>
          <w:rFonts w:hint="eastAsia" w:ascii="黑体" w:hAnsi="宋体" w:eastAsia="黑体" w:cs="Times New Roman"/>
          <w:b w:val="0"/>
          <w:sz w:val="24"/>
          <w:szCs w:val="24"/>
          <w:lang w:val="en-US" w:eastAsia="zh-CN"/>
        </w:rPr>
      </w:pPr>
      <w:r>
        <w:rPr>
          <w:rFonts w:hint="eastAsia" w:ascii="黑体" w:hAnsi="宋体" w:eastAsia="黑体" w:cs="Times New Roman"/>
          <w:b w:val="0"/>
          <w:sz w:val="24"/>
          <w:szCs w:val="24"/>
          <w:lang w:val="en-US" w:eastAsia="zh-CN"/>
        </w:rPr>
        <w:t>七、</w:t>
      </w:r>
      <w:r>
        <w:rPr>
          <w:rFonts w:hint="eastAsia" w:ascii="黑体" w:hAnsi="宋体" w:eastAsia="黑体" w:cs="Times New Roman"/>
          <w:b w:val="0"/>
          <w:sz w:val="24"/>
          <w:szCs w:val="24"/>
          <w:lang w:val="zh-CN" w:eastAsia="zh-CN"/>
        </w:rPr>
        <w:t>企业体系认证情况</w:t>
      </w:r>
    </w:p>
    <w:p>
      <w:pPr>
        <w:rPr>
          <w:rFonts w:hint="default" w:ascii="黑体" w:hAnsi="宋体" w:eastAsia="黑体" w:cs="Times New Roman"/>
          <w:b w:val="0"/>
          <w:sz w:val="24"/>
          <w:szCs w:val="24"/>
          <w:lang w:val="en-US" w:eastAsia="zh-CN"/>
        </w:rPr>
      </w:pPr>
      <w:r>
        <w:t xml:space="preserve"> </w:t>
      </w: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pStyle w:val="4"/>
        <w:jc w:val="center"/>
        <w:rPr>
          <w:rFonts w:hint="eastAsia" w:ascii="黑体" w:hAnsi="宋体" w:eastAsia="黑体" w:cs="Times New Roman"/>
          <w:b w:val="0"/>
          <w:sz w:val="24"/>
          <w:szCs w:val="24"/>
          <w:lang w:val="en-US" w:eastAsia="zh-CN"/>
        </w:rPr>
      </w:pPr>
      <w:r>
        <w:rPr>
          <w:rFonts w:hint="eastAsia" w:ascii="黑体" w:hAnsi="宋体" w:eastAsia="黑体" w:cs="Times New Roman"/>
          <w:b w:val="0"/>
          <w:sz w:val="24"/>
          <w:szCs w:val="24"/>
          <w:lang w:val="en-US" w:eastAsia="zh-CN"/>
        </w:rPr>
        <w:t>八、</w:t>
      </w:r>
      <w:r>
        <w:rPr>
          <w:rFonts w:hint="eastAsia" w:ascii="黑体" w:hAnsi="宋体" w:eastAsia="黑体" w:cs="Times New Roman"/>
          <w:b w:val="0"/>
          <w:sz w:val="24"/>
          <w:szCs w:val="24"/>
          <w:lang w:val="zh-CN" w:eastAsia="zh-CN"/>
        </w:rPr>
        <w:t>企业综合能力</w:t>
      </w:r>
    </w:p>
    <w:p>
      <w:pPr>
        <w:rPr>
          <w:rFonts w:hint="eastAsia" w:ascii="宋体" w:hAnsi="宋体" w:cs="仿宋_GB2312"/>
          <w:szCs w:val="21"/>
          <w:lang w:val="en-US" w:eastAsia="zh-CN"/>
        </w:rPr>
      </w:pPr>
      <w:r>
        <w:t xml:space="preserve"> </w:t>
      </w: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pStyle w:val="4"/>
        <w:jc w:val="center"/>
        <w:rPr>
          <w:rFonts w:hint="eastAsia" w:ascii="黑体" w:hAnsi="宋体" w:eastAsia="黑体" w:cs="Times New Roman"/>
          <w:b w:val="0"/>
          <w:sz w:val="24"/>
          <w:szCs w:val="24"/>
          <w:lang w:val="en-US" w:eastAsia="zh-CN"/>
        </w:rPr>
      </w:pPr>
      <w:r>
        <w:rPr>
          <w:rFonts w:hint="eastAsia" w:ascii="黑体" w:hAnsi="宋体" w:eastAsia="黑体" w:cs="Times New Roman"/>
          <w:b w:val="0"/>
          <w:sz w:val="24"/>
          <w:szCs w:val="24"/>
          <w:lang w:val="en-US" w:eastAsia="zh-CN"/>
        </w:rPr>
        <w:t>九、</w:t>
      </w:r>
      <w:r>
        <w:rPr>
          <w:rFonts w:hint="eastAsia" w:ascii="黑体" w:hAnsi="宋体" w:eastAsia="黑体" w:cs="Times New Roman"/>
          <w:b w:val="0"/>
          <w:sz w:val="24"/>
          <w:szCs w:val="24"/>
          <w:lang w:val="zh-CN" w:eastAsia="zh-CN"/>
        </w:rPr>
        <w:t>企业荣誉</w:t>
      </w:r>
    </w:p>
    <w:p>
      <w:pPr>
        <w:pStyle w:val="36"/>
      </w:pPr>
    </w:p>
    <w:p>
      <w:pPr>
        <w:pStyle w:val="8"/>
        <w:ind w:firstLine="0"/>
        <w:rPr>
          <w:rFonts w:asciiTheme="minorEastAsia" w:hAnsiTheme="minorEastAsia" w:eastAsiaTheme="minorEastAsia" w:cstheme="minorEastAsia"/>
          <w:color w:val="FF0000"/>
          <w:sz w:val="24"/>
        </w:rPr>
      </w:pPr>
      <w:r>
        <w:t xml:space="preserve">  </w:t>
      </w: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pStyle w:val="36"/>
      </w:pPr>
    </w:p>
    <w:p/>
    <w:p/>
    <w:p>
      <w:pPr>
        <w:ind w:firstLine="1445" w:firstLineChars="600"/>
        <w:rPr>
          <w:b/>
          <w:color w:val="FF0000"/>
          <w:sz w:val="24"/>
        </w:rPr>
      </w:pPr>
      <w:r>
        <w:rPr>
          <w:rFonts w:hint="eastAsia"/>
          <w:b/>
          <w:color w:val="FF0000"/>
          <w:sz w:val="24"/>
        </w:rPr>
        <w:t>（信息公开部分的内容到此为止！以下为信息不公开部分。）</w:t>
      </w: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jc w:val="center"/>
        <w:rPr>
          <w:b/>
          <w:sz w:val="32"/>
          <w:szCs w:val="32"/>
        </w:rPr>
      </w:pPr>
    </w:p>
    <w:p>
      <w:pPr>
        <w:rPr>
          <w:rFonts w:ascii="仿宋_GB2312" w:eastAsia="仿宋_GB2312"/>
          <w:b/>
          <w:sz w:val="30"/>
          <w:szCs w:val="30"/>
        </w:rPr>
      </w:pPr>
      <w:r>
        <w:rPr>
          <w:rFonts w:hint="eastAsia" w:ascii="仿宋_GB2312" w:eastAsia="仿宋_GB2312"/>
          <w:b/>
          <w:sz w:val="30"/>
          <w:szCs w:val="30"/>
        </w:rPr>
        <w:br w:type="page"/>
      </w:r>
    </w:p>
    <w:p>
      <w:pPr>
        <w:outlineLvl w:val="1"/>
        <w:rPr>
          <w:rFonts w:ascii="宋体" w:hAnsi="宋体"/>
          <w:b/>
          <w:color w:val="FF0000"/>
          <w:sz w:val="28"/>
          <w:szCs w:val="28"/>
        </w:rPr>
      </w:pPr>
      <w:r>
        <w:rPr>
          <w:rFonts w:hint="eastAsia" w:ascii="宋体" w:hAnsi="宋体"/>
          <w:b/>
          <w:color w:val="FF0000"/>
          <w:sz w:val="28"/>
          <w:szCs w:val="28"/>
        </w:rPr>
        <w:t>投标文件附件（信息不公开部分）</w:t>
      </w:r>
    </w:p>
    <w:p>
      <w:pPr>
        <w:pStyle w:val="193"/>
        <w:rPr>
          <w:rFonts w:ascii="宋体" w:hAnsi="宋体"/>
          <w:b/>
          <w:color w:val="FF0000"/>
          <w:sz w:val="28"/>
          <w:szCs w:val="28"/>
        </w:rPr>
      </w:pPr>
    </w:p>
    <w:p>
      <w:pPr>
        <w:snapToGrid w:val="0"/>
        <w:jc w:val="center"/>
        <w:outlineLvl w:val="0"/>
        <w:rPr>
          <w:rFonts w:ascii="黑体" w:hAnsi="宋体" w:eastAsia="黑体"/>
          <w:bCs/>
          <w:sz w:val="24"/>
          <w:szCs w:val="32"/>
        </w:rPr>
      </w:pPr>
      <w:r>
        <w:rPr>
          <w:rFonts w:hint="eastAsia" w:ascii="黑体" w:hAnsi="宋体" w:eastAsia="黑体"/>
          <w:bCs/>
          <w:sz w:val="24"/>
          <w:szCs w:val="32"/>
        </w:rPr>
        <w:t>一、供应商基本情况表</w:t>
      </w:r>
    </w:p>
    <w:tbl>
      <w:tblPr>
        <w:tblStyle w:val="4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45"/>
        <w:gridCol w:w="1530"/>
        <w:gridCol w:w="904"/>
        <w:gridCol w:w="752"/>
        <w:gridCol w:w="1146"/>
        <w:gridCol w:w="1429"/>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pct"/>
            <w:gridSpan w:val="2"/>
            <w:vAlign w:val="center"/>
          </w:tcPr>
          <w:p>
            <w:pPr>
              <w:rPr>
                <w:rFonts w:ascii="宋体" w:hAnsi="宋体" w:cs="宋体"/>
                <w:szCs w:val="21"/>
              </w:rPr>
            </w:pPr>
            <w:r>
              <w:rPr>
                <w:rFonts w:hint="eastAsia" w:ascii="宋体" w:hAnsi="宋体" w:cs="宋体"/>
                <w:szCs w:val="21"/>
              </w:rPr>
              <w:t>投标（响应）供应商</w:t>
            </w:r>
          </w:p>
        </w:tc>
        <w:tc>
          <w:tcPr>
            <w:tcW w:w="1427" w:type="pct"/>
            <w:gridSpan w:val="2"/>
            <w:vAlign w:val="center"/>
          </w:tcPr>
          <w:p>
            <w:pPr>
              <w:jc w:val="center"/>
              <w:rPr>
                <w:rFonts w:ascii="宋体" w:hAnsi="宋体" w:cs="宋体"/>
                <w:szCs w:val="21"/>
              </w:rPr>
            </w:pPr>
          </w:p>
        </w:tc>
        <w:tc>
          <w:tcPr>
            <w:tcW w:w="1113" w:type="pct"/>
            <w:gridSpan w:val="2"/>
            <w:vAlign w:val="center"/>
          </w:tcPr>
          <w:p>
            <w:pPr>
              <w:jc w:val="center"/>
              <w:rPr>
                <w:rFonts w:ascii="宋体" w:hAnsi="宋体" w:cs="宋体"/>
                <w:szCs w:val="21"/>
              </w:rPr>
            </w:pPr>
            <w:r>
              <w:rPr>
                <w:rFonts w:hint="eastAsia" w:ascii="宋体" w:hAnsi="宋体" w:cs="宋体"/>
                <w:szCs w:val="21"/>
              </w:rPr>
              <w:t>项目名称及编号</w:t>
            </w:r>
          </w:p>
        </w:tc>
        <w:tc>
          <w:tcPr>
            <w:tcW w:w="1669" w:type="pct"/>
            <w:gridSpan w:val="2"/>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jc w:val="center"/>
              <w:rPr>
                <w:rFonts w:ascii="宋体" w:hAnsi="宋体" w:cs="宋体"/>
                <w:szCs w:val="21"/>
              </w:rPr>
            </w:pPr>
            <w:r>
              <w:rPr>
                <w:rFonts w:hint="eastAsia" w:ascii="宋体" w:hAnsi="宋体" w:cs="宋体"/>
                <w:b/>
                <w:bCs/>
                <w:szCs w:val="21"/>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vAlign w:val="center"/>
          </w:tcPr>
          <w:p>
            <w:pPr>
              <w:snapToGrid w:val="0"/>
              <w:jc w:val="center"/>
              <w:rPr>
                <w:rFonts w:ascii="宋体" w:hAnsi="宋体" w:cs="宋体"/>
                <w:szCs w:val="21"/>
              </w:rPr>
            </w:pPr>
            <w:r>
              <w:rPr>
                <w:rFonts w:hint="eastAsia" w:ascii="宋体" w:hAnsi="宋体" w:cs="宋体"/>
                <w:szCs w:val="21"/>
              </w:rPr>
              <w:t>序号</w:t>
            </w:r>
          </w:p>
        </w:tc>
        <w:tc>
          <w:tcPr>
            <w:tcW w:w="1275" w:type="pct"/>
            <w:gridSpan w:val="2"/>
            <w:tcBorders>
              <w:bottom w:val="single" w:color="auto" w:sz="4" w:space="0"/>
            </w:tcBorders>
            <w:vAlign w:val="center"/>
          </w:tcPr>
          <w:p>
            <w:pPr>
              <w:jc w:val="center"/>
              <w:rPr>
                <w:rFonts w:ascii="宋体" w:hAnsi="宋体" w:cs="宋体"/>
                <w:szCs w:val="21"/>
              </w:rPr>
            </w:pPr>
            <w:r>
              <w:rPr>
                <w:rFonts w:hint="eastAsia" w:ascii="宋体" w:hAnsi="宋体" w:cs="宋体"/>
                <w:szCs w:val="21"/>
              </w:rPr>
              <w:t>职务</w:t>
            </w:r>
          </w:p>
        </w:tc>
        <w:tc>
          <w:tcPr>
            <w:tcW w:w="529" w:type="pct"/>
            <w:tcBorders>
              <w:bottom w:val="single" w:color="auto" w:sz="4" w:space="0"/>
            </w:tcBorders>
            <w:vAlign w:val="center"/>
          </w:tcPr>
          <w:p>
            <w:pPr>
              <w:jc w:val="center"/>
              <w:rPr>
                <w:rFonts w:ascii="宋体" w:hAnsi="宋体" w:cs="宋体"/>
                <w:szCs w:val="21"/>
              </w:rPr>
            </w:pPr>
            <w:r>
              <w:rPr>
                <w:rFonts w:hint="eastAsia" w:ascii="宋体" w:hAnsi="宋体" w:cs="宋体"/>
                <w:szCs w:val="21"/>
              </w:rPr>
              <w:t>姓名</w:t>
            </w:r>
          </w:p>
        </w:tc>
        <w:tc>
          <w:tcPr>
            <w:tcW w:w="1113" w:type="pct"/>
            <w:gridSpan w:val="2"/>
            <w:tcBorders>
              <w:bottom w:val="single" w:color="auto" w:sz="4" w:space="0"/>
            </w:tcBorders>
            <w:vAlign w:val="center"/>
          </w:tcPr>
          <w:p>
            <w:pPr>
              <w:jc w:val="center"/>
              <w:rPr>
                <w:rFonts w:ascii="宋体" w:hAnsi="宋体" w:cs="宋体"/>
                <w:szCs w:val="21"/>
              </w:rPr>
            </w:pPr>
            <w:r>
              <w:rPr>
                <w:rFonts w:hint="eastAsia" w:ascii="宋体" w:hAnsi="宋体" w:cs="宋体"/>
                <w:szCs w:val="21"/>
              </w:rPr>
              <w:t>身份证号码</w:t>
            </w:r>
          </w:p>
        </w:tc>
        <w:tc>
          <w:tcPr>
            <w:tcW w:w="838" w:type="pct"/>
            <w:tcBorders>
              <w:bottom w:val="single" w:color="auto" w:sz="4" w:space="0"/>
            </w:tcBorders>
            <w:vAlign w:val="center"/>
          </w:tcPr>
          <w:p>
            <w:pPr>
              <w:snapToGrid w:val="0"/>
              <w:jc w:val="center"/>
              <w:rPr>
                <w:rFonts w:ascii="宋体" w:hAnsi="宋体" w:cs="宋体"/>
                <w:szCs w:val="21"/>
              </w:rPr>
            </w:pPr>
            <w:r>
              <w:rPr>
                <w:rFonts w:hint="eastAsia" w:ascii="宋体" w:hAnsi="宋体" w:cs="宋体"/>
                <w:szCs w:val="21"/>
              </w:rPr>
              <w:t>劳动合同</w:t>
            </w:r>
          </w:p>
          <w:p>
            <w:pPr>
              <w:snapToGrid w:val="0"/>
              <w:jc w:val="center"/>
              <w:rPr>
                <w:rFonts w:ascii="宋体" w:hAnsi="宋体" w:cs="宋体"/>
                <w:szCs w:val="21"/>
              </w:rPr>
            </w:pPr>
            <w:r>
              <w:rPr>
                <w:rFonts w:hint="eastAsia" w:ascii="宋体" w:hAnsi="宋体" w:cs="宋体"/>
                <w:szCs w:val="21"/>
              </w:rPr>
              <w:t>关系单位</w:t>
            </w:r>
          </w:p>
        </w:tc>
        <w:tc>
          <w:tcPr>
            <w:tcW w:w="830" w:type="pct"/>
            <w:tcBorders>
              <w:bottom w:val="single" w:color="auto" w:sz="4" w:space="0"/>
            </w:tcBorders>
            <w:vAlign w:val="center"/>
          </w:tcPr>
          <w:p>
            <w:pPr>
              <w:snapToGrid w:val="0"/>
              <w:jc w:val="center"/>
              <w:rPr>
                <w:rFonts w:ascii="宋体" w:hAnsi="宋体" w:cs="宋体"/>
                <w:szCs w:val="21"/>
              </w:rPr>
            </w:pPr>
            <w:r>
              <w:rPr>
                <w:rFonts w:hint="eastAsia" w:ascii="宋体" w:hAnsi="宋体" w:cs="宋体"/>
                <w:szCs w:val="21"/>
              </w:rPr>
              <w:t>缴纳社会</w:t>
            </w:r>
          </w:p>
          <w:p>
            <w:pPr>
              <w:snapToGrid w:val="0"/>
              <w:jc w:val="center"/>
              <w:rPr>
                <w:rFonts w:ascii="宋体" w:hAnsi="宋体" w:cs="宋体"/>
                <w:szCs w:val="21"/>
              </w:rPr>
            </w:pPr>
            <w:r>
              <w:rPr>
                <w:rFonts w:hint="eastAsia" w:ascii="宋体" w:hAnsi="宋体" w:cs="宋体"/>
                <w:szCs w:val="21"/>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1</w:t>
            </w:r>
          </w:p>
        </w:tc>
        <w:tc>
          <w:tcPr>
            <w:tcW w:w="1275" w:type="pct"/>
            <w:gridSpan w:val="2"/>
            <w:tcBorders>
              <w:top w:val="single" w:color="auto" w:sz="4" w:space="0"/>
              <w:left w:val="single" w:color="auto" w:sz="4" w:space="0"/>
              <w:bottom w:val="single" w:color="auto" w:sz="4" w:space="0"/>
              <w:right w:val="single" w:color="auto" w:sz="4" w:space="0"/>
            </w:tcBorders>
            <w:vAlign w:val="center"/>
          </w:tcPr>
          <w:p>
            <w:pPr>
              <w:spacing w:line="460" w:lineRule="exact"/>
              <w:jc w:val="center"/>
              <w:rPr>
                <w:rFonts w:ascii="宋体" w:hAnsi="宋体" w:cs="宋体"/>
                <w:szCs w:val="21"/>
              </w:rPr>
            </w:pPr>
            <w:r>
              <w:rPr>
                <w:rFonts w:hint="eastAsia" w:ascii="宋体" w:hAnsi="宋体" w:cs="宋体"/>
                <w:szCs w:val="21"/>
              </w:rPr>
              <w:t>法定代表人/单位负责人/主要经营负责人</w:t>
            </w:r>
          </w:p>
        </w:tc>
        <w:tc>
          <w:tcPr>
            <w:tcW w:w="52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1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3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2</w:t>
            </w:r>
          </w:p>
        </w:tc>
        <w:tc>
          <w:tcPr>
            <w:tcW w:w="127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项目投标授权代表人</w:t>
            </w:r>
          </w:p>
        </w:tc>
        <w:tc>
          <w:tcPr>
            <w:tcW w:w="529"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1113"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830"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tcBorders>
            <w:vAlign w:val="center"/>
          </w:tcPr>
          <w:p>
            <w:pPr>
              <w:jc w:val="center"/>
              <w:rPr>
                <w:rFonts w:ascii="宋体" w:hAnsi="宋体" w:cs="宋体"/>
                <w:szCs w:val="21"/>
              </w:rPr>
            </w:pPr>
            <w:r>
              <w:rPr>
                <w:rFonts w:hint="eastAsia" w:ascii="宋体" w:hAnsi="宋体" w:cs="宋体"/>
                <w:szCs w:val="21"/>
                <w:lang w:bidi="ar"/>
              </w:rPr>
              <w:t>3</w:t>
            </w:r>
          </w:p>
        </w:tc>
        <w:tc>
          <w:tcPr>
            <w:tcW w:w="1275" w:type="pct"/>
            <w:gridSpan w:val="2"/>
            <w:tcBorders>
              <w:top w:val="single" w:color="auto" w:sz="4" w:space="0"/>
            </w:tcBorders>
            <w:vAlign w:val="center"/>
          </w:tcPr>
          <w:p>
            <w:pPr>
              <w:jc w:val="center"/>
              <w:rPr>
                <w:rFonts w:ascii="宋体" w:hAnsi="宋体" w:cs="宋体"/>
                <w:szCs w:val="21"/>
              </w:rPr>
            </w:pPr>
            <w:r>
              <w:rPr>
                <w:rFonts w:hint="eastAsia" w:ascii="宋体" w:hAnsi="宋体" w:cs="宋体"/>
                <w:szCs w:val="21"/>
              </w:rPr>
              <w:t>项目负责人</w:t>
            </w:r>
          </w:p>
        </w:tc>
        <w:tc>
          <w:tcPr>
            <w:tcW w:w="529" w:type="pct"/>
            <w:tcBorders>
              <w:top w:val="single" w:color="auto" w:sz="4" w:space="0"/>
            </w:tcBorders>
            <w:vAlign w:val="center"/>
          </w:tcPr>
          <w:p>
            <w:pPr>
              <w:jc w:val="center"/>
              <w:rPr>
                <w:rFonts w:ascii="宋体" w:hAnsi="宋体" w:cs="宋体"/>
                <w:szCs w:val="21"/>
              </w:rPr>
            </w:pPr>
          </w:p>
        </w:tc>
        <w:tc>
          <w:tcPr>
            <w:tcW w:w="1113" w:type="pct"/>
            <w:gridSpan w:val="2"/>
            <w:tcBorders>
              <w:top w:val="single" w:color="auto" w:sz="4" w:space="0"/>
            </w:tcBorders>
            <w:vAlign w:val="center"/>
          </w:tcPr>
          <w:p>
            <w:pPr>
              <w:jc w:val="center"/>
              <w:rPr>
                <w:rFonts w:ascii="宋体" w:hAnsi="宋体" w:cs="宋体"/>
                <w:szCs w:val="21"/>
              </w:rPr>
            </w:pPr>
          </w:p>
        </w:tc>
        <w:tc>
          <w:tcPr>
            <w:tcW w:w="838" w:type="pct"/>
            <w:tcBorders>
              <w:top w:val="single" w:color="auto" w:sz="4" w:space="0"/>
            </w:tcBorders>
            <w:vAlign w:val="center"/>
          </w:tcPr>
          <w:p>
            <w:pPr>
              <w:jc w:val="center"/>
              <w:rPr>
                <w:rFonts w:ascii="宋体" w:hAnsi="宋体" w:cs="宋体"/>
                <w:szCs w:val="21"/>
              </w:rPr>
            </w:pPr>
          </w:p>
        </w:tc>
        <w:tc>
          <w:tcPr>
            <w:tcW w:w="830" w:type="pct"/>
            <w:tcBorders>
              <w:top w:val="single" w:color="auto" w:sz="4" w:space="0"/>
            </w:tcBorders>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vAlign w:val="center"/>
          </w:tcPr>
          <w:p>
            <w:pPr>
              <w:jc w:val="center"/>
              <w:rPr>
                <w:rFonts w:ascii="宋体" w:hAnsi="宋体" w:cs="宋体"/>
                <w:szCs w:val="21"/>
              </w:rPr>
            </w:pPr>
            <w:r>
              <w:rPr>
                <w:rFonts w:hint="eastAsia" w:ascii="宋体" w:hAnsi="宋体" w:cs="宋体"/>
                <w:szCs w:val="21"/>
                <w:lang w:bidi="ar"/>
              </w:rPr>
              <w:t>4</w:t>
            </w:r>
          </w:p>
        </w:tc>
        <w:tc>
          <w:tcPr>
            <w:tcW w:w="1275" w:type="pct"/>
            <w:gridSpan w:val="2"/>
            <w:vAlign w:val="center"/>
          </w:tcPr>
          <w:p>
            <w:pPr>
              <w:jc w:val="center"/>
              <w:rPr>
                <w:rFonts w:ascii="宋体" w:hAnsi="宋体" w:cs="宋体"/>
                <w:szCs w:val="21"/>
              </w:rPr>
            </w:pPr>
            <w:r>
              <w:rPr>
                <w:rFonts w:hint="eastAsia" w:ascii="宋体" w:hAnsi="宋体" w:cs="宋体"/>
                <w:szCs w:val="21"/>
              </w:rPr>
              <w:t>主要技术人员</w:t>
            </w:r>
          </w:p>
        </w:tc>
        <w:tc>
          <w:tcPr>
            <w:tcW w:w="529" w:type="pct"/>
            <w:vAlign w:val="center"/>
          </w:tcPr>
          <w:p>
            <w:pPr>
              <w:jc w:val="center"/>
              <w:rPr>
                <w:rFonts w:ascii="宋体" w:hAnsi="宋体" w:cs="宋体"/>
                <w:szCs w:val="21"/>
              </w:rPr>
            </w:pPr>
          </w:p>
        </w:tc>
        <w:tc>
          <w:tcPr>
            <w:tcW w:w="1113" w:type="pct"/>
            <w:gridSpan w:val="2"/>
            <w:vAlign w:val="center"/>
          </w:tcPr>
          <w:p>
            <w:pPr>
              <w:jc w:val="center"/>
              <w:rPr>
                <w:rFonts w:ascii="宋体" w:hAnsi="宋体" w:cs="宋体"/>
                <w:szCs w:val="21"/>
              </w:rPr>
            </w:pPr>
          </w:p>
        </w:tc>
        <w:tc>
          <w:tcPr>
            <w:tcW w:w="838" w:type="pct"/>
            <w:vAlign w:val="center"/>
          </w:tcPr>
          <w:p>
            <w:pPr>
              <w:jc w:val="center"/>
              <w:rPr>
                <w:rFonts w:ascii="宋体" w:hAnsi="宋体" w:cs="宋体"/>
                <w:szCs w:val="21"/>
              </w:rPr>
            </w:pPr>
          </w:p>
        </w:tc>
        <w:tc>
          <w:tcPr>
            <w:tcW w:w="830" w:type="pct"/>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11" w:type="pct"/>
            <w:vAlign w:val="center"/>
          </w:tcPr>
          <w:p>
            <w:pPr>
              <w:jc w:val="center"/>
              <w:rPr>
                <w:rFonts w:ascii="宋体" w:hAnsi="宋体" w:cs="宋体"/>
                <w:szCs w:val="21"/>
              </w:rPr>
            </w:pPr>
            <w:r>
              <w:rPr>
                <w:rFonts w:hint="eastAsia" w:ascii="宋体" w:hAnsi="宋体" w:cs="宋体"/>
                <w:szCs w:val="21"/>
                <w:lang w:bidi="ar"/>
              </w:rPr>
              <w:t>5</w:t>
            </w:r>
          </w:p>
        </w:tc>
        <w:tc>
          <w:tcPr>
            <w:tcW w:w="1275" w:type="pct"/>
            <w:gridSpan w:val="2"/>
            <w:vAlign w:val="center"/>
          </w:tcPr>
          <w:p>
            <w:pPr>
              <w:snapToGrid w:val="0"/>
              <w:jc w:val="center"/>
              <w:rPr>
                <w:rFonts w:ascii="宋体" w:hAnsi="宋体" w:cs="宋体"/>
                <w:szCs w:val="21"/>
              </w:rPr>
            </w:pPr>
            <w:r>
              <w:rPr>
                <w:rFonts w:hint="eastAsia" w:ascii="宋体" w:hAnsi="宋体" w:cs="宋体"/>
                <w:szCs w:val="21"/>
              </w:rPr>
              <w:t>投标文件编制人员</w:t>
            </w:r>
          </w:p>
        </w:tc>
        <w:tc>
          <w:tcPr>
            <w:tcW w:w="529" w:type="pct"/>
            <w:vAlign w:val="center"/>
          </w:tcPr>
          <w:p>
            <w:pPr>
              <w:jc w:val="center"/>
              <w:rPr>
                <w:rFonts w:ascii="宋体" w:hAnsi="宋体" w:cs="宋体"/>
                <w:szCs w:val="21"/>
              </w:rPr>
            </w:pPr>
          </w:p>
        </w:tc>
        <w:tc>
          <w:tcPr>
            <w:tcW w:w="1113" w:type="pct"/>
            <w:gridSpan w:val="2"/>
            <w:vAlign w:val="center"/>
          </w:tcPr>
          <w:p>
            <w:pPr>
              <w:jc w:val="center"/>
              <w:rPr>
                <w:rFonts w:ascii="宋体" w:hAnsi="宋体" w:cs="宋体"/>
                <w:szCs w:val="21"/>
              </w:rPr>
            </w:pPr>
          </w:p>
        </w:tc>
        <w:tc>
          <w:tcPr>
            <w:tcW w:w="838" w:type="pct"/>
            <w:vAlign w:val="center"/>
          </w:tcPr>
          <w:p>
            <w:pPr>
              <w:jc w:val="center"/>
              <w:rPr>
                <w:rFonts w:ascii="宋体" w:hAnsi="宋体" w:cs="宋体"/>
                <w:szCs w:val="21"/>
              </w:rPr>
            </w:pPr>
          </w:p>
        </w:tc>
        <w:tc>
          <w:tcPr>
            <w:tcW w:w="830" w:type="pct"/>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vAlign w:val="center"/>
          </w:tcPr>
          <w:p>
            <w:pPr>
              <w:rPr>
                <w:rFonts w:ascii="宋体" w:hAnsi="宋体" w:cs="宋体"/>
                <w:szCs w:val="21"/>
              </w:rPr>
            </w:pPr>
            <w:r>
              <w:rPr>
                <w:rFonts w:hint="eastAsia" w:ascii="宋体" w:hAnsi="宋体" w:cs="宋体"/>
                <w:b/>
                <w:bCs/>
                <w:szCs w:val="21"/>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vAlign w:val="center"/>
          </w:tcPr>
          <w:p>
            <w:pPr>
              <w:jc w:val="center"/>
              <w:rPr>
                <w:rFonts w:ascii="宋体" w:hAnsi="宋体" w:cs="宋体"/>
                <w:b/>
                <w:bCs/>
                <w:szCs w:val="21"/>
              </w:rPr>
            </w:pPr>
            <w:r>
              <w:rPr>
                <w:rFonts w:hint="eastAsia" w:ascii="宋体" w:hAnsi="宋体" w:cs="宋体"/>
                <w:b/>
                <w:bCs/>
                <w:szCs w:val="21"/>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vAlign w:val="center"/>
          </w:tcPr>
          <w:p>
            <w:pPr>
              <w:jc w:val="center"/>
              <w:rPr>
                <w:rFonts w:ascii="宋体" w:hAnsi="宋体" w:cs="宋体"/>
                <w:szCs w:val="21"/>
                <w:lang w:bidi="ar"/>
              </w:rPr>
            </w:pPr>
            <w:r>
              <w:rPr>
                <w:rFonts w:hint="eastAsia" w:ascii="宋体" w:hAnsi="宋体" w:cs="宋体"/>
                <w:szCs w:val="21"/>
                <w:lang w:bidi="ar"/>
              </w:rPr>
              <w:t>序号</w:t>
            </w:r>
          </w:p>
        </w:tc>
        <w:tc>
          <w:tcPr>
            <w:tcW w:w="1275" w:type="pct"/>
            <w:gridSpan w:val="2"/>
            <w:tcBorders>
              <w:bottom w:val="single" w:color="auto" w:sz="4" w:space="0"/>
            </w:tcBorders>
            <w:vAlign w:val="center"/>
          </w:tcPr>
          <w:p>
            <w:pPr>
              <w:jc w:val="center"/>
              <w:rPr>
                <w:rFonts w:ascii="宋体" w:hAnsi="宋体" w:cs="宋体"/>
                <w:szCs w:val="21"/>
              </w:rPr>
            </w:pPr>
            <w:r>
              <w:rPr>
                <w:rFonts w:hint="eastAsia" w:ascii="宋体" w:hAnsi="宋体" w:cs="宋体"/>
                <w:szCs w:val="21"/>
              </w:rPr>
              <w:t>关联关系类型</w:t>
            </w:r>
          </w:p>
        </w:tc>
        <w:tc>
          <w:tcPr>
            <w:tcW w:w="971" w:type="pct"/>
            <w:gridSpan w:val="2"/>
            <w:tcBorders>
              <w:bottom w:val="single" w:color="auto" w:sz="4" w:space="0"/>
            </w:tcBorders>
            <w:vAlign w:val="center"/>
          </w:tcPr>
          <w:p>
            <w:pPr>
              <w:jc w:val="center"/>
              <w:rPr>
                <w:rFonts w:ascii="宋体" w:hAnsi="宋体" w:cs="宋体"/>
                <w:szCs w:val="21"/>
              </w:rPr>
            </w:pPr>
            <w:r>
              <w:rPr>
                <w:rFonts w:hint="eastAsia" w:ascii="宋体" w:hAnsi="宋体" w:cs="宋体"/>
                <w:szCs w:val="21"/>
              </w:rPr>
              <w:t>关联主体名称</w:t>
            </w:r>
          </w:p>
        </w:tc>
        <w:tc>
          <w:tcPr>
            <w:tcW w:w="2340" w:type="pct"/>
            <w:gridSpan w:val="3"/>
            <w:tcBorders>
              <w:bottom w:val="single" w:color="auto" w:sz="4" w:space="0"/>
            </w:tcBorders>
            <w:vAlign w:val="center"/>
          </w:tcPr>
          <w:p>
            <w:pPr>
              <w:jc w:val="center"/>
              <w:rPr>
                <w:rFonts w:ascii="宋体" w:hAnsi="宋体" w:cs="宋体"/>
                <w:szCs w:val="21"/>
              </w:rPr>
            </w:pPr>
            <w:r>
              <w:rPr>
                <w:rFonts w:hint="eastAsia" w:ascii="宋体" w:hAnsi="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lang w:bidi="ar"/>
              </w:rPr>
            </w:pPr>
            <w:r>
              <w:rPr>
                <w:rFonts w:hint="eastAsia" w:ascii="宋体" w:hAnsi="宋体" w:cs="宋体"/>
                <w:szCs w:val="21"/>
                <w:lang w:bidi="ar"/>
              </w:rPr>
              <w:t>1</w:t>
            </w:r>
          </w:p>
        </w:tc>
        <w:tc>
          <w:tcPr>
            <w:tcW w:w="127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控股股东</w:t>
            </w:r>
          </w:p>
        </w:tc>
        <w:tc>
          <w:tcPr>
            <w:tcW w:w="97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340" w:type="pct"/>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1"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lang w:bidi="ar"/>
              </w:rPr>
            </w:pPr>
            <w:r>
              <w:rPr>
                <w:rFonts w:hint="eastAsia" w:ascii="宋体" w:hAnsi="宋体" w:cs="宋体"/>
                <w:szCs w:val="21"/>
                <w:lang w:bidi="ar"/>
              </w:rPr>
              <w:t>2</w:t>
            </w:r>
          </w:p>
        </w:tc>
        <w:tc>
          <w:tcPr>
            <w:tcW w:w="1275"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管理关系</w:t>
            </w:r>
          </w:p>
        </w:tc>
        <w:tc>
          <w:tcPr>
            <w:tcW w:w="971"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tc>
        <w:tc>
          <w:tcPr>
            <w:tcW w:w="2340" w:type="pct"/>
            <w:gridSpan w:val="3"/>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szCs w:val="21"/>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szCs w:val="21"/>
              </w:rPr>
            </w:pPr>
            <w:r>
              <w:rPr>
                <w:rFonts w:hint="eastAsia" w:ascii="宋体" w:hAnsi="宋体" w:cs="宋体"/>
                <w:b/>
                <w:bCs/>
                <w:szCs w:val="21"/>
              </w:rPr>
              <w:t>说明：同一关联关系类型有多个主体的，应分行填写。</w:t>
            </w:r>
          </w:p>
        </w:tc>
      </w:tr>
    </w:tbl>
    <w:p>
      <w:pPr>
        <w:pStyle w:val="193"/>
        <w:rPr>
          <w:rFonts w:ascii="宋体" w:hAnsi="宋体"/>
          <w:b/>
          <w:color w:val="FF0000"/>
          <w:sz w:val="28"/>
          <w:szCs w:val="28"/>
        </w:rPr>
      </w:pPr>
    </w:p>
    <w:p>
      <w:pPr>
        <w:pStyle w:val="4"/>
        <w:jc w:val="center"/>
        <w:rPr>
          <w:rFonts w:ascii="黑体" w:eastAsia="黑体"/>
          <w:b w:val="0"/>
          <w:sz w:val="24"/>
        </w:rPr>
      </w:pPr>
      <w:r>
        <w:rPr>
          <w:rFonts w:hint="eastAsia" w:ascii="黑体" w:eastAsia="黑体"/>
          <w:b w:val="0"/>
          <w:sz w:val="24"/>
        </w:rPr>
        <w:t>二、</w:t>
      </w:r>
      <w:bookmarkStart w:id="39" w:name="_Hlk72092499"/>
      <w:r>
        <w:rPr>
          <w:rFonts w:hint="eastAsia" w:ascii="黑体" w:eastAsia="黑体"/>
          <w:b w:val="0"/>
          <w:sz w:val="24"/>
        </w:rPr>
        <w:t>法定代表人（负责人）证明书</w:t>
      </w:r>
      <w:bookmarkEnd w:id="39"/>
    </w:p>
    <w:p>
      <w:pPr>
        <w:rPr>
          <w:sz w:val="24"/>
        </w:rPr>
      </w:pPr>
    </w:p>
    <w:p>
      <w:pPr>
        <w:spacing w:line="360" w:lineRule="auto"/>
        <w:ind w:firstLine="420" w:firstLineChars="200"/>
        <w:rPr>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特此证明。</w:t>
      </w:r>
    </w:p>
    <w:p>
      <w:pPr>
        <w:spacing w:line="360" w:lineRule="auto"/>
        <w:ind w:firstLine="420" w:firstLineChars="200"/>
        <w:rPr>
          <w:szCs w:val="21"/>
        </w:rPr>
      </w:pPr>
      <w:r>
        <w:rPr>
          <w:rFonts w:hint="eastAsia"/>
          <w:szCs w:val="21"/>
        </w:rPr>
        <w:t>说明：1、法定代表人为投标人（企业事业单位、国家机关、社会团体）的主要行政负责人。</w:t>
      </w:r>
    </w:p>
    <w:p>
      <w:pPr>
        <w:numPr>
          <w:ilvl w:val="0"/>
          <w:numId w:val="13"/>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pPr>
        <w:numPr>
          <w:ilvl w:val="0"/>
          <w:numId w:val="13"/>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pPr>
        <w:numPr>
          <w:ilvl w:val="0"/>
          <w:numId w:val="13"/>
        </w:numPr>
        <w:spacing w:line="360" w:lineRule="auto"/>
        <w:ind w:firstLine="420" w:firstLineChars="200"/>
        <w:rPr>
          <w:szCs w:val="21"/>
        </w:rPr>
      </w:pPr>
      <w:r>
        <w:rPr>
          <w:rFonts w:hint="eastAsia"/>
          <w:szCs w:val="21"/>
        </w:rPr>
        <w:t>内容必须填写真实、清楚，涂改无效，不得转让、买卖。</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19"/>
            </w:pPr>
          </w:p>
          <w:p>
            <w:pPr>
              <w:pStyle w:val="36"/>
            </w:pPr>
          </w:p>
          <w:p>
            <w:pPr>
              <w:pStyle w:val="36"/>
            </w:pPr>
          </w:p>
          <w:p>
            <w:pPr>
              <w:pStyle w:val="36"/>
            </w:pPr>
          </w:p>
        </w:tc>
        <w:tc>
          <w:tcPr>
            <w:tcW w:w="4265" w:type="dxa"/>
          </w:tcPr>
          <w:p>
            <w:pPr>
              <w:jc w:val="center"/>
            </w:pPr>
            <w:r>
              <w:rPr>
                <w:rFonts w:hint="eastAsia"/>
              </w:rPr>
              <w:t>证件扫描件反面</w:t>
            </w:r>
          </w:p>
          <w:p>
            <w:pPr>
              <w:pStyle w:val="19"/>
              <w:jc w:val="center"/>
            </w:pPr>
          </w:p>
          <w:p>
            <w:pPr>
              <w:pStyle w:val="36"/>
              <w:jc w:val="center"/>
            </w:pPr>
          </w:p>
        </w:tc>
      </w:tr>
    </w:tbl>
    <w:p>
      <w:pPr>
        <w:pStyle w:val="193"/>
        <w:rPr>
          <w:rFonts w:ascii="黑体" w:hAnsi="黑体" w:eastAsia="黑体" w:cs="黑体"/>
          <w:b/>
          <w:bCs/>
          <w:sz w:val="24"/>
          <w:szCs w:val="24"/>
        </w:rPr>
      </w:pPr>
    </w:p>
    <w:p>
      <w:pPr>
        <w:pStyle w:val="193"/>
        <w:rPr>
          <w:sz w:val="24"/>
        </w:rPr>
      </w:pPr>
      <w:r>
        <w:rPr>
          <w:rFonts w:hint="eastAsia" w:ascii="黑体" w:hAnsi="黑体" w:eastAsia="黑体" w:cs="黑体"/>
          <w:b/>
          <w:bCs/>
          <w:sz w:val="24"/>
          <w:szCs w:val="24"/>
        </w:rPr>
        <w:t>温馨提示</w:t>
      </w:r>
      <w:r>
        <w:rPr>
          <w:rFonts w:hint="eastAsia" w:ascii="黑体" w:hAnsi="黑体" w:eastAsia="黑体" w:cs="黑体"/>
          <w:sz w:val="24"/>
          <w:szCs w:val="24"/>
        </w:rPr>
        <w:t>：</w:t>
      </w:r>
      <w:r>
        <w:rPr>
          <w:rFonts w:hint="eastAsia" w:ascii="Times New Roman" w:hAnsi="Times New Roman"/>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pPr>
        <w:rPr>
          <w:sz w:val="24"/>
        </w:rPr>
      </w:pPr>
    </w:p>
    <w:p>
      <w:pPr>
        <w:pStyle w:val="4"/>
        <w:spacing w:before="120" w:after="120"/>
        <w:jc w:val="center"/>
        <w:rPr>
          <w:rFonts w:ascii="黑体" w:eastAsia="黑体"/>
          <w:b w:val="0"/>
          <w:sz w:val="24"/>
        </w:rPr>
      </w:pPr>
      <w:r>
        <w:rPr>
          <w:rFonts w:hint="eastAsia" w:ascii="黑体" w:eastAsia="黑体"/>
          <w:b w:val="0"/>
          <w:sz w:val="24"/>
        </w:rPr>
        <w:t>三、投标文件签署授权委托书</w:t>
      </w: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szCs w:val="21"/>
        </w:rPr>
      </w:pPr>
      <w:r>
        <w:rPr>
          <w:rFonts w:hint="eastAsia"/>
          <w:szCs w:val="21"/>
        </w:rPr>
        <w:t>代理人无转委托权，特此委托。</w:t>
      </w:r>
    </w:p>
    <w:p>
      <w:pPr>
        <w:spacing w:line="360" w:lineRule="auto"/>
        <w:ind w:firstLine="420" w:firstLineChars="200"/>
        <w:rPr>
          <w:szCs w:val="21"/>
        </w:rPr>
      </w:pPr>
    </w:p>
    <w:p>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360" w:lineRule="auto"/>
        <w:ind w:firstLine="421"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4"/>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19"/>
            </w:pPr>
          </w:p>
          <w:p>
            <w:pPr>
              <w:pStyle w:val="36"/>
            </w:pPr>
          </w:p>
          <w:p>
            <w:pPr>
              <w:pStyle w:val="36"/>
            </w:pPr>
          </w:p>
          <w:p>
            <w:pPr>
              <w:pStyle w:val="36"/>
            </w:pPr>
          </w:p>
        </w:tc>
        <w:tc>
          <w:tcPr>
            <w:tcW w:w="4265" w:type="dxa"/>
          </w:tcPr>
          <w:p>
            <w:pPr>
              <w:jc w:val="center"/>
            </w:pPr>
            <w:r>
              <w:rPr>
                <w:rFonts w:hint="eastAsia"/>
              </w:rPr>
              <w:t>证件扫描件反面</w:t>
            </w:r>
          </w:p>
          <w:p>
            <w:pPr>
              <w:pStyle w:val="19"/>
              <w:jc w:val="center"/>
            </w:pPr>
          </w:p>
          <w:p>
            <w:pPr>
              <w:pStyle w:val="36"/>
              <w:jc w:val="center"/>
            </w:pPr>
          </w:p>
        </w:tc>
      </w:tr>
    </w:tbl>
    <w:p>
      <w:pPr>
        <w:pStyle w:val="193"/>
        <w:rPr>
          <w:rFonts w:ascii="黑体" w:hAnsi="黑体" w:eastAsia="黑体" w:cs="黑体"/>
          <w:b/>
          <w:bCs/>
          <w:sz w:val="24"/>
          <w:szCs w:val="24"/>
        </w:rPr>
      </w:pPr>
    </w:p>
    <w:p>
      <w:pPr>
        <w:pStyle w:val="193"/>
        <w:rPr>
          <w:sz w:val="24"/>
        </w:rPr>
      </w:pPr>
      <w:r>
        <w:rPr>
          <w:rFonts w:hint="eastAsia" w:ascii="黑体" w:hAnsi="黑体" w:eastAsia="黑体" w:cs="黑体"/>
          <w:b/>
          <w:bCs/>
          <w:sz w:val="24"/>
          <w:szCs w:val="24"/>
        </w:rPr>
        <w:t>温馨提示</w:t>
      </w:r>
      <w:r>
        <w:rPr>
          <w:rFonts w:hint="eastAsia" w:ascii="黑体" w:hAnsi="黑体" w:eastAsia="黑体" w:cs="黑体"/>
          <w:sz w:val="24"/>
          <w:szCs w:val="24"/>
        </w:rPr>
        <w:t>：</w:t>
      </w:r>
      <w:r>
        <w:rPr>
          <w:rFonts w:hint="eastAsia" w:ascii="Times New Roman" w:hAnsi="Times New Roman"/>
          <w:szCs w:val="21"/>
        </w:rPr>
        <w:t>为避免出现《深圳经济特区政府采购条例实施细则》第七十五条第二项所列情形，请投标供应商核实贵单位法定代表人、本项目投标授权代表人、项目负责人（如有）、主要技术人员（如有）等是否在贵单位缴纳社会保险。</w:t>
      </w:r>
    </w:p>
    <w:p/>
    <w:p>
      <w:pPr>
        <w:pStyle w:val="4"/>
        <w:jc w:val="center"/>
        <w:rPr>
          <w:rFonts w:ascii="黑体" w:eastAsia="黑体"/>
          <w:b w:val="0"/>
          <w:kern w:val="0"/>
          <w:sz w:val="24"/>
          <w:szCs w:val="24"/>
        </w:rPr>
      </w:pPr>
      <w:r>
        <w:rPr>
          <w:rFonts w:hint="eastAsia" w:ascii="黑体" w:eastAsia="黑体"/>
          <w:b w:val="0"/>
          <w:kern w:val="0"/>
          <w:sz w:val="24"/>
          <w:szCs w:val="24"/>
        </w:rPr>
        <w:t>四、</w:t>
      </w:r>
      <w:bookmarkStart w:id="40" w:name="_Hlk72092634"/>
      <w:r>
        <w:rPr>
          <w:rFonts w:hint="eastAsia" w:ascii="黑体" w:eastAsia="黑体"/>
          <w:b w:val="0"/>
          <w:kern w:val="0"/>
          <w:sz w:val="24"/>
          <w:szCs w:val="24"/>
        </w:rPr>
        <w:t>实质性条款响应情况表</w:t>
      </w:r>
      <w:bookmarkEnd w:id="40"/>
    </w:p>
    <w:tbl>
      <w:tblPr>
        <w:tblStyle w:val="43"/>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2664"/>
        <w:gridCol w:w="1588"/>
        <w:gridCol w:w="1842"/>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pPr>
              <w:adjustRightInd w:val="0"/>
              <w:snapToGrid w:val="0"/>
              <w:spacing w:line="360" w:lineRule="auto"/>
              <w:jc w:val="center"/>
              <w:rPr>
                <w:rFonts w:ascii="宋体" w:hAnsi="宋体"/>
                <w:kern w:val="0"/>
                <w:szCs w:val="21"/>
              </w:rPr>
            </w:pPr>
            <w:bookmarkStart w:id="41" w:name="_Hlk72092651"/>
            <w:r>
              <w:rPr>
                <w:rFonts w:hint="eastAsia" w:ascii="宋体" w:hAnsi="宋体"/>
                <w:kern w:val="0"/>
                <w:szCs w:val="21"/>
              </w:rPr>
              <w:t>序号</w:t>
            </w:r>
          </w:p>
        </w:tc>
        <w:tc>
          <w:tcPr>
            <w:tcW w:w="2664" w:type="dxa"/>
            <w:vAlign w:val="center"/>
          </w:tcPr>
          <w:p>
            <w:pPr>
              <w:adjustRightInd w:val="0"/>
              <w:snapToGrid w:val="0"/>
              <w:spacing w:line="360" w:lineRule="auto"/>
              <w:jc w:val="center"/>
              <w:rPr>
                <w:rFonts w:ascii="宋体" w:hAnsi="宋体"/>
                <w:kern w:val="0"/>
                <w:szCs w:val="21"/>
              </w:rPr>
            </w:pPr>
            <w:r>
              <w:rPr>
                <w:rFonts w:hint="eastAsia" w:ascii="宋体" w:hAnsi="宋体"/>
                <w:kern w:val="0"/>
                <w:szCs w:val="21"/>
              </w:rPr>
              <w:t>实质性条款具体内容</w:t>
            </w:r>
          </w:p>
        </w:tc>
        <w:tc>
          <w:tcPr>
            <w:tcW w:w="1588" w:type="dxa"/>
            <w:vAlign w:val="center"/>
          </w:tcPr>
          <w:p>
            <w:pPr>
              <w:adjustRightInd w:val="0"/>
              <w:snapToGrid w:val="0"/>
              <w:spacing w:line="360" w:lineRule="auto"/>
              <w:jc w:val="center"/>
              <w:rPr>
                <w:rFonts w:ascii="宋体" w:hAnsi="宋体"/>
                <w:kern w:val="0"/>
                <w:szCs w:val="21"/>
              </w:rPr>
            </w:pPr>
            <w:r>
              <w:rPr>
                <w:rFonts w:hint="eastAsia"/>
              </w:rPr>
              <w:t>投标响应</w:t>
            </w:r>
          </w:p>
        </w:tc>
        <w:tc>
          <w:tcPr>
            <w:tcW w:w="1842" w:type="dxa"/>
            <w:vAlign w:val="center"/>
          </w:tcPr>
          <w:p>
            <w:pPr>
              <w:adjustRightInd w:val="0"/>
              <w:snapToGrid w:val="0"/>
              <w:spacing w:line="360" w:lineRule="auto"/>
              <w:jc w:val="center"/>
              <w:rPr>
                <w:rFonts w:ascii="宋体" w:hAnsi="宋体"/>
                <w:kern w:val="0"/>
                <w:szCs w:val="21"/>
              </w:rPr>
            </w:pPr>
            <w:r>
              <w:rPr>
                <w:rFonts w:hint="eastAsia"/>
              </w:rPr>
              <w:t>偏离情况</w:t>
            </w:r>
          </w:p>
        </w:tc>
        <w:tc>
          <w:tcPr>
            <w:tcW w:w="1418" w:type="dxa"/>
            <w:vAlign w:val="center"/>
          </w:tcPr>
          <w:p>
            <w:pPr>
              <w:adjustRightInd w:val="0"/>
              <w:snapToGrid w:val="0"/>
              <w:spacing w:line="360" w:lineRule="auto"/>
              <w:jc w:val="center"/>
              <w:rPr>
                <w:rFonts w:ascii="宋体" w:hAnsi="宋体"/>
                <w:kern w:val="0"/>
                <w:szCs w:val="21"/>
              </w:rPr>
            </w:pPr>
            <w:r>
              <w:rPr>
                <w:rFonts w:hint="eastAsia"/>
              </w:rPr>
              <w:t>说明</w:t>
            </w:r>
          </w:p>
        </w:tc>
      </w:tr>
      <w:bookmarkEnd w:id="4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top"/>
          </w:tcPr>
          <w:p>
            <w:pPr>
              <w:adjustRightInd w:val="0"/>
              <w:snapToGrid w:val="0"/>
              <w:spacing w:line="360" w:lineRule="auto"/>
              <w:rPr>
                <w:rFonts w:ascii="宋体" w:hAnsi="宋体"/>
                <w:kern w:val="0"/>
                <w:szCs w:val="21"/>
              </w:rPr>
            </w:pPr>
            <w:r>
              <w:rPr>
                <w:rFonts w:hint="eastAsia" w:ascii="宋体" w:hAnsi="宋体"/>
                <w:kern w:val="0"/>
                <w:szCs w:val="21"/>
              </w:rPr>
              <w:t>1</w:t>
            </w:r>
          </w:p>
        </w:tc>
        <w:tc>
          <w:tcPr>
            <w:tcW w:w="2664" w:type="dxa"/>
            <w:vAlign w:val="top"/>
          </w:tcPr>
          <w:p>
            <w:pPr>
              <w:rPr>
                <w:rFonts w:hAnsi="宋体"/>
                <w:kern w:val="0"/>
                <w:szCs w:val="21"/>
              </w:rPr>
            </w:pPr>
            <w:r>
              <w:rPr>
                <w:rFonts w:hint="eastAsia" w:hAnsi="宋体" w:eastAsiaTheme="minorEastAsia"/>
                <w:kern w:val="0"/>
                <w:szCs w:val="21"/>
              </w:rPr>
              <w:t>1.项目人员需求一览表★人员类别</w:t>
            </w:r>
            <w:r>
              <w:rPr>
                <w:rFonts w:hint="eastAsia" w:hAnsi="宋体" w:eastAsiaTheme="minorEastAsia"/>
                <w:kern w:val="0"/>
                <w:szCs w:val="21"/>
              </w:rPr>
              <w:tab/>
            </w:r>
            <w:r>
              <w:rPr>
                <w:rFonts w:hint="eastAsia" w:hAnsi="宋体" w:eastAsiaTheme="minorEastAsia"/>
                <w:kern w:val="0"/>
                <w:szCs w:val="21"/>
              </w:rPr>
              <w:t>★数量</w:t>
            </w:r>
            <w:r>
              <w:rPr>
                <w:rFonts w:hint="eastAsia" w:hAnsi="宋体" w:eastAsiaTheme="minorEastAsia"/>
                <w:kern w:val="0"/>
                <w:szCs w:val="21"/>
              </w:rPr>
              <w:tab/>
            </w:r>
            <w:r>
              <w:rPr>
                <w:rFonts w:hint="eastAsia" w:hAnsi="宋体" w:eastAsiaTheme="minorEastAsia"/>
                <w:kern w:val="0"/>
                <w:szCs w:val="21"/>
              </w:rPr>
              <w:t>★人员必须具备条件</w:t>
            </w:r>
          </w:p>
        </w:tc>
        <w:tc>
          <w:tcPr>
            <w:tcW w:w="1588" w:type="dxa"/>
          </w:tcPr>
          <w:p>
            <w:pPr>
              <w:adjustRightInd w:val="0"/>
              <w:snapToGrid w:val="0"/>
              <w:spacing w:line="360" w:lineRule="auto"/>
              <w:rPr>
                <w:rFonts w:ascii="宋体" w:hAnsi="宋体"/>
                <w:kern w:val="0"/>
                <w:szCs w:val="21"/>
              </w:rPr>
            </w:pPr>
          </w:p>
        </w:tc>
        <w:tc>
          <w:tcPr>
            <w:tcW w:w="1842" w:type="dxa"/>
          </w:tcPr>
          <w:p>
            <w:pPr>
              <w:adjustRightInd w:val="0"/>
              <w:snapToGrid w:val="0"/>
              <w:spacing w:line="360" w:lineRule="auto"/>
              <w:rPr>
                <w:rFonts w:ascii="宋体" w:hAnsi="宋体"/>
                <w:kern w:val="0"/>
                <w:szCs w:val="21"/>
              </w:rPr>
            </w:pPr>
          </w:p>
        </w:tc>
        <w:tc>
          <w:tcPr>
            <w:tcW w:w="1418" w:type="dxa"/>
          </w:tcPr>
          <w:p>
            <w:pPr>
              <w:adjustRightInd w:val="0"/>
              <w:snapToGrid w:val="0"/>
              <w:spacing w:line="360" w:lineRule="auto"/>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top"/>
          </w:tcPr>
          <w:p>
            <w:pPr>
              <w:adjustRightInd w:val="0"/>
              <w:snapToGrid w:val="0"/>
              <w:spacing w:line="360" w:lineRule="auto"/>
              <w:rPr>
                <w:rFonts w:ascii="宋体" w:hAnsi="宋体"/>
                <w:kern w:val="0"/>
                <w:szCs w:val="21"/>
              </w:rPr>
            </w:pPr>
            <w:r>
              <w:rPr>
                <w:rFonts w:hint="eastAsia" w:ascii="宋体" w:hAnsi="宋体"/>
                <w:kern w:val="0"/>
                <w:szCs w:val="21"/>
              </w:rPr>
              <w:t>2</w:t>
            </w:r>
          </w:p>
        </w:tc>
        <w:tc>
          <w:tcPr>
            <w:tcW w:w="2664" w:type="dxa"/>
            <w:vAlign w:val="top"/>
          </w:tcPr>
          <w:p>
            <w:pPr>
              <w:rPr>
                <w:rFonts w:hAnsi="宋体"/>
                <w:kern w:val="0"/>
                <w:szCs w:val="21"/>
              </w:rPr>
            </w:pPr>
            <w:r>
              <w:rPr>
                <w:rFonts w:hint="eastAsia" w:asciiTheme="minorEastAsia" w:hAnsiTheme="minorEastAsia" w:eastAsiaTheme="minorEastAsia"/>
              </w:rPr>
              <w:t>★服务期：本项目服务期限为自合同签订或约定之日起100天。</w:t>
            </w:r>
          </w:p>
        </w:tc>
        <w:tc>
          <w:tcPr>
            <w:tcW w:w="1588" w:type="dxa"/>
          </w:tcPr>
          <w:p>
            <w:pPr>
              <w:adjustRightInd w:val="0"/>
              <w:snapToGrid w:val="0"/>
              <w:spacing w:line="360" w:lineRule="auto"/>
              <w:rPr>
                <w:rFonts w:ascii="宋体" w:hAnsi="宋体"/>
                <w:kern w:val="0"/>
                <w:szCs w:val="21"/>
              </w:rPr>
            </w:pPr>
          </w:p>
        </w:tc>
        <w:tc>
          <w:tcPr>
            <w:tcW w:w="1842" w:type="dxa"/>
          </w:tcPr>
          <w:p>
            <w:pPr>
              <w:adjustRightInd w:val="0"/>
              <w:snapToGrid w:val="0"/>
              <w:spacing w:line="360" w:lineRule="auto"/>
              <w:rPr>
                <w:rFonts w:ascii="宋体" w:hAnsi="宋体"/>
                <w:kern w:val="0"/>
                <w:szCs w:val="21"/>
              </w:rPr>
            </w:pPr>
          </w:p>
        </w:tc>
        <w:tc>
          <w:tcPr>
            <w:tcW w:w="1418" w:type="dxa"/>
          </w:tcPr>
          <w:p>
            <w:pPr>
              <w:adjustRightInd w:val="0"/>
              <w:snapToGrid w:val="0"/>
              <w:spacing w:line="360" w:lineRule="auto"/>
              <w:rPr>
                <w:rFonts w:ascii="宋体" w:hAnsi="宋体"/>
                <w:kern w:val="0"/>
                <w:szCs w:val="21"/>
              </w:rPr>
            </w:pPr>
          </w:p>
        </w:tc>
      </w:tr>
    </w:tbl>
    <w:p>
      <w:pPr>
        <w:ind w:firstLine="481" w:firstLineChars="200"/>
        <w:rPr>
          <w:b/>
          <w:sz w:val="24"/>
          <w:szCs w:val="22"/>
        </w:rPr>
      </w:pPr>
      <w:r>
        <w:rPr>
          <w:rFonts w:hint="eastAsia"/>
          <w:b/>
          <w:sz w:val="24"/>
          <w:szCs w:val="22"/>
        </w:rPr>
        <w:t>注：1.上表所列各项均为不可负偏离条款。</w:t>
      </w:r>
    </w:p>
    <w:p>
      <w:pPr>
        <w:ind w:firstLine="481" w:firstLineChars="200"/>
        <w:rPr>
          <w:b/>
          <w:sz w:val="24"/>
          <w:szCs w:val="22"/>
        </w:rPr>
      </w:pPr>
      <w:r>
        <w:rPr>
          <w:rFonts w:hint="eastAsia"/>
          <w:b/>
          <w:sz w:val="24"/>
          <w:szCs w:val="22"/>
        </w:rPr>
        <w:t>2.“投标响应”一栏应当详细填写投标人自身响应情况，而不能不合理照搬照抄招实质性条款具体内容。</w:t>
      </w:r>
    </w:p>
    <w:p>
      <w:pPr>
        <w:ind w:firstLine="481" w:firstLineChars="200"/>
        <w:rPr>
          <w:b/>
          <w:sz w:val="24"/>
          <w:szCs w:val="22"/>
        </w:rPr>
      </w:pPr>
      <w:r>
        <w:rPr>
          <w:rFonts w:hint="eastAsia"/>
          <w:b/>
          <w:sz w:val="24"/>
          <w:szCs w:val="22"/>
        </w:rPr>
        <w:t>3</w:t>
      </w:r>
      <w:r>
        <w:rPr>
          <w:b/>
          <w:sz w:val="24"/>
          <w:szCs w:val="22"/>
        </w:rPr>
        <w:t>.</w:t>
      </w:r>
      <w:r>
        <w:rPr>
          <w:rFonts w:hint="eastAsia"/>
          <w:b/>
          <w:sz w:val="24"/>
          <w:szCs w:val="22"/>
        </w:rPr>
        <w:t>“偏离情况”一栏应填写“正偏离”、“负偏离”或“无偏离”，</w:t>
      </w:r>
      <w:r>
        <w:rPr>
          <w:rFonts w:hint="eastAsia"/>
          <w:b/>
          <w:sz w:val="24"/>
        </w:rPr>
        <w:t>“正偏离”表示“投标响应优于实质性条款具体内容要求”，“负偏离”表示“投标响应不满足实质性条款具体内容要求”，“无偏离”表示“投标响应与实质性条款具体内容要求一致”。</w:t>
      </w:r>
    </w:p>
    <w:p>
      <w:pPr>
        <w:ind w:firstLine="481" w:firstLineChars="200"/>
        <w:rPr>
          <w:b/>
          <w:sz w:val="24"/>
        </w:rPr>
      </w:pPr>
      <w:r>
        <w:rPr>
          <w:b/>
          <w:sz w:val="24"/>
        </w:rPr>
        <w:t>4.</w:t>
      </w:r>
      <w:r>
        <w:rPr>
          <w:rFonts w:hint="eastAsia"/>
          <w:b/>
          <w:sz w:val="24"/>
        </w:rPr>
        <w:t>评审委员会有权对投标响应情况作出判断（作出评审结论）。</w:t>
      </w:r>
    </w:p>
    <w:p>
      <w:pPr>
        <w:ind w:firstLine="481" w:firstLineChars="200"/>
        <w:rPr>
          <w:b/>
          <w:sz w:val="24"/>
          <w:szCs w:val="22"/>
        </w:rPr>
      </w:pPr>
      <w:r>
        <w:rPr>
          <w:b/>
          <w:sz w:val="24"/>
          <w:szCs w:val="22"/>
        </w:rPr>
        <w:t>5</w:t>
      </w:r>
      <w:r>
        <w:rPr>
          <w:rFonts w:hint="eastAsia"/>
          <w:b/>
          <w:sz w:val="24"/>
          <w:szCs w:val="22"/>
        </w:rPr>
        <w:t>.实质性响应条款“投标响应情况”与投标文件其它内容冲突的，以实质性响应条款“投标响应情况”为准。</w:t>
      </w:r>
    </w:p>
    <w:p>
      <w:pPr>
        <w:ind w:firstLine="481" w:firstLineChars="200"/>
        <w:rPr>
          <w:b/>
          <w:sz w:val="24"/>
          <w:szCs w:val="22"/>
        </w:rPr>
      </w:pPr>
      <w:r>
        <w:rPr>
          <w:rFonts w:hint="eastAsia"/>
          <w:b/>
          <w:sz w:val="24"/>
          <w:szCs w:val="22"/>
        </w:rPr>
        <w:t>6.要求提供证明资料，在“说明”一栏中列明证明资料的位置,以便评审；未要求提供证明材料的，投标人可以不提供。</w:t>
      </w:r>
    </w:p>
    <w:p>
      <w:pPr>
        <w:ind w:firstLine="420" w:firstLineChars="200"/>
      </w:pPr>
    </w:p>
    <w:p>
      <w:pPr>
        <w:rPr>
          <w:b/>
          <w:bCs/>
          <w:sz w:val="24"/>
        </w:rPr>
      </w:pPr>
    </w:p>
    <w:p>
      <w:pPr>
        <w:pStyle w:val="4"/>
        <w:jc w:val="center"/>
        <w:rPr>
          <w:rFonts w:hint="eastAsia" w:ascii="黑体" w:hAnsi="宋体" w:eastAsia="黑体" w:cs="Times New Roman"/>
          <w:b w:val="0"/>
          <w:bCs w:val="0"/>
          <w:sz w:val="24"/>
          <w:szCs w:val="20"/>
          <w:lang w:val="en-US" w:eastAsia="zh-CN"/>
        </w:rPr>
      </w:pPr>
      <w:r>
        <w:rPr>
          <w:rFonts w:hint="eastAsia" w:ascii="黑体" w:hAnsi="宋体" w:eastAsia="黑体" w:cs="Times New Roman"/>
          <w:b w:val="0"/>
          <w:bCs w:val="0"/>
          <w:sz w:val="24"/>
          <w:szCs w:val="20"/>
          <w:lang w:val="en-US" w:eastAsia="zh-CN"/>
        </w:rPr>
        <w:t>五、</w:t>
      </w:r>
      <w:r>
        <w:rPr>
          <w:rFonts w:hint="eastAsia" w:ascii="黑体" w:hAnsi="宋体" w:eastAsia="黑体" w:cs="Times New Roman"/>
          <w:b w:val="0"/>
          <w:bCs w:val="0"/>
          <w:sz w:val="24"/>
          <w:szCs w:val="20"/>
          <w:lang w:val="zh-CN" w:eastAsia="zh-CN"/>
        </w:rPr>
        <w:t>拟安排的外部技术支持人员</w:t>
      </w:r>
    </w:p>
    <w:p>
      <w:pPr>
        <w:pStyle w:val="4"/>
        <w:jc w:val="both"/>
        <w:rPr>
          <w:rFonts w:hint="eastAsia" w:ascii="黑体" w:hAnsi="宋体" w:eastAsia="黑体" w:cs="Times New Roman"/>
          <w:b w:val="0"/>
          <w:bCs w:val="0"/>
          <w:sz w:val="24"/>
          <w:szCs w:val="20"/>
          <w:lang w:val="en-US" w:eastAsia="zh-CN"/>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pStyle w:val="4"/>
        <w:jc w:val="center"/>
        <w:rPr>
          <w:rFonts w:hint="eastAsia" w:ascii="黑体" w:hAnsi="宋体" w:eastAsia="黑体" w:cs="Times New Roman"/>
          <w:b w:val="0"/>
          <w:bCs w:val="0"/>
          <w:sz w:val="24"/>
          <w:szCs w:val="20"/>
          <w:lang w:val="zh-CN" w:eastAsia="zh-CN"/>
        </w:rPr>
      </w:pPr>
      <w:r>
        <w:rPr>
          <w:rFonts w:hint="eastAsia" w:ascii="黑体" w:hAnsi="宋体" w:eastAsia="黑体" w:cs="Times New Roman"/>
          <w:b w:val="0"/>
          <w:bCs w:val="0"/>
          <w:sz w:val="24"/>
          <w:szCs w:val="20"/>
          <w:lang w:val="en-US" w:eastAsia="zh-CN"/>
        </w:rPr>
        <w:t>六、</w:t>
      </w:r>
      <w:r>
        <w:rPr>
          <w:rFonts w:hint="eastAsia" w:ascii="黑体" w:hAnsi="宋体" w:eastAsia="黑体" w:cs="Times New Roman"/>
          <w:b w:val="0"/>
          <w:bCs w:val="0"/>
          <w:sz w:val="24"/>
          <w:szCs w:val="20"/>
          <w:lang w:val="zh-CN" w:eastAsia="zh-CN"/>
        </w:rPr>
        <w:t>拟安排的项目团队成员情况（项目负责人除外）</w:t>
      </w:r>
    </w:p>
    <w:p>
      <w:pPr>
        <w:pStyle w:val="4"/>
        <w:jc w:val="both"/>
        <w:rPr>
          <w:rFonts w:hint="eastAsia" w:ascii="黑体" w:hAnsi="宋体" w:eastAsia="黑体" w:cs="Times New Roman"/>
          <w:b w:val="0"/>
          <w:bCs w:val="0"/>
          <w:sz w:val="24"/>
          <w:szCs w:val="20"/>
          <w:lang w:val="en-US" w:eastAsia="zh-CN"/>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pStyle w:val="4"/>
        <w:jc w:val="center"/>
        <w:rPr>
          <w:rFonts w:hint="eastAsia" w:ascii="黑体" w:hAnsi="宋体" w:eastAsia="黑体" w:cs="Times New Roman"/>
          <w:b w:val="0"/>
          <w:bCs w:val="0"/>
          <w:sz w:val="24"/>
          <w:szCs w:val="20"/>
          <w:lang w:val="zh-CN" w:eastAsia="zh-CN"/>
        </w:rPr>
      </w:pPr>
      <w:r>
        <w:rPr>
          <w:rFonts w:hint="eastAsia" w:ascii="黑体" w:hAnsi="宋体" w:eastAsia="黑体" w:cs="Times New Roman"/>
          <w:b w:val="0"/>
          <w:bCs w:val="0"/>
          <w:sz w:val="24"/>
          <w:szCs w:val="20"/>
          <w:lang w:val="en-US" w:eastAsia="zh-CN"/>
        </w:rPr>
        <w:t>七、</w:t>
      </w:r>
      <w:r>
        <w:rPr>
          <w:rFonts w:hint="eastAsia" w:ascii="黑体" w:hAnsi="宋体" w:eastAsia="黑体" w:cs="Times New Roman"/>
          <w:b w:val="0"/>
          <w:bCs w:val="0"/>
          <w:sz w:val="24"/>
          <w:szCs w:val="20"/>
          <w:lang w:val="zh-CN" w:eastAsia="zh-CN"/>
        </w:rPr>
        <w:t>拟安排的项目负责人情况(仅限1人）</w:t>
      </w:r>
    </w:p>
    <w:p>
      <w:pPr>
        <w:pStyle w:val="4"/>
        <w:jc w:val="both"/>
        <w:rPr>
          <w:rFonts w:hint="eastAsia" w:ascii="黑体" w:hAnsi="宋体" w:eastAsia="黑体" w:cs="Times New Roman"/>
          <w:b w:val="0"/>
          <w:bCs w:val="0"/>
          <w:sz w:val="24"/>
          <w:szCs w:val="20"/>
          <w:lang w:val="en-US" w:eastAsia="zh-CN"/>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pStyle w:val="4"/>
        <w:jc w:val="center"/>
        <w:rPr>
          <w:rFonts w:hint="eastAsia" w:ascii="黑体" w:hAnsi="宋体" w:eastAsia="黑体" w:cs="Times New Roman"/>
          <w:b w:val="0"/>
          <w:bCs w:val="0"/>
          <w:sz w:val="24"/>
          <w:szCs w:val="20"/>
          <w:lang w:val="zh-CN" w:eastAsia="zh-CN"/>
        </w:rPr>
      </w:pPr>
      <w:r>
        <w:rPr>
          <w:rFonts w:hint="eastAsia" w:ascii="黑体" w:hAnsi="宋体" w:eastAsia="黑体" w:cs="Times New Roman"/>
          <w:b w:val="0"/>
          <w:bCs w:val="0"/>
          <w:sz w:val="24"/>
          <w:szCs w:val="20"/>
          <w:lang w:val="en-US" w:eastAsia="zh-CN"/>
        </w:rPr>
        <w:t>八、</w:t>
      </w:r>
      <w:r>
        <w:rPr>
          <w:rFonts w:hint="eastAsia" w:ascii="黑体" w:hAnsi="宋体" w:eastAsia="黑体" w:cs="Times New Roman"/>
          <w:b w:val="0"/>
          <w:bCs w:val="0"/>
          <w:sz w:val="24"/>
          <w:szCs w:val="20"/>
          <w:lang w:val="zh-CN" w:eastAsia="zh-CN"/>
        </w:rPr>
        <w:t>质量进度保障措施及方案</w:t>
      </w:r>
    </w:p>
    <w:p>
      <w:pPr>
        <w:pStyle w:val="4"/>
        <w:jc w:val="both"/>
        <w:rPr>
          <w:rFonts w:hint="eastAsia" w:ascii="黑体" w:hAnsi="宋体" w:eastAsia="黑体" w:cs="Times New Roman"/>
          <w:b w:val="0"/>
          <w:bCs w:val="0"/>
          <w:sz w:val="24"/>
          <w:szCs w:val="20"/>
          <w:lang w:val="en-US" w:eastAsia="zh-CN"/>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pStyle w:val="4"/>
        <w:jc w:val="center"/>
        <w:rPr>
          <w:rFonts w:hint="eastAsia" w:ascii="黑体" w:hAnsi="宋体" w:eastAsia="黑体" w:cs="Times New Roman"/>
          <w:b w:val="0"/>
          <w:bCs w:val="0"/>
          <w:sz w:val="24"/>
          <w:szCs w:val="20"/>
          <w:lang w:val="zh-CN" w:eastAsia="zh-CN"/>
        </w:rPr>
      </w:pPr>
      <w:r>
        <w:rPr>
          <w:rFonts w:hint="eastAsia" w:ascii="黑体" w:hAnsi="宋体" w:eastAsia="黑体" w:cs="Times New Roman"/>
          <w:b w:val="0"/>
          <w:bCs w:val="0"/>
          <w:sz w:val="24"/>
          <w:szCs w:val="20"/>
          <w:lang w:val="en-US" w:eastAsia="zh-CN"/>
        </w:rPr>
        <w:t>九、</w:t>
      </w:r>
      <w:r>
        <w:rPr>
          <w:rFonts w:hint="eastAsia" w:ascii="黑体" w:hAnsi="宋体" w:eastAsia="黑体" w:cs="Times New Roman"/>
          <w:b w:val="0"/>
          <w:bCs w:val="0"/>
          <w:sz w:val="24"/>
          <w:szCs w:val="20"/>
          <w:lang w:val="zh-CN" w:eastAsia="zh-CN"/>
        </w:rPr>
        <w:t>项目重点难点分析、应对措施及相关的合理化建议</w:t>
      </w:r>
    </w:p>
    <w:p>
      <w:pPr>
        <w:pStyle w:val="4"/>
        <w:jc w:val="both"/>
        <w:rPr>
          <w:rFonts w:hint="eastAsia" w:ascii="黑体" w:hAnsi="宋体" w:eastAsia="黑体" w:cs="Times New Roman"/>
          <w:b w:val="0"/>
          <w:bCs w:val="0"/>
          <w:sz w:val="24"/>
          <w:szCs w:val="20"/>
          <w:lang w:val="en-US" w:eastAsia="zh-CN"/>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pStyle w:val="4"/>
        <w:jc w:val="center"/>
        <w:rPr>
          <w:rFonts w:hint="eastAsia" w:ascii="黑体" w:hAnsi="宋体" w:eastAsia="黑体" w:cs="Times New Roman"/>
          <w:b w:val="0"/>
          <w:bCs w:val="0"/>
          <w:sz w:val="24"/>
          <w:szCs w:val="20"/>
          <w:lang w:val="en-US" w:eastAsia="zh-CN"/>
        </w:rPr>
      </w:pPr>
      <w:r>
        <w:rPr>
          <w:rFonts w:hint="eastAsia" w:ascii="黑体" w:hAnsi="宋体" w:eastAsia="黑体" w:cs="Times New Roman"/>
          <w:b w:val="0"/>
          <w:bCs w:val="0"/>
          <w:sz w:val="24"/>
          <w:szCs w:val="20"/>
          <w:lang w:val="en-US" w:eastAsia="zh-CN"/>
        </w:rPr>
        <w:t>十、</w:t>
      </w:r>
      <w:r>
        <w:rPr>
          <w:rFonts w:hint="eastAsia" w:ascii="黑体" w:hAnsi="宋体" w:eastAsia="黑体" w:cs="Times New Roman"/>
          <w:b w:val="0"/>
          <w:bCs w:val="0"/>
          <w:sz w:val="24"/>
          <w:szCs w:val="20"/>
          <w:lang w:val="zh-CN" w:eastAsia="zh-CN"/>
        </w:rPr>
        <w:t>项目服务方案</w:t>
      </w:r>
    </w:p>
    <w:p>
      <w:pPr>
        <w:pStyle w:val="4"/>
        <w:jc w:val="both"/>
        <w:rPr>
          <w:rFonts w:hint="eastAsia" w:ascii="黑体" w:eastAsia="黑体"/>
          <w:b w:val="0"/>
          <w:bCs w:val="0"/>
          <w:sz w:val="24"/>
          <w:szCs w:val="20"/>
          <w:lang w:val="en-US" w:eastAsia="zh-CN"/>
        </w:rPr>
      </w:pPr>
      <w:r>
        <w:rPr>
          <w:rFonts w:hint="eastAsia" w:asciiTheme="minorEastAsia" w:hAnsiTheme="minorEastAsia" w:eastAsiaTheme="minorEastAsia" w:cstheme="minorEastAsia"/>
          <w:color w:val="FF0000"/>
          <w:sz w:val="24"/>
        </w:rPr>
        <w:t>（特别提示：投标人须按本招标文件评标信息中这一评审因素要求，提供证明资料）</w:t>
      </w:r>
    </w:p>
    <w:p>
      <w:pPr>
        <w:pStyle w:val="4"/>
        <w:jc w:val="center"/>
        <w:rPr>
          <w:rFonts w:ascii="黑体" w:eastAsia="黑体"/>
          <w:b w:val="0"/>
          <w:bCs w:val="0"/>
          <w:sz w:val="24"/>
          <w:szCs w:val="20"/>
        </w:rPr>
      </w:pPr>
      <w:r>
        <w:rPr>
          <w:rFonts w:hint="eastAsia" w:ascii="黑体" w:eastAsia="黑体"/>
          <w:b w:val="0"/>
          <w:bCs w:val="0"/>
          <w:sz w:val="24"/>
          <w:szCs w:val="20"/>
          <w:lang w:val="en-US" w:eastAsia="zh-CN"/>
        </w:rPr>
        <w:t>十一</w:t>
      </w:r>
      <w:r>
        <w:rPr>
          <w:rFonts w:hint="eastAsia" w:ascii="黑体" w:eastAsia="黑体"/>
          <w:b w:val="0"/>
          <w:bCs w:val="0"/>
          <w:sz w:val="24"/>
          <w:szCs w:val="20"/>
        </w:rPr>
        <w:t>、</w:t>
      </w:r>
      <w:bookmarkStart w:id="42" w:name="_Hlk72062872"/>
      <w:r>
        <w:rPr>
          <w:rFonts w:hint="eastAsia" w:ascii="黑体" w:eastAsia="黑体"/>
          <w:b w:val="0"/>
          <w:bCs w:val="0"/>
          <w:sz w:val="24"/>
          <w:szCs w:val="20"/>
        </w:rPr>
        <w:t>投标人认为需要加以说明的其他内容</w:t>
      </w:r>
      <w:bookmarkEnd w:id="42"/>
    </w:p>
    <w:p>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pPr>
        <w:widowControl/>
        <w:jc w:val="center"/>
        <w:rPr>
          <w:rFonts w:ascii="黑体" w:hAnsi="宋体" w:eastAsia="黑体"/>
          <w:kern w:val="0"/>
          <w:sz w:val="24"/>
          <w:szCs w:val="20"/>
        </w:rPr>
      </w:pPr>
    </w:p>
    <w:p>
      <w:pPr>
        <w:spacing w:after="120" w:afterLines="50" w:line="360" w:lineRule="exact"/>
        <w:ind w:firstLine="421" w:firstLineChars="200"/>
        <w:rPr>
          <w:rFonts w:ascii="宋体" w:hAnsi="宋体" w:cs="宋体"/>
          <w:b/>
          <w:bCs/>
          <w:szCs w:val="21"/>
        </w:rPr>
      </w:pPr>
      <w:r>
        <w:rPr>
          <w:rFonts w:hint="eastAsia" w:ascii="宋体" w:hAnsi="宋体" w:cs="宋体"/>
          <w:b/>
          <w:bCs/>
          <w:szCs w:val="21"/>
        </w:rPr>
        <w:t>我单位在投标前已充分知悉以下情形为参与政府采购活动时的重大风险事项，并承诺已对下述风险提示事项重点排查，若存在下述情况，我单位愿意依法承担被记入供应商诚信档案、罚款、取消参与政府采购资格、吊销营业执照等处罚；构成犯罪的，依法承担刑事责任。</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tcPr>
          <w:p>
            <w:pPr>
              <w:spacing w:line="400" w:lineRule="exact"/>
              <w:jc w:val="center"/>
              <w:rPr>
                <w:rFonts w:ascii="宋体" w:hAnsi="宋体" w:cs="宋体"/>
                <w:szCs w:val="21"/>
              </w:rPr>
            </w:pPr>
            <w:r>
              <w:rPr>
                <w:rFonts w:hint="eastAsia" w:ascii="宋体" w:hAnsi="宋体" w:cs="宋体"/>
                <w:szCs w:val="21"/>
              </w:rPr>
              <w:t>序号</w:t>
            </w:r>
          </w:p>
        </w:tc>
        <w:tc>
          <w:tcPr>
            <w:tcW w:w="7811" w:type="dxa"/>
          </w:tcPr>
          <w:p>
            <w:pPr>
              <w:spacing w:line="400" w:lineRule="exact"/>
              <w:jc w:val="center"/>
              <w:rPr>
                <w:rFonts w:ascii="宋体" w:hAnsi="宋体" w:cs="宋体"/>
                <w:szCs w:val="21"/>
              </w:rPr>
            </w:pPr>
            <w:r>
              <w:rPr>
                <w:rFonts w:hint="eastAsia" w:ascii="宋体" w:hAnsi="宋体" w:cs="宋体"/>
                <w:b/>
                <w:bCs/>
                <w:szCs w:val="21"/>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spacing w:line="400" w:lineRule="exact"/>
              <w:jc w:val="center"/>
              <w:rPr>
                <w:rFonts w:ascii="宋体" w:hAnsi="宋体" w:cs="宋体"/>
                <w:szCs w:val="21"/>
              </w:rPr>
            </w:pPr>
            <w:r>
              <w:rPr>
                <w:rFonts w:hint="eastAsia" w:ascii="宋体" w:hAnsi="宋体" w:cs="宋体"/>
                <w:szCs w:val="21"/>
              </w:rPr>
              <w:t>1</w:t>
            </w:r>
          </w:p>
        </w:tc>
        <w:tc>
          <w:tcPr>
            <w:tcW w:w="7811" w:type="dxa"/>
            <w:vAlign w:val="center"/>
          </w:tcPr>
          <w:p>
            <w:pPr>
              <w:spacing w:line="400" w:lineRule="exact"/>
              <w:jc w:val="left"/>
              <w:rPr>
                <w:rFonts w:ascii="宋体" w:hAnsi="宋体" w:cs="宋体"/>
                <w:szCs w:val="21"/>
              </w:rPr>
            </w:pPr>
            <w:r>
              <w:rPr>
                <w:rFonts w:hint="eastAsia" w:ascii="宋体" w:hAnsi="宋体" w:cs="宋体"/>
                <w:szCs w:val="21"/>
              </w:rPr>
              <w:t>与其他投标供应商的法定代表人、主要经营负责人、投标授权代表人、项目负责人、主要技术人员为</w:t>
            </w:r>
            <w:r>
              <w:rPr>
                <w:rFonts w:hint="eastAsia" w:ascii="宋体" w:hAnsi="宋体" w:cs="宋体"/>
                <w:b/>
                <w:bCs/>
                <w:szCs w:val="21"/>
              </w:rPr>
              <w:t>同一人、属同一单位或者在同一单位缴纳社会保险</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pPr>
              <w:spacing w:line="400" w:lineRule="exact"/>
              <w:jc w:val="center"/>
              <w:rPr>
                <w:rFonts w:ascii="宋体" w:hAnsi="宋体" w:cs="宋体"/>
                <w:szCs w:val="21"/>
              </w:rPr>
            </w:pPr>
            <w:r>
              <w:rPr>
                <w:rFonts w:hint="eastAsia" w:ascii="宋体" w:hAnsi="宋体" w:cs="宋体"/>
                <w:szCs w:val="21"/>
              </w:rPr>
              <w:t>2</w:t>
            </w:r>
          </w:p>
        </w:tc>
        <w:tc>
          <w:tcPr>
            <w:tcW w:w="7811" w:type="dxa"/>
            <w:vAlign w:val="center"/>
          </w:tcPr>
          <w:p>
            <w:pPr>
              <w:spacing w:line="400" w:lineRule="exact"/>
              <w:jc w:val="left"/>
              <w:rPr>
                <w:rFonts w:ascii="宋体" w:hAnsi="宋体" w:cs="宋体"/>
                <w:szCs w:val="21"/>
              </w:rPr>
            </w:pPr>
            <w:r>
              <w:rPr>
                <w:rFonts w:hint="eastAsia" w:ascii="宋体" w:hAnsi="宋体" w:cs="宋体"/>
                <w:szCs w:val="21"/>
              </w:rPr>
              <w:t>参与本项目政府采购活动时，与其他投标供应商存在单位负责人为</w:t>
            </w:r>
            <w:r>
              <w:rPr>
                <w:rFonts w:hint="eastAsia" w:ascii="宋体" w:hAnsi="宋体" w:cs="宋体"/>
                <w:b/>
                <w:bCs/>
                <w:szCs w:val="21"/>
              </w:rPr>
              <w:t>同一人或直接控股、管理关系</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1" w:type="dxa"/>
          </w:tcPr>
          <w:p>
            <w:pPr>
              <w:spacing w:line="400" w:lineRule="exact"/>
              <w:jc w:val="center"/>
              <w:rPr>
                <w:rFonts w:ascii="宋体" w:hAnsi="宋体" w:cs="宋体"/>
                <w:szCs w:val="21"/>
              </w:rPr>
            </w:pPr>
            <w:r>
              <w:rPr>
                <w:rFonts w:hint="eastAsia" w:ascii="宋体" w:hAnsi="宋体" w:cs="宋体"/>
                <w:szCs w:val="21"/>
              </w:rPr>
              <w:t>3</w:t>
            </w:r>
          </w:p>
        </w:tc>
        <w:tc>
          <w:tcPr>
            <w:tcW w:w="7811" w:type="dxa"/>
            <w:vAlign w:val="center"/>
          </w:tcPr>
          <w:p>
            <w:pPr>
              <w:spacing w:line="400" w:lineRule="exact"/>
              <w:jc w:val="left"/>
              <w:rPr>
                <w:rFonts w:ascii="宋体" w:hAnsi="宋体" w:cs="宋体"/>
                <w:szCs w:val="21"/>
              </w:rPr>
            </w:pPr>
            <w:r>
              <w:rPr>
                <w:rFonts w:hint="eastAsia" w:ascii="宋体" w:hAnsi="宋体" w:cs="宋体"/>
                <w:szCs w:val="21"/>
              </w:rPr>
              <w:t>与其他投标供应商的投标文件或部分投标文件</w:t>
            </w:r>
            <w:r>
              <w:rPr>
                <w:rFonts w:hint="eastAsia" w:ascii="宋体" w:hAnsi="宋体" w:cs="宋体"/>
                <w:b/>
                <w:bCs/>
                <w:szCs w:val="21"/>
              </w:rPr>
              <w:t>相互混装或存在非正常一致</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spacing w:line="400" w:lineRule="exact"/>
              <w:jc w:val="center"/>
              <w:rPr>
                <w:rFonts w:ascii="宋体" w:hAnsi="宋体" w:cs="宋体"/>
                <w:szCs w:val="21"/>
              </w:rPr>
            </w:pPr>
            <w:r>
              <w:rPr>
                <w:rFonts w:hint="eastAsia" w:ascii="宋体" w:hAnsi="宋体" w:cs="宋体"/>
                <w:szCs w:val="21"/>
              </w:rPr>
              <w:t>4</w:t>
            </w:r>
          </w:p>
        </w:tc>
        <w:tc>
          <w:tcPr>
            <w:tcW w:w="7811" w:type="dxa"/>
            <w:vAlign w:val="center"/>
          </w:tcPr>
          <w:p>
            <w:pPr>
              <w:spacing w:line="400" w:lineRule="exact"/>
              <w:jc w:val="left"/>
              <w:rPr>
                <w:rFonts w:ascii="宋体" w:hAnsi="宋体" w:cs="宋体"/>
                <w:szCs w:val="21"/>
              </w:rPr>
            </w:pPr>
            <w:r>
              <w:rPr>
                <w:rFonts w:hint="eastAsia" w:ascii="宋体" w:hAnsi="宋体" w:cs="宋体"/>
                <w:szCs w:val="21"/>
              </w:rPr>
              <w:t>与其他投标供应商的投标文件由</w:t>
            </w:r>
            <w:r>
              <w:rPr>
                <w:rFonts w:hint="eastAsia" w:ascii="宋体" w:hAnsi="宋体" w:cs="宋体"/>
                <w:b/>
                <w:bCs/>
                <w:szCs w:val="21"/>
              </w:rPr>
              <w:t>同一单位或者同一人编制</w:t>
            </w:r>
            <w:r>
              <w:rPr>
                <w:rFonts w:hint="eastAsia" w:ascii="宋体" w:hAnsi="宋体" w:cs="宋体"/>
                <w:szCs w:val="21"/>
              </w:rPr>
              <w:t>，或者使用</w:t>
            </w:r>
            <w:r>
              <w:rPr>
                <w:rFonts w:hint="eastAsia" w:ascii="宋体" w:hAnsi="宋体" w:cs="宋体"/>
                <w:b/>
                <w:bCs/>
                <w:szCs w:val="21"/>
              </w:rPr>
              <w:t>同一设备编制</w:t>
            </w:r>
            <w:r>
              <w:rPr>
                <w:rFonts w:hint="eastAsia" w:ascii="宋体" w:hAnsi="宋体" w:cs="宋体"/>
                <w:szCs w:val="21"/>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tcPr>
          <w:p>
            <w:pPr>
              <w:spacing w:line="400" w:lineRule="exact"/>
              <w:jc w:val="center"/>
              <w:rPr>
                <w:rFonts w:ascii="宋体" w:hAnsi="宋体" w:cs="宋体"/>
                <w:szCs w:val="21"/>
              </w:rPr>
            </w:pPr>
            <w:r>
              <w:rPr>
                <w:rFonts w:hint="eastAsia" w:ascii="宋体" w:hAnsi="宋体" w:cs="宋体"/>
                <w:szCs w:val="21"/>
              </w:rPr>
              <w:t>5</w:t>
            </w:r>
          </w:p>
        </w:tc>
        <w:tc>
          <w:tcPr>
            <w:tcW w:w="7811" w:type="dxa"/>
            <w:vAlign w:val="center"/>
          </w:tcPr>
          <w:p>
            <w:pPr>
              <w:spacing w:line="400" w:lineRule="exact"/>
              <w:jc w:val="left"/>
              <w:rPr>
                <w:rFonts w:ascii="宋体" w:hAnsi="宋体" w:cs="宋体"/>
                <w:szCs w:val="21"/>
              </w:rPr>
            </w:pPr>
            <w:r>
              <w:rPr>
                <w:rFonts w:hint="eastAsia" w:ascii="宋体" w:hAnsi="宋体" w:cs="宋体"/>
                <w:szCs w:val="21"/>
              </w:rPr>
              <w:t>提供</w:t>
            </w:r>
            <w:r>
              <w:rPr>
                <w:rFonts w:hint="eastAsia" w:ascii="宋体" w:hAnsi="宋体" w:cs="宋体"/>
                <w:b/>
                <w:bCs/>
                <w:szCs w:val="21"/>
              </w:rPr>
              <w:t>未经出具机构核实</w:t>
            </w:r>
            <w:r>
              <w:rPr>
                <w:rFonts w:hint="eastAsia" w:ascii="宋体" w:hAnsi="宋体" w:cs="宋体"/>
                <w:szCs w:val="21"/>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tcPr>
          <w:p>
            <w:pPr>
              <w:spacing w:line="400" w:lineRule="exact"/>
              <w:jc w:val="center"/>
              <w:rPr>
                <w:rFonts w:ascii="宋体" w:hAnsi="宋体" w:cs="宋体"/>
                <w:szCs w:val="21"/>
              </w:rPr>
            </w:pPr>
            <w:r>
              <w:rPr>
                <w:rFonts w:hint="eastAsia" w:ascii="宋体" w:hAnsi="宋体" w:cs="宋体"/>
                <w:szCs w:val="21"/>
              </w:rPr>
              <w:t>6</w:t>
            </w:r>
          </w:p>
        </w:tc>
        <w:tc>
          <w:tcPr>
            <w:tcW w:w="7811" w:type="dxa"/>
            <w:vAlign w:val="center"/>
          </w:tcPr>
          <w:p>
            <w:pPr>
              <w:spacing w:line="400" w:lineRule="exact"/>
              <w:jc w:val="left"/>
              <w:rPr>
                <w:rFonts w:ascii="宋体" w:hAnsi="宋体" w:cs="宋体"/>
                <w:szCs w:val="21"/>
              </w:rPr>
            </w:pPr>
            <w:r>
              <w:rPr>
                <w:rFonts w:hint="eastAsia" w:ascii="宋体" w:hAnsi="宋体" w:cs="宋体"/>
                <w:szCs w:val="21"/>
              </w:rPr>
              <w:t>擅自将投标密钥或电子营业执照出借他人使用或未妥善保管。</w:t>
            </w:r>
          </w:p>
        </w:tc>
      </w:tr>
    </w:tbl>
    <w:p>
      <w:pPr>
        <w:spacing w:before="120" w:beforeLines="50" w:line="380" w:lineRule="exact"/>
        <w:ind w:firstLine="421" w:firstLineChars="200"/>
        <w:rPr>
          <w:rFonts w:ascii="宋体" w:hAnsi="宋体" w:cs="宋体"/>
          <w:b/>
          <w:szCs w:val="21"/>
        </w:rPr>
      </w:pPr>
      <w:r>
        <w:rPr>
          <w:rFonts w:hint="eastAsia" w:ascii="宋体" w:hAnsi="宋体" w:cs="宋体"/>
          <w:b/>
          <w:szCs w:val="21"/>
        </w:rPr>
        <w:t>一、我单位已充分知悉“隐瞒真实情况，提供虚假资料”的法定情形，包括但不限于：</w:t>
      </w:r>
    </w:p>
    <w:p>
      <w:pPr>
        <w:spacing w:line="380" w:lineRule="exact"/>
        <w:ind w:firstLine="420" w:firstLineChars="200"/>
        <w:rPr>
          <w:rFonts w:ascii="宋体" w:hAnsi="宋体" w:cs="宋体"/>
          <w:szCs w:val="21"/>
        </w:rPr>
      </w:pPr>
      <w:r>
        <w:rPr>
          <w:rFonts w:hint="eastAsia" w:ascii="宋体" w:hAnsi="宋体" w:cs="宋体"/>
          <w:szCs w:val="21"/>
        </w:rPr>
        <w:t>（一）通过转让或者租借等方式从其他单位获取资格或者资质证书投标的。</w:t>
      </w:r>
    </w:p>
    <w:p>
      <w:pPr>
        <w:spacing w:line="380" w:lineRule="exact"/>
        <w:ind w:firstLine="420" w:firstLineChars="200"/>
        <w:rPr>
          <w:rFonts w:ascii="宋体" w:hAnsi="宋体" w:cs="宋体"/>
          <w:szCs w:val="21"/>
        </w:rPr>
      </w:pPr>
      <w:r>
        <w:rPr>
          <w:rFonts w:hint="eastAsia" w:ascii="宋体" w:hAnsi="宋体" w:cs="宋体"/>
          <w:szCs w:val="21"/>
        </w:rPr>
        <w:t>（二）由其他单位或者其他单位负责人在投标供应商编制的投标文件上加盖印章或者签字的。</w:t>
      </w:r>
    </w:p>
    <w:p>
      <w:pPr>
        <w:spacing w:line="380" w:lineRule="exact"/>
        <w:ind w:firstLine="420" w:firstLineChars="200"/>
        <w:rPr>
          <w:rFonts w:ascii="宋体" w:hAnsi="宋体" w:cs="宋体"/>
          <w:szCs w:val="21"/>
        </w:rPr>
      </w:pPr>
      <w:r>
        <w:rPr>
          <w:rFonts w:hint="eastAsia" w:ascii="宋体" w:hAnsi="宋体" w:cs="宋体"/>
          <w:szCs w:val="21"/>
        </w:rPr>
        <w:t>（三）项目负责人或者主要技术人员不是本单位人员的。</w:t>
      </w:r>
    </w:p>
    <w:p>
      <w:pPr>
        <w:spacing w:line="380" w:lineRule="exact"/>
        <w:ind w:firstLine="420" w:firstLineChars="200"/>
        <w:rPr>
          <w:rFonts w:ascii="宋体" w:hAnsi="宋体" w:cs="宋体"/>
          <w:szCs w:val="21"/>
        </w:rPr>
      </w:pPr>
      <w:r>
        <w:rPr>
          <w:rFonts w:hint="eastAsia" w:ascii="宋体" w:hAnsi="宋体" w:cs="宋体"/>
          <w:szCs w:val="21"/>
        </w:rPr>
        <w:t>（四）投标保证金不是从投标供应商基本账户转出的。</w:t>
      </w:r>
    </w:p>
    <w:p>
      <w:pPr>
        <w:spacing w:line="380" w:lineRule="exact"/>
        <w:ind w:firstLine="420" w:firstLineChars="200"/>
        <w:rPr>
          <w:rFonts w:ascii="宋体" w:hAnsi="宋体" w:cs="宋体"/>
          <w:szCs w:val="21"/>
        </w:rPr>
      </w:pPr>
      <w:r>
        <w:rPr>
          <w:rFonts w:hint="eastAsia" w:ascii="宋体" w:hAnsi="宋体" w:cs="宋体"/>
          <w:szCs w:val="21"/>
        </w:rPr>
        <w:t>（五）其他隐瞒真实情况、提供虚假资料的行为。</w:t>
      </w:r>
    </w:p>
    <w:p>
      <w:pPr>
        <w:spacing w:line="380" w:lineRule="exact"/>
        <w:ind w:firstLine="421" w:firstLineChars="200"/>
        <w:rPr>
          <w:rFonts w:ascii="宋体" w:hAnsi="宋体" w:cs="宋体"/>
          <w:b/>
          <w:szCs w:val="21"/>
        </w:rPr>
      </w:pPr>
      <w:r>
        <w:rPr>
          <w:rFonts w:hint="eastAsia" w:ascii="宋体" w:hAnsi="宋体" w:cs="宋体"/>
          <w:b/>
          <w:szCs w:val="21"/>
        </w:rPr>
        <w:t>二、我单位已充分知悉“与其他采购参加人串通投标”的法定情形，包括但不限于：</w:t>
      </w:r>
    </w:p>
    <w:p>
      <w:pPr>
        <w:spacing w:line="380" w:lineRule="exact"/>
        <w:ind w:firstLine="420" w:firstLineChars="200"/>
        <w:rPr>
          <w:rFonts w:ascii="宋体" w:hAnsi="宋体" w:cs="宋体"/>
          <w:szCs w:val="21"/>
        </w:rPr>
      </w:pPr>
      <w:r>
        <w:rPr>
          <w:rFonts w:hint="eastAsia" w:ascii="宋体" w:hAnsi="宋体" w:cs="宋体"/>
          <w:szCs w:val="21"/>
        </w:rPr>
        <w:t>（一）投标供应商之间相互约定给予未中标的供应商利益补偿。</w:t>
      </w:r>
    </w:p>
    <w:p>
      <w:pPr>
        <w:spacing w:line="380" w:lineRule="exact"/>
        <w:ind w:firstLine="420" w:firstLineChars="200"/>
        <w:rPr>
          <w:rFonts w:ascii="宋体" w:hAnsi="宋体" w:cs="宋体"/>
          <w:szCs w:val="21"/>
        </w:rPr>
      </w:pPr>
      <w:r>
        <w:rPr>
          <w:rFonts w:hint="eastAsia" w:ascii="宋体" w:hAnsi="宋体" w:cs="宋体"/>
          <w:szCs w:val="21"/>
        </w:rPr>
        <w:t>（二）不同投标供应商的法定代表人、主要经营负责人、项目投标授权代表人、项目负责人、主要技术人员为同一人、属同一单位或者在同一单位缴纳社会保险。</w:t>
      </w:r>
    </w:p>
    <w:p>
      <w:pPr>
        <w:spacing w:line="340" w:lineRule="exact"/>
        <w:ind w:firstLine="420" w:firstLineChars="200"/>
        <w:rPr>
          <w:rFonts w:ascii="宋体" w:hAnsi="宋体" w:cs="宋体"/>
          <w:szCs w:val="21"/>
        </w:rPr>
      </w:pPr>
      <w:r>
        <w:rPr>
          <w:rFonts w:hint="eastAsia" w:ascii="宋体" w:hAnsi="宋体" w:cs="宋体"/>
          <w:szCs w:val="21"/>
        </w:rPr>
        <w:t>（三）不同投标供应商的投标文件由同一单位或者同一人编制，或者由同一人分阶段参与编制的。</w:t>
      </w:r>
    </w:p>
    <w:p>
      <w:pPr>
        <w:spacing w:line="340" w:lineRule="exact"/>
        <w:ind w:firstLine="420" w:firstLineChars="200"/>
        <w:rPr>
          <w:rFonts w:ascii="宋体" w:hAnsi="宋体" w:cs="宋体"/>
          <w:szCs w:val="21"/>
        </w:rPr>
      </w:pPr>
      <w:r>
        <w:rPr>
          <w:rFonts w:hint="eastAsia" w:ascii="宋体" w:hAnsi="宋体" w:cs="宋体"/>
          <w:szCs w:val="21"/>
        </w:rPr>
        <w:t>（四）不同投标供应商的投标文件或部分投标文件相互混装。</w:t>
      </w:r>
    </w:p>
    <w:p>
      <w:pPr>
        <w:spacing w:line="340" w:lineRule="exact"/>
        <w:ind w:firstLine="420" w:firstLineChars="200"/>
        <w:rPr>
          <w:rFonts w:ascii="宋体" w:hAnsi="宋体" w:cs="宋体"/>
          <w:szCs w:val="21"/>
        </w:rPr>
      </w:pPr>
      <w:r>
        <w:rPr>
          <w:rFonts w:hint="eastAsia" w:ascii="宋体" w:hAnsi="宋体" w:cs="宋体"/>
          <w:szCs w:val="21"/>
        </w:rPr>
        <w:t>（五）不同投标供应商的投标文件内容存在非正常一致。</w:t>
      </w:r>
    </w:p>
    <w:p>
      <w:pPr>
        <w:spacing w:line="340" w:lineRule="exact"/>
        <w:ind w:firstLine="420" w:firstLineChars="200"/>
        <w:rPr>
          <w:rFonts w:ascii="宋体" w:hAnsi="宋体" w:cs="宋体"/>
          <w:szCs w:val="21"/>
        </w:rPr>
      </w:pPr>
      <w:r>
        <w:rPr>
          <w:rFonts w:hint="eastAsia" w:ascii="宋体" w:hAnsi="宋体" w:cs="宋体"/>
          <w:szCs w:val="21"/>
        </w:rPr>
        <w:t>（六）由同一单位工作人员为两家以上（含两家）供应商进行同一项投标活动的。</w:t>
      </w:r>
    </w:p>
    <w:p>
      <w:pPr>
        <w:spacing w:line="340" w:lineRule="exact"/>
        <w:ind w:firstLine="420" w:firstLineChars="200"/>
        <w:rPr>
          <w:rFonts w:ascii="宋体" w:hAnsi="宋体" w:cs="宋体"/>
          <w:szCs w:val="21"/>
        </w:rPr>
      </w:pPr>
      <w:r>
        <w:rPr>
          <w:rFonts w:hint="eastAsia" w:ascii="宋体" w:hAnsi="宋体" w:cs="宋体"/>
          <w:szCs w:val="21"/>
        </w:rPr>
        <w:t>（七）不同投标人的投标报价呈规律性差异。</w:t>
      </w:r>
    </w:p>
    <w:p>
      <w:pPr>
        <w:spacing w:line="340" w:lineRule="exact"/>
        <w:ind w:firstLine="420" w:firstLineChars="200"/>
        <w:rPr>
          <w:rFonts w:ascii="宋体" w:hAnsi="宋体" w:cs="宋体"/>
          <w:szCs w:val="21"/>
        </w:rPr>
      </w:pPr>
      <w:r>
        <w:rPr>
          <w:rFonts w:hint="eastAsia" w:ascii="宋体" w:hAnsi="宋体" w:cs="宋体"/>
          <w:szCs w:val="21"/>
        </w:rPr>
        <w:t>（八）不同投标人的投标保证金从同一单位或者个人的账户转出。</w:t>
      </w:r>
    </w:p>
    <w:p>
      <w:pPr>
        <w:spacing w:line="340" w:lineRule="exact"/>
        <w:ind w:firstLine="420" w:firstLineChars="200"/>
        <w:rPr>
          <w:rFonts w:ascii="宋体" w:hAnsi="宋体" w:cs="宋体"/>
          <w:szCs w:val="21"/>
        </w:rPr>
      </w:pPr>
      <w:r>
        <w:rPr>
          <w:rFonts w:hint="eastAsia" w:ascii="宋体" w:hAnsi="宋体" w:cs="宋体"/>
          <w:szCs w:val="21"/>
        </w:rPr>
        <w:t>（九）主管部门依照法律、法规认定的其他情形。</w:t>
      </w:r>
    </w:p>
    <w:p>
      <w:pPr>
        <w:spacing w:line="340" w:lineRule="exact"/>
        <w:ind w:firstLine="421" w:firstLineChars="200"/>
        <w:rPr>
          <w:rFonts w:ascii="宋体" w:hAnsi="宋体" w:cs="宋体"/>
          <w:b/>
          <w:szCs w:val="21"/>
        </w:rPr>
      </w:pPr>
      <w:r>
        <w:rPr>
          <w:rFonts w:hint="eastAsia" w:ascii="宋体" w:hAnsi="宋体" w:cs="宋体"/>
          <w:b/>
          <w:szCs w:val="21"/>
        </w:rPr>
        <w:t>三、我单位已充分知悉下列情形存在法律风险，在投标前已对相关风险事项进行排查。</w:t>
      </w:r>
    </w:p>
    <w:p>
      <w:pPr>
        <w:spacing w:line="340" w:lineRule="exact"/>
        <w:ind w:firstLine="420" w:firstLineChars="200"/>
        <w:rPr>
          <w:rFonts w:ascii="宋体" w:hAnsi="宋体" w:cs="宋体"/>
          <w:b/>
          <w:szCs w:val="21"/>
        </w:rPr>
      </w:pPr>
      <w:r>
        <w:rPr>
          <w:rFonts w:hint="eastAsia" w:ascii="宋体" w:hAnsi="宋体" w:cs="宋体"/>
          <w:szCs w:val="21"/>
        </w:rPr>
        <w:t>（一）对于从其他主体获取的投标资料，我单位应审慎核查，确保其真实性。</w:t>
      </w:r>
      <w:r>
        <w:rPr>
          <w:rFonts w:hint="eastAsia" w:ascii="宋体" w:hAnsi="宋体" w:cs="宋体"/>
          <w:b/>
          <w:szCs w:val="21"/>
        </w:rPr>
        <w:t>如主管部门查实投标文件中存在虚假资料的，无论相关资料是否由第三方或本公司员工提供，均不影响主管部门对供应商存在“隐瞒真实情况，提供虚假资料”违法行为的认定。</w:t>
      </w:r>
    </w:p>
    <w:p>
      <w:pPr>
        <w:spacing w:line="340" w:lineRule="exact"/>
        <w:ind w:firstLine="420" w:firstLineChars="200"/>
        <w:rPr>
          <w:rFonts w:ascii="宋体" w:hAnsi="宋体" w:cs="宋体"/>
          <w:szCs w:val="21"/>
        </w:rPr>
      </w:pPr>
      <w:r>
        <w:rPr>
          <w:rFonts w:hint="eastAsia" w:ascii="宋体" w:hAnsi="宋体" w:cs="宋体"/>
          <w:szCs w:val="21"/>
        </w:rPr>
        <w:t>（二）对于涉及国家机关出具的公文、证件、证明材料等文件，一旦涉嫌虚假，经查实，主管部门将依法从严处理，并移送有关部门追究法律责任；涉嫌犯罪的，移送司法机关处理。</w:t>
      </w:r>
    </w:p>
    <w:p>
      <w:pPr>
        <w:spacing w:line="340" w:lineRule="exact"/>
        <w:ind w:firstLine="420" w:firstLineChars="200"/>
        <w:rPr>
          <w:rFonts w:ascii="宋体" w:hAnsi="宋体" w:cs="宋体"/>
          <w:szCs w:val="21"/>
        </w:rPr>
      </w:pPr>
      <w:r>
        <w:rPr>
          <w:rFonts w:hint="eastAsia" w:ascii="宋体" w:hAnsi="宋体" w:cs="宋体"/>
          <w:szCs w:val="21"/>
        </w:rPr>
        <w:t>（三）我单位对投标电子密钥或电子营业执照负有妥善保管、及时变更和续期等主体责任；使用电子密钥或电子营业执照在深圳政府采购网站进行的活动，均具有法律效力，须承担相应的法律后果。若</w:t>
      </w:r>
      <w:r>
        <w:rPr>
          <w:rFonts w:hint="eastAsia" w:ascii="宋体" w:hAnsi="宋体" w:cs="宋体"/>
          <w:b/>
          <w:bCs/>
          <w:szCs w:val="21"/>
        </w:rPr>
        <w:t>擅自将投标密钥或电子营业执照出借他人使用所造成的法律后果，由我单位自行承担</w:t>
      </w:r>
      <w:r>
        <w:rPr>
          <w:rFonts w:hint="eastAsia" w:ascii="宋体" w:hAnsi="宋体" w:cs="宋体"/>
          <w:szCs w:val="21"/>
        </w:rPr>
        <w:t>。</w:t>
      </w:r>
    </w:p>
    <w:p>
      <w:pPr>
        <w:spacing w:line="340" w:lineRule="exact"/>
        <w:ind w:firstLine="421" w:firstLineChars="200"/>
        <w:rPr>
          <w:rFonts w:ascii="宋体" w:hAnsi="宋体" w:cs="宋体"/>
          <w:b/>
          <w:szCs w:val="21"/>
        </w:rPr>
      </w:pPr>
      <w:r>
        <w:rPr>
          <w:rFonts w:hint="eastAsia" w:ascii="宋体" w:hAnsi="宋体" w:cs="宋体"/>
          <w:b/>
          <w:szCs w:val="21"/>
        </w:rPr>
        <w:t>四、我单位已充分知悉政府采购违法、违规行为的法律后果。</w:t>
      </w:r>
    </w:p>
    <w:p>
      <w:pPr>
        <w:spacing w:line="340" w:lineRule="exact"/>
        <w:ind w:firstLine="420" w:firstLineChars="200"/>
        <w:rPr>
          <w:rFonts w:ascii="宋体" w:hAnsi="宋体" w:cs="宋体"/>
          <w:szCs w:val="21"/>
        </w:rPr>
      </w:pPr>
      <w:r>
        <w:rPr>
          <w:rFonts w:hint="eastAsia" w:ascii="宋体" w:hAnsi="宋体" w:cs="宋体"/>
          <w:szCs w:val="21"/>
        </w:rPr>
        <w:t>经查实，若我单位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分之二十以上千分之三十以下罚款，由市场监管部门依法吊销营业执照。</w:t>
      </w:r>
    </w:p>
    <w:p>
      <w:pPr>
        <w:spacing w:line="340" w:lineRule="exact"/>
        <w:ind w:firstLine="420" w:firstLineChars="200"/>
        <w:rPr>
          <w:rFonts w:ascii="宋体" w:hAnsi="宋体" w:cs="宋体"/>
          <w:szCs w:val="21"/>
          <w:highlight w:val="yellow"/>
        </w:rPr>
      </w:pPr>
      <w:r>
        <w:rPr>
          <w:rFonts w:hint="eastAsia" w:ascii="宋体" w:hAnsi="宋体" w:cs="宋体"/>
          <w:szCs w:val="21"/>
          <w:highlight w:val="yellow"/>
        </w:rPr>
        <w:t>以下文字请投标供应商抄写并确认：“我单位已仔细阅读《政府采购违法行为风险知悉确认书》，充分知悉违法行为的法律后果，并承诺将严谨、诚信、依法依规参与政府采购活动”。</w:t>
      </w:r>
    </w:p>
    <w:tbl>
      <w:tblPr>
        <w:tblStyle w:val="191"/>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pPr>
              <w:autoSpaceDE w:val="0"/>
              <w:autoSpaceDN w:val="0"/>
              <w:spacing w:line="340" w:lineRule="exact"/>
              <w:ind w:firstLine="1866"/>
              <w:rPr>
                <w:rFonts w:ascii="宋体" w:hAnsi="宋体" w:cs="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340" w:lineRule="exact"/>
              <w:ind w:firstLine="1866"/>
              <w:rPr>
                <w:rFonts w:ascii="宋体" w:hAnsi="宋体" w:cs="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pPr>
              <w:autoSpaceDE w:val="0"/>
              <w:autoSpaceDN w:val="0"/>
              <w:spacing w:line="340" w:lineRule="exact"/>
              <w:ind w:firstLine="1866"/>
              <w:rPr>
                <w:rFonts w:ascii="宋体" w:hAnsi="宋体" w:cs="宋体" w:eastAsiaTheme="minorEastAsia"/>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pPr>
              <w:autoSpaceDE w:val="0"/>
              <w:autoSpaceDN w:val="0"/>
              <w:spacing w:line="340" w:lineRule="exact"/>
              <w:ind w:firstLine="1866"/>
              <w:rPr>
                <w:rFonts w:ascii="宋体" w:hAnsi="宋体" w:cs="宋体" w:eastAsiaTheme="minorEastAsia"/>
                <w:spacing w:val="-4"/>
                <w:kern w:val="0"/>
                <w:szCs w:val="21"/>
              </w:rPr>
            </w:pPr>
          </w:p>
        </w:tc>
      </w:tr>
    </w:tbl>
    <w:p>
      <w:pPr>
        <w:widowControl/>
        <w:wordWrap w:val="0"/>
        <w:autoSpaceDE w:val="0"/>
        <w:autoSpaceDN w:val="0"/>
        <w:spacing w:line="340" w:lineRule="exact"/>
        <w:ind w:right="808" w:firstLine="404" w:firstLineChars="200"/>
        <w:jc w:val="right"/>
        <w:rPr>
          <w:rFonts w:ascii="宋体" w:hAnsi="宋体" w:cs="宋体"/>
          <w:spacing w:val="-4"/>
          <w:kern w:val="0"/>
          <w:szCs w:val="21"/>
        </w:rPr>
      </w:pPr>
    </w:p>
    <w:p>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单位负责人签名：</w:t>
      </w:r>
      <w:r>
        <w:rPr>
          <w:rFonts w:hint="eastAsia" w:ascii="宋体" w:hAnsi="宋体" w:cs="宋体"/>
          <w:spacing w:val="-4"/>
          <w:kern w:val="0"/>
          <w:szCs w:val="21"/>
          <w:u w:val="single"/>
        </w:rPr>
        <w:t xml:space="preserve">              </w:t>
      </w:r>
    </w:p>
    <w:p>
      <w:pPr>
        <w:widowControl/>
        <w:wordWrap w:val="0"/>
        <w:autoSpaceDE w:val="0"/>
        <w:autoSpaceDN w:val="0"/>
        <w:spacing w:line="340" w:lineRule="exact"/>
        <w:ind w:right="808" w:firstLine="404" w:firstLineChars="200"/>
        <w:jc w:val="center"/>
        <w:rPr>
          <w:rFonts w:ascii="宋体" w:hAnsi="宋体" w:cs="宋体"/>
          <w:spacing w:val="-4"/>
          <w:kern w:val="0"/>
          <w:szCs w:val="21"/>
          <w:u w:val="single"/>
        </w:rPr>
      </w:pPr>
      <w:r>
        <w:rPr>
          <w:rFonts w:hint="eastAsia" w:ascii="宋体" w:hAnsi="宋体" w:cs="宋体"/>
          <w:spacing w:val="-4"/>
          <w:kern w:val="0"/>
          <w:szCs w:val="21"/>
        </w:rPr>
        <w:t xml:space="preserve">                                 （加盖公章）</w:t>
      </w:r>
    </w:p>
    <w:p>
      <w:pPr>
        <w:widowControl/>
        <w:wordWrap w:val="0"/>
        <w:autoSpaceDE w:val="0"/>
        <w:autoSpaceDN w:val="0"/>
        <w:spacing w:line="340" w:lineRule="exact"/>
        <w:ind w:right="808" w:firstLine="404" w:firstLineChars="200"/>
        <w:jc w:val="right"/>
        <w:rPr>
          <w:rFonts w:ascii="宋体" w:hAnsi="宋体" w:cs="宋体"/>
          <w:spacing w:val="-4"/>
          <w:kern w:val="0"/>
          <w:szCs w:val="21"/>
          <w:u w:val="single"/>
        </w:rPr>
      </w:pPr>
      <w:r>
        <w:rPr>
          <w:rFonts w:hint="eastAsia" w:ascii="宋体" w:hAnsi="宋体" w:cs="宋体"/>
          <w:spacing w:val="-4"/>
          <w:kern w:val="0"/>
          <w:szCs w:val="21"/>
        </w:rPr>
        <w:t xml:space="preserve">     日期：</w:t>
      </w:r>
      <w:r>
        <w:rPr>
          <w:rFonts w:hint="eastAsia" w:ascii="宋体" w:hAnsi="宋体" w:cs="宋体"/>
          <w:spacing w:val="-4"/>
          <w:kern w:val="0"/>
          <w:szCs w:val="21"/>
          <w:u w:val="single"/>
        </w:rPr>
        <w:t xml:space="preserve">              </w:t>
      </w:r>
    </w:p>
    <w:p>
      <w:pPr>
        <w:widowControl/>
        <w:autoSpaceDE w:val="0"/>
        <w:autoSpaceDN w:val="0"/>
        <w:spacing w:line="340" w:lineRule="exact"/>
        <w:ind w:firstLine="405" w:firstLineChars="200"/>
        <w:jc w:val="left"/>
        <w:rPr>
          <w:rFonts w:ascii="宋体" w:hAnsi="宋体" w:cs="宋体"/>
          <w:b/>
          <w:bCs/>
          <w:spacing w:val="-4"/>
          <w:kern w:val="0"/>
          <w:szCs w:val="21"/>
        </w:rPr>
      </w:pPr>
    </w:p>
    <w:p>
      <w:pPr>
        <w:widowControl/>
        <w:autoSpaceDE w:val="0"/>
        <w:autoSpaceDN w:val="0"/>
        <w:spacing w:line="340" w:lineRule="exact"/>
        <w:ind w:firstLine="405" w:firstLineChars="200"/>
        <w:jc w:val="left"/>
        <w:rPr>
          <w:rFonts w:ascii="宋体" w:hAnsi="宋体" w:cs="宋体"/>
          <w:b/>
          <w:bCs/>
          <w:spacing w:val="-4"/>
          <w:kern w:val="0"/>
          <w:szCs w:val="21"/>
        </w:rPr>
      </w:pPr>
      <w:r>
        <w:rPr>
          <w:rFonts w:hint="eastAsia" w:ascii="宋体" w:hAnsi="宋体" w:cs="宋体"/>
          <w:b/>
          <w:bCs/>
          <w:spacing w:val="-4"/>
          <w:kern w:val="0"/>
          <w:szCs w:val="21"/>
        </w:rPr>
        <w:t>注：1.《政府采购违法行为风险知悉确认书》需由投标供应商负责人签字并加盖单位公章后，扫描上传至投标文件一并提交。</w:t>
      </w:r>
    </w:p>
    <w:p>
      <w:pPr>
        <w:pStyle w:val="193"/>
        <w:rPr>
          <w:lang w:bidi="ar"/>
        </w:rPr>
      </w:pPr>
      <w:r>
        <w:rPr>
          <w:rFonts w:hint="eastAsia" w:ascii="宋体" w:hAnsi="宋体" w:cs="宋体"/>
          <w:b/>
          <w:bCs/>
          <w:spacing w:val="-4"/>
          <w:kern w:val="0"/>
          <w:szCs w:val="21"/>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pPr>
        <w:widowControl/>
        <w:autoSpaceDE w:val="0"/>
        <w:autoSpaceDN w:val="0"/>
        <w:spacing w:line="400" w:lineRule="exact"/>
        <w:ind w:firstLine="404" w:firstLineChars="200"/>
        <w:jc w:val="left"/>
        <w:rPr>
          <w:rFonts w:ascii="宋体" w:hAnsi="宋体" w:eastAsiaTheme="minorEastAsia"/>
          <w:color w:val="FF0000"/>
          <w:spacing w:val="-4"/>
          <w:kern w:val="0"/>
          <w:szCs w:val="21"/>
        </w:rPr>
      </w:pPr>
    </w:p>
    <w:p>
      <w:pPr>
        <w:widowControl/>
        <w:autoSpaceDE w:val="0"/>
        <w:autoSpaceDN w:val="0"/>
        <w:spacing w:line="400" w:lineRule="exact"/>
        <w:ind w:right="1414" w:firstLine="480" w:firstLineChars="200"/>
        <w:jc w:val="right"/>
        <w:rPr>
          <w:rFonts w:eastAsiaTheme="minorEastAsia"/>
          <w:kern w:val="0"/>
          <w:sz w:val="24"/>
        </w:rPr>
      </w:pPr>
    </w:p>
    <w:p>
      <w:pPr>
        <w:jc w:val="center"/>
        <w:rPr>
          <w:rFonts w:ascii="黑体" w:eastAsia="黑体"/>
          <w:sz w:val="24"/>
          <w:szCs w:val="20"/>
        </w:rPr>
      </w:pPr>
      <w:r>
        <w:rPr>
          <w:rFonts w:hint="eastAsia" w:ascii="黑体" w:eastAsia="黑体"/>
          <w:sz w:val="24"/>
          <w:szCs w:val="20"/>
        </w:rPr>
        <w:t>（二）订单融资情况</w:t>
      </w:r>
    </w:p>
    <w:p>
      <w:pPr>
        <w:ind w:firstLine="421" w:firstLineChars="200"/>
        <w:rPr>
          <w:rFonts w:ascii="宋体" w:hAnsi="宋体" w:cs="宋体"/>
          <w:b/>
          <w:bCs/>
        </w:rPr>
      </w:pPr>
      <w:r>
        <w:rPr>
          <w:rFonts w:hint="eastAsia" w:ascii="宋体" w:hAnsi="宋体" w:cs="宋体"/>
          <w:b/>
          <w:bCs/>
        </w:rPr>
        <w:t>1、关于政府采购订单融资政策</w:t>
      </w:r>
    </w:p>
    <w:p>
      <w:pPr>
        <w:pStyle w:val="19"/>
        <w:spacing w:line="240" w:lineRule="auto"/>
        <w:ind w:firstLine="420" w:firstLineChars="200"/>
        <w:rPr>
          <w:b w:val="0"/>
          <w:sz w:val="21"/>
          <w:szCs w:val="21"/>
        </w:rPr>
      </w:pPr>
      <w:r>
        <w:rPr>
          <w:rFonts w:hint="eastAsia"/>
          <w:b w:val="0"/>
          <w:sz w:val="21"/>
          <w:szCs w:val="21"/>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ind w:firstLine="421" w:firstLineChars="200"/>
        <w:rPr>
          <w:rFonts w:ascii="宋体" w:hAnsi="宋体" w:cs="宋体"/>
          <w:b/>
          <w:bCs/>
        </w:rPr>
      </w:pPr>
      <w:r>
        <w:rPr>
          <w:rFonts w:hint="eastAsia" w:ascii="宋体" w:hAnsi="宋体" w:cs="宋体"/>
          <w:b/>
          <w:bCs/>
        </w:rPr>
        <w:t>2、供应商账户信息</w:t>
      </w:r>
    </w:p>
    <w:p>
      <w:pPr>
        <w:ind w:left="420" w:leftChars="200" w:firstLine="210" w:firstLineChars="100"/>
        <w:rPr>
          <w:szCs w:val="21"/>
        </w:rPr>
      </w:pPr>
      <w:r>
        <w:rPr>
          <w:rFonts w:hint="eastAsia"/>
          <w:szCs w:val="21"/>
        </w:rPr>
        <w:t>投标人（单位全称）：</w:t>
      </w:r>
      <w:r>
        <w:rPr>
          <w:rFonts w:hint="eastAsia"/>
          <w:szCs w:val="21"/>
          <w:u w:val="thick"/>
        </w:rPr>
        <w:t xml:space="preserve">                           </w:t>
      </w:r>
      <w:r>
        <w:rPr>
          <w:rFonts w:hint="eastAsia"/>
          <w:szCs w:val="21"/>
        </w:rPr>
        <w:t xml:space="preserve">；  </w:t>
      </w:r>
    </w:p>
    <w:p>
      <w:pPr>
        <w:ind w:left="420" w:leftChars="200" w:firstLine="210" w:firstLineChars="100"/>
        <w:rPr>
          <w:szCs w:val="21"/>
        </w:rPr>
      </w:pPr>
      <w:r>
        <w:rPr>
          <w:rFonts w:hint="eastAsia"/>
          <w:szCs w:val="21"/>
        </w:rPr>
        <w:t>投标人单位地址：</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pPr>
        <w:ind w:left="420" w:leftChars="200" w:firstLine="210" w:firstLineChars="100"/>
        <w:rPr>
          <w:szCs w:val="21"/>
          <w:u w:val="thick"/>
        </w:rPr>
      </w:pPr>
      <w:r>
        <w:rPr>
          <w:rFonts w:hint="eastAsia"/>
          <w:szCs w:val="21"/>
        </w:rPr>
        <w:t>联系电话：</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开户银行名称：</w:t>
      </w:r>
      <w:r>
        <w:rPr>
          <w:rFonts w:hint="eastAsia"/>
          <w:szCs w:val="21"/>
          <w:u w:val="thick"/>
        </w:rPr>
        <w:t xml:space="preserve">                                                 </w:t>
      </w:r>
      <w:r>
        <w:rPr>
          <w:rFonts w:hint="eastAsia"/>
          <w:szCs w:val="21"/>
        </w:rPr>
        <w:t>；</w:t>
      </w:r>
    </w:p>
    <w:p>
      <w:pPr>
        <w:ind w:left="420" w:leftChars="200" w:firstLine="210" w:firstLineChars="100"/>
        <w:rPr>
          <w:szCs w:val="21"/>
          <w:u w:val="thick"/>
        </w:rPr>
      </w:pPr>
      <w:r>
        <w:rPr>
          <w:rFonts w:hint="eastAsia"/>
          <w:szCs w:val="21"/>
        </w:rPr>
        <w:t>开户银行账号：</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开户银行地址：</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 xml:space="preserve"> </w:t>
      </w:r>
      <w:r>
        <w:rPr>
          <w:rFonts w:hint="eastAsia" w:ascii="宋体" w:hAnsi="宋体" w:eastAsiaTheme="minorEastAsia"/>
          <w:b/>
          <w:bCs/>
          <w:color w:val="FF0000"/>
          <w:spacing w:val="-4"/>
          <w:kern w:val="0"/>
          <w:szCs w:val="21"/>
        </w:rPr>
        <w:t>注：本项填写内容作为订单融资开展的参考信息，不作为供应商资格性审查及符合性审查条件。</w:t>
      </w:r>
    </w:p>
    <w:p>
      <w:pPr>
        <w:widowControl/>
        <w:autoSpaceDE w:val="0"/>
        <w:autoSpaceDN w:val="0"/>
        <w:spacing w:line="400" w:lineRule="exact"/>
        <w:ind w:right="1414" w:firstLine="480" w:firstLineChars="200"/>
        <w:jc w:val="right"/>
        <w:rPr>
          <w:rFonts w:eastAsiaTheme="minorEastAsia"/>
          <w:kern w:val="0"/>
          <w:sz w:val="24"/>
        </w:rPr>
      </w:pPr>
    </w:p>
    <w:p>
      <w:pPr>
        <w:widowControl/>
        <w:autoSpaceDE w:val="0"/>
        <w:autoSpaceDN w:val="0"/>
        <w:spacing w:line="400" w:lineRule="exact"/>
        <w:ind w:right="1414" w:firstLine="480" w:firstLineChars="200"/>
        <w:jc w:val="right"/>
        <w:rPr>
          <w:rFonts w:eastAsiaTheme="minorEastAsia"/>
          <w:kern w:val="0"/>
          <w:sz w:val="24"/>
        </w:rPr>
      </w:pPr>
    </w:p>
    <w:p>
      <w:pPr>
        <w:ind w:firstLine="630" w:firstLineChars="300"/>
        <w:rPr>
          <w:rFonts w:ascii="宋体" w:hAnsi="宋体"/>
        </w:rPr>
      </w:pPr>
      <w:r>
        <w:t xml:space="preserve">  </w:t>
      </w:r>
      <w:r>
        <w:rPr>
          <w:rFonts w:hint="eastAsia" w:ascii="宋体" w:hAnsi="宋体"/>
        </w:rPr>
        <w:t>………………（根据项目具体情况增加与综合实力评审相关的节点）</w:t>
      </w:r>
    </w:p>
    <w:p>
      <w:pPr>
        <w:ind w:firstLine="720" w:firstLineChars="300"/>
        <w:rPr>
          <w:sz w:val="24"/>
        </w:rPr>
      </w:pPr>
    </w:p>
    <w:p>
      <w:pPr>
        <w:widowControl/>
        <w:spacing w:line="360" w:lineRule="auto"/>
        <w:jc w:val="left"/>
        <w:rPr>
          <w:rFonts w:eastAsiaTheme="minorEastAsia"/>
          <w:b/>
          <w:bCs/>
          <w:kern w:val="0"/>
          <w:sz w:val="24"/>
        </w:rPr>
      </w:pPr>
    </w:p>
    <w:p>
      <w:pPr>
        <w:widowControl/>
        <w:jc w:val="center"/>
        <w:rPr>
          <w:rFonts w:ascii="黑体" w:hAnsi="宋体" w:eastAsia="黑体"/>
          <w:kern w:val="0"/>
          <w:sz w:val="24"/>
          <w:szCs w:val="20"/>
        </w:rPr>
      </w:pPr>
      <w:r>
        <w:rPr>
          <w:rFonts w:hint="eastAsia" w:ascii="黑体" w:hAnsi="宋体" w:eastAsia="黑体"/>
          <w:kern w:val="0"/>
          <w:sz w:val="24"/>
          <w:szCs w:val="20"/>
        </w:rPr>
        <w:t>（三）投标人认为需要加以说明的其他内容（格式自定）</w:t>
      </w:r>
    </w:p>
    <w:p/>
    <w:p>
      <w:pPr>
        <w:pStyle w:val="19"/>
        <w:sectPr>
          <w:pgSz w:w="11907" w:h="16840"/>
          <w:pgMar w:top="1440" w:right="1797" w:bottom="1440" w:left="1797" w:header="851" w:footer="992" w:gutter="0"/>
          <w:cols w:space="425" w:num="1"/>
          <w:titlePg/>
          <w:docGrid w:linePitch="462" w:charSpace="0"/>
        </w:sectPr>
      </w:pPr>
    </w:p>
    <w:p>
      <w:pPr>
        <w:pStyle w:val="19"/>
      </w:pPr>
    </w:p>
    <w:p>
      <w:pPr>
        <w:pStyle w:val="6"/>
      </w:pPr>
      <w:r>
        <w:rPr>
          <w:rFonts w:hint="eastAsia"/>
        </w:rPr>
        <w:t>第五章  合同条款及格式</w:t>
      </w:r>
    </w:p>
    <w:p>
      <w:pPr>
        <w:ind w:firstLine="411" w:firstLineChars="196"/>
      </w:pPr>
    </w:p>
    <w:p>
      <w:pPr>
        <w:jc w:val="center"/>
        <w:outlineLvl w:val="0"/>
      </w:pPr>
      <w:r>
        <w:rPr>
          <w:rFonts w:hint="eastAsia"/>
          <w:b/>
          <w:sz w:val="24"/>
        </w:rPr>
        <w:t>（仅供参考，具体以项目需求及采购结果为准）</w:t>
      </w:r>
    </w:p>
    <w:p>
      <w:pPr>
        <w:rPr>
          <w:rFonts w:ascii="宋体" w:hAnsi="宋体"/>
          <w:b/>
          <w:bCs/>
          <w:szCs w:val="21"/>
        </w:rPr>
      </w:pPr>
      <w:r>
        <w:rPr>
          <w:rFonts w:hint="eastAsia" w:ascii="宋体" w:hAnsi="宋体"/>
          <w:b/>
          <w:bCs/>
          <w:szCs w:val="21"/>
        </w:rPr>
        <w:t>甲方：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b/>
          <w:bCs/>
          <w:szCs w:val="21"/>
        </w:rPr>
      </w:pPr>
      <w:r>
        <w:rPr>
          <w:rFonts w:ascii="宋体" w:hAnsi="宋体"/>
          <w:b/>
          <w:bCs/>
          <w:szCs w:val="21"/>
        </w:rPr>
        <w:t xml:space="preserve"> </w:t>
      </w:r>
      <w:r>
        <w:rPr>
          <w:rFonts w:hint="eastAsia" w:ascii="宋体" w:hAnsi="宋体"/>
          <w:b/>
          <w:bCs/>
          <w:szCs w:val="21"/>
        </w:rPr>
        <w:t xml:space="preserve"> </w:t>
      </w:r>
      <w:r>
        <w:rPr>
          <w:rFonts w:ascii="宋体" w:hAnsi="宋体"/>
          <w:b/>
          <w:bCs/>
          <w:szCs w:val="21"/>
        </w:rPr>
        <w:t xml:space="preserve"> </w:t>
      </w:r>
    </w:p>
    <w:p>
      <w:pPr>
        <w:rPr>
          <w:rFonts w:ascii="宋体" w:hAnsi="宋体"/>
          <w:b/>
          <w:bCs/>
          <w:szCs w:val="21"/>
        </w:rPr>
      </w:pPr>
      <w:r>
        <w:rPr>
          <w:rFonts w:hint="eastAsia" w:ascii="宋体" w:hAnsi="宋体"/>
          <w:b/>
          <w:bCs/>
          <w:szCs w:val="21"/>
        </w:rPr>
        <w:t>乙方：</w:t>
      </w:r>
    </w:p>
    <w:p>
      <w:pPr>
        <w:rPr>
          <w:rFonts w:ascii="宋体" w:hAnsi="宋体"/>
          <w:szCs w:val="21"/>
        </w:rPr>
      </w:pPr>
      <w:r>
        <w:rPr>
          <w:rFonts w:hint="eastAsia" w:ascii="宋体" w:hAnsi="宋体"/>
          <w:szCs w:val="21"/>
        </w:rPr>
        <w:t>地址：</w:t>
      </w:r>
    </w:p>
    <w:p>
      <w:pPr>
        <w:rPr>
          <w:rFonts w:ascii="宋体" w:hAnsi="宋体"/>
          <w:szCs w:val="21"/>
        </w:rPr>
      </w:pPr>
      <w:r>
        <w:rPr>
          <w:rFonts w:hint="eastAsia" w:ascii="宋体" w:hAnsi="宋体"/>
          <w:szCs w:val="21"/>
        </w:rPr>
        <w:t>联系人：</w:t>
      </w:r>
      <w:r>
        <w:rPr>
          <w:rFonts w:ascii="宋体" w:hAnsi="宋体"/>
          <w:szCs w:val="21"/>
        </w:rPr>
        <w:t xml:space="preserve">                          </w:t>
      </w:r>
    </w:p>
    <w:p>
      <w:pPr>
        <w:rPr>
          <w:rFonts w:ascii="宋体" w:hAnsi="宋体"/>
          <w:b/>
          <w:bCs/>
          <w:szCs w:val="21"/>
        </w:rPr>
      </w:pPr>
      <w:r>
        <w:rPr>
          <w:rFonts w:hint="eastAsia" w:ascii="宋体" w:hAnsi="宋体"/>
          <w:szCs w:val="21"/>
        </w:rPr>
        <w:t>联系电话：</w:t>
      </w:r>
    </w:p>
    <w:p>
      <w:pPr>
        <w:rPr>
          <w:rFonts w:ascii="宋体" w:hAnsi="宋体"/>
          <w:szCs w:val="21"/>
        </w:rPr>
      </w:pPr>
      <w:r>
        <w:rPr>
          <w:rFonts w:ascii="宋体" w:hAnsi="宋体"/>
          <w:b/>
          <w:bCs/>
          <w:szCs w:val="21"/>
        </w:rPr>
        <w:t xml:space="preserve">            </w:t>
      </w:r>
      <w:r>
        <w:rPr>
          <w:rFonts w:hint="eastAsia" w:ascii="宋体" w:hAnsi="宋体"/>
          <w:b/>
          <w:bCs/>
          <w:szCs w:val="21"/>
        </w:rPr>
        <w:t xml:space="preserve">          </w:t>
      </w:r>
    </w:p>
    <w:p>
      <w:pPr>
        <w:rPr>
          <w:rFonts w:ascii="宋体" w:hAnsi="宋体"/>
          <w:szCs w:val="21"/>
        </w:rPr>
      </w:pPr>
    </w:p>
    <w:p>
      <w:pPr>
        <w:ind w:firstLine="420" w:firstLineChars="200"/>
        <w:rPr>
          <w:rFonts w:ascii="宋体" w:hAnsi="宋体"/>
          <w:szCs w:val="21"/>
        </w:rPr>
      </w:pPr>
      <w:r>
        <w:rPr>
          <w:rFonts w:hint="eastAsia" w:ascii="宋体" w:hAnsi="宋体"/>
          <w:szCs w:val="21"/>
        </w:rPr>
        <w:t>根据深圳公共资源交易中心（深圳交易集团有限公司*</w:t>
      </w:r>
      <w:r>
        <w:rPr>
          <w:rFonts w:ascii="宋体" w:hAnsi="宋体"/>
          <w:szCs w:val="21"/>
        </w:rPr>
        <w:t>**</w:t>
      </w:r>
      <w:r>
        <w:rPr>
          <w:rFonts w:hint="eastAsia" w:ascii="宋体" w:hAnsi="宋体"/>
          <w:szCs w:val="21"/>
        </w:rPr>
        <w:t>分公司）*</w:t>
      </w:r>
      <w:r>
        <w:rPr>
          <w:rFonts w:ascii="宋体" w:hAnsi="宋体"/>
          <w:szCs w:val="21"/>
        </w:rPr>
        <w:t>**</w:t>
      </w:r>
      <w:r>
        <w:rPr>
          <w:rFonts w:hint="eastAsia" w:ascii="宋体" w:hAnsi="宋体"/>
          <w:szCs w:val="21"/>
        </w:rPr>
        <w:t>号项目结果，*</w:t>
      </w:r>
      <w:r>
        <w:rPr>
          <w:rFonts w:ascii="宋体" w:hAnsi="宋体"/>
          <w:szCs w:val="21"/>
        </w:rPr>
        <w:t>**</w:t>
      </w:r>
      <w:r>
        <w:rPr>
          <w:rFonts w:hint="eastAsia" w:ascii="宋体" w:hAnsi="宋体"/>
          <w:szCs w:val="21"/>
        </w:rPr>
        <w:t>单位为中标人。按照《中华人民共和国民法典》（第三编 合同）》和《深圳经济特区政府采购条例》，经深圳市（以下简称甲方）和单位（以下简称乙方）协商，就甲方委托乙方承担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pPr>
        <w:ind w:firstLine="421" w:firstLineChars="200"/>
        <w:rPr>
          <w:rFonts w:ascii="宋体" w:hAnsi="宋体"/>
          <w:b/>
          <w:bCs/>
          <w:szCs w:val="21"/>
        </w:rPr>
      </w:pPr>
      <w:r>
        <w:rPr>
          <w:rFonts w:hint="eastAsia" w:ascii="宋体" w:hAnsi="宋体"/>
          <w:b/>
          <w:bCs/>
          <w:szCs w:val="21"/>
        </w:rPr>
        <w:t>第一条　项目概况</w:t>
      </w:r>
    </w:p>
    <w:p>
      <w:pPr>
        <w:ind w:firstLine="420" w:firstLineChars="200"/>
        <w:rPr>
          <w:rFonts w:ascii="宋体" w:hAnsi="宋体"/>
          <w:szCs w:val="21"/>
        </w:rPr>
      </w:pPr>
      <w:r>
        <w:rPr>
          <w:rFonts w:hint="eastAsia" w:ascii="宋体" w:hAnsi="宋体"/>
          <w:szCs w:val="21"/>
        </w:rPr>
        <w:t xml:space="preserve">项目名称： </w:t>
      </w:r>
    </w:p>
    <w:p>
      <w:pPr>
        <w:ind w:firstLine="420" w:firstLineChars="200"/>
        <w:rPr>
          <w:rFonts w:ascii="宋体" w:hAnsi="宋体"/>
          <w:szCs w:val="21"/>
        </w:rPr>
      </w:pPr>
      <w:r>
        <w:rPr>
          <w:rFonts w:hint="eastAsia" w:ascii="宋体" w:hAnsi="宋体"/>
          <w:szCs w:val="21"/>
        </w:rPr>
        <w:t xml:space="preserve">项目内容： </w:t>
      </w:r>
    </w:p>
    <w:p>
      <w:pPr>
        <w:ind w:firstLine="420" w:firstLineChars="200"/>
        <w:rPr>
          <w:rFonts w:ascii="宋体" w:hAnsi="宋体"/>
          <w:szCs w:val="21"/>
        </w:rPr>
      </w:pPr>
      <w:r>
        <w:rPr>
          <w:rFonts w:hint="eastAsia" w:ascii="宋体" w:hAnsi="宋体"/>
          <w:szCs w:val="21"/>
        </w:rPr>
        <w:t xml:space="preserve">服务时间： </w:t>
      </w:r>
    </w:p>
    <w:p>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w:t>
      </w:r>
      <w:r>
        <w:rPr>
          <w:rFonts w:ascii="宋体" w:hAnsi="宋体"/>
          <w:szCs w:val="21"/>
        </w:rPr>
        <w:t>**</w:t>
      </w:r>
      <w:r>
        <w:rPr>
          <w:rFonts w:hint="eastAsia" w:ascii="宋体" w:hAnsi="宋体"/>
          <w:szCs w:val="21"/>
        </w:rPr>
        <w:t>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w:t>
      </w:r>
    </w:p>
    <w:p>
      <w:pPr>
        <w:pStyle w:val="8"/>
        <w:rPr>
          <w:rFonts w:ascii="宋体" w:hAnsi="宋体"/>
          <w:szCs w:val="21"/>
        </w:rPr>
      </w:pPr>
      <w:r>
        <w:rPr>
          <w:rFonts w:hint="eastAsia" w:ascii="宋体" w:hAnsi="宋体"/>
          <w:szCs w:val="21"/>
        </w:rPr>
        <w:t>支付方式：分期支付。</w:t>
      </w:r>
    </w:p>
    <w:p>
      <w:pPr>
        <w:ind w:firstLine="421" w:firstLineChars="200"/>
        <w:rPr>
          <w:rFonts w:ascii="宋体" w:hAnsi="宋体"/>
          <w:b/>
          <w:bCs/>
          <w:szCs w:val="21"/>
        </w:rPr>
      </w:pPr>
      <w:r>
        <w:rPr>
          <w:rFonts w:hint="eastAsia" w:ascii="宋体" w:hAnsi="宋体"/>
          <w:b/>
          <w:bCs/>
          <w:szCs w:val="21"/>
        </w:rPr>
        <w:t>第二条  服务范围</w:t>
      </w:r>
    </w:p>
    <w:p>
      <w:pPr>
        <w:ind w:firstLine="420" w:firstLineChars="200"/>
        <w:rPr>
          <w:rFonts w:ascii="宋体" w:hAnsi="宋体"/>
          <w:szCs w:val="21"/>
        </w:rPr>
      </w:pPr>
      <w:r>
        <w:rPr>
          <w:rFonts w:hint="eastAsia" w:ascii="宋体" w:hAnsi="宋体"/>
          <w:szCs w:val="21"/>
        </w:rPr>
        <w:t xml:space="preserve">1、  </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 xml:space="preserve">3、  </w:t>
      </w:r>
    </w:p>
    <w:p>
      <w:pPr>
        <w:ind w:firstLine="420" w:firstLineChars="200"/>
        <w:rPr>
          <w:rFonts w:ascii="宋体" w:hAnsi="宋体"/>
          <w:szCs w:val="21"/>
        </w:rPr>
      </w:pPr>
      <w:r>
        <w:rPr>
          <w:rFonts w:hint="eastAsia" w:ascii="宋体" w:hAnsi="宋体"/>
          <w:szCs w:val="21"/>
        </w:rPr>
        <w:t>4、 其他合同未明示的相关工作。</w:t>
      </w:r>
    </w:p>
    <w:p>
      <w:pPr>
        <w:ind w:firstLine="421" w:firstLineChars="200"/>
        <w:rPr>
          <w:rFonts w:ascii="宋体" w:hAnsi="宋体"/>
          <w:b/>
          <w:bCs/>
          <w:szCs w:val="21"/>
        </w:rPr>
      </w:pPr>
      <w:r>
        <w:rPr>
          <w:rFonts w:hint="eastAsia" w:ascii="宋体" w:hAnsi="宋体"/>
          <w:b/>
          <w:bCs/>
          <w:szCs w:val="21"/>
        </w:rPr>
        <w:t>第三条  时间要求及阶段成果</w:t>
      </w:r>
    </w:p>
    <w:p>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pPr>
        <w:ind w:firstLine="420" w:firstLineChars="200"/>
        <w:rPr>
          <w:rFonts w:ascii="宋体" w:hAnsi="宋体"/>
          <w:szCs w:val="21"/>
        </w:rPr>
      </w:pPr>
      <w:r>
        <w:rPr>
          <w:rFonts w:hint="eastAsia" w:ascii="宋体" w:hAnsi="宋体"/>
          <w:szCs w:val="21"/>
        </w:rPr>
        <w:t xml:space="preserve">2、 </w:t>
      </w:r>
    </w:p>
    <w:p>
      <w:pPr>
        <w:ind w:firstLine="420" w:firstLineChars="200"/>
        <w:rPr>
          <w:rFonts w:ascii="宋体" w:hAnsi="宋体"/>
          <w:szCs w:val="21"/>
        </w:rPr>
      </w:pPr>
      <w:r>
        <w:rPr>
          <w:rFonts w:hint="eastAsia" w:ascii="宋体" w:hAnsi="宋体"/>
          <w:szCs w:val="21"/>
        </w:rPr>
        <w:t>3、</w:t>
      </w:r>
    </w:p>
    <w:p>
      <w:pPr>
        <w:ind w:firstLine="420" w:firstLineChars="200"/>
        <w:rPr>
          <w:rFonts w:ascii="宋体" w:hAnsi="宋体"/>
          <w:szCs w:val="21"/>
        </w:rPr>
      </w:pPr>
      <w:r>
        <w:rPr>
          <w:rFonts w:hint="eastAsia" w:ascii="宋体" w:hAnsi="宋体"/>
          <w:szCs w:val="21"/>
        </w:rPr>
        <w:t>4、</w:t>
      </w:r>
    </w:p>
    <w:p>
      <w:pPr>
        <w:ind w:firstLine="421" w:firstLineChars="200"/>
        <w:rPr>
          <w:rFonts w:ascii="宋体" w:hAnsi="宋体"/>
          <w:b/>
          <w:bCs/>
          <w:szCs w:val="21"/>
        </w:rPr>
      </w:pPr>
      <w:r>
        <w:rPr>
          <w:rFonts w:hint="eastAsia" w:ascii="宋体" w:hAnsi="宋体"/>
          <w:b/>
          <w:bCs/>
          <w:szCs w:val="21"/>
        </w:rPr>
        <w:t>第四条  服务资料归属</w:t>
      </w:r>
    </w:p>
    <w:p>
      <w:pPr>
        <w:ind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及相关的资料的最后文本，包括为履行技术服务范围所编制的图纸、计划和证明资料等，都属于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pPr>
        <w:ind w:firstLine="421" w:firstLineChars="200"/>
        <w:rPr>
          <w:rFonts w:ascii="宋体" w:hAnsi="宋体"/>
          <w:b/>
          <w:bCs/>
          <w:szCs w:val="21"/>
        </w:rPr>
      </w:pPr>
      <w:r>
        <w:rPr>
          <w:rFonts w:hint="eastAsia" w:ascii="宋体" w:hAnsi="宋体"/>
          <w:b/>
          <w:bCs/>
          <w:szCs w:val="21"/>
        </w:rPr>
        <w:t>第五条  甲方的义务</w:t>
      </w:r>
    </w:p>
    <w:p>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pPr>
        <w:ind w:firstLine="420" w:firstLineChars="200"/>
        <w:rPr>
          <w:rFonts w:ascii="宋体" w:hAnsi="宋体"/>
          <w:szCs w:val="21"/>
        </w:rPr>
      </w:pPr>
      <w:r>
        <w:rPr>
          <w:rFonts w:hint="eastAsia" w:ascii="宋体" w:hAnsi="宋体"/>
          <w:szCs w:val="21"/>
        </w:rPr>
        <w:t>2、向乙方提供与本项目服务工作有关的资料。</w:t>
      </w:r>
    </w:p>
    <w:p>
      <w:pPr>
        <w:ind w:firstLine="420" w:firstLineChars="200"/>
        <w:rPr>
          <w:rFonts w:ascii="宋体" w:hAnsi="宋体"/>
          <w:szCs w:val="21"/>
        </w:rPr>
      </w:pPr>
      <w:r>
        <w:rPr>
          <w:rFonts w:hint="eastAsia" w:ascii="宋体" w:hAnsi="宋体"/>
          <w:szCs w:val="21"/>
        </w:rPr>
        <w:t>3、负责组织有关专家对项目试验成果评估报告的评审。</w:t>
      </w:r>
    </w:p>
    <w:p>
      <w:pPr>
        <w:ind w:firstLine="421" w:firstLineChars="200"/>
        <w:rPr>
          <w:rFonts w:ascii="宋体" w:hAnsi="宋体"/>
          <w:b/>
          <w:bCs/>
          <w:szCs w:val="21"/>
        </w:rPr>
      </w:pPr>
      <w:r>
        <w:rPr>
          <w:rFonts w:hint="eastAsia" w:ascii="宋体" w:hAnsi="宋体"/>
          <w:b/>
          <w:bCs/>
          <w:szCs w:val="21"/>
        </w:rPr>
        <w:t>第六条　乙方的义务</w:t>
      </w:r>
    </w:p>
    <w:p>
      <w:pPr>
        <w:ind w:firstLine="420" w:firstLineChars="200"/>
        <w:rPr>
          <w:rFonts w:ascii="宋体" w:hAnsi="宋体"/>
          <w:szCs w:val="21"/>
        </w:rPr>
      </w:pPr>
      <w:r>
        <w:rPr>
          <w:rFonts w:hint="eastAsia" w:ascii="宋体" w:hAnsi="宋体"/>
          <w:szCs w:val="21"/>
        </w:rPr>
        <w:t>１、应按照招标文件、投标文件要求按期完成本项目服务工作。</w:t>
      </w:r>
    </w:p>
    <w:p>
      <w:pPr>
        <w:ind w:firstLine="420" w:firstLineChars="200"/>
        <w:rPr>
          <w:rFonts w:ascii="宋体" w:hAnsi="宋体"/>
          <w:szCs w:val="21"/>
        </w:rPr>
      </w:pPr>
      <w:r>
        <w:rPr>
          <w:rFonts w:hint="eastAsia" w:ascii="宋体" w:hAnsi="宋体"/>
          <w:szCs w:val="21"/>
        </w:rPr>
        <w:t>2、负责组织项目的实施，保证工程进度和成桥荷载试验工作质量，并满足</w:t>
      </w:r>
      <w:r>
        <w:rPr>
          <w:rFonts w:hint="eastAsia" w:ascii="宋体" w:hAnsi="宋体"/>
          <w:szCs w:val="21"/>
          <w:lang w:eastAsia="zh-CN"/>
        </w:rPr>
        <w:t>交通运输部</w:t>
      </w:r>
      <w:r>
        <w:rPr>
          <w:rFonts w:hint="eastAsia" w:ascii="宋体" w:hAnsi="宋体"/>
          <w:szCs w:val="21"/>
        </w:rPr>
        <w:t>工验收相关标准。</w:t>
      </w:r>
    </w:p>
    <w:p>
      <w:pPr>
        <w:ind w:firstLine="420" w:firstLineChars="200"/>
        <w:rPr>
          <w:rFonts w:ascii="宋体" w:hAnsi="宋体"/>
          <w:szCs w:val="21"/>
        </w:rPr>
      </w:pPr>
      <w:r>
        <w:rPr>
          <w:rFonts w:hint="eastAsia" w:ascii="宋体" w:hAnsi="宋体"/>
          <w:szCs w:val="21"/>
        </w:rPr>
        <w:t>3、</w:t>
      </w:r>
      <w:r>
        <w:rPr>
          <w:rFonts w:hint="eastAsia" w:ascii="宋体" w:hAnsi="宋体"/>
        </w:rPr>
        <w:t>向甲方提交检测资料等各套，一套电子版文件。</w:t>
      </w:r>
    </w:p>
    <w:p>
      <w:pPr>
        <w:ind w:firstLine="420" w:firstLineChars="200"/>
        <w:rPr>
          <w:rFonts w:ascii="宋体" w:hAnsi="宋体"/>
          <w:szCs w:val="21"/>
        </w:rPr>
      </w:pPr>
      <w:r>
        <w:rPr>
          <w:rFonts w:hint="eastAsia" w:ascii="宋体" w:hAnsi="宋体"/>
          <w:szCs w:val="21"/>
        </w:rPr>
        <w:t>4、在履行合同期间或合同规定期限内，不得泄露与本合同规定业务活动有关的保密资料。</w:t>
      </w:r>
    </w:p>
    <w:p>
      <w:pPr>
        <w:ind w:firstLine="421" w:firstLineChars="200"/>
        <w:rPr>
          <w:rFonts w:ascii="宋体" w:hAnsi="宋体"/>
          <w:b/>
          <w:bCs/>
          <w:szCs w:val="21"/>
        </w:rPr>
      </w:pPr>
      <w:r>
        <w:rPr>
          <w:rFonts w:hint="eastAsia" w:ascii="宋体" w:hAnsi="宋体"/>
          <w:b/>
          <w:bCs/>
          <w:szCs w:val="21"/>
        </w:rPr>
        <w:t>第七条  甲方的权利</w:t>
      </w:r>
    </w:p>
    <w:p>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pPr>
        <w:ind w:firstLine="421" w:firstLineChars="200"/>
        <w:rPr>
          <w:rFonts w:ascii="宋体" w:hAnsi="宋体"/>
          <w:b/>
          <w:bCs/>
          <w:szCs w:val="21"/>
        </w:rPr>
      </w:pPr>
      <w:r>
        <w:rPr>
          <w:rFonts w:hint="eastAsia" w:ascii="宋体" w:hAnsi="宋体"/>
          <w:b/>
          <w:bCs/>
          <w:szCs w:val="21"/>
        </w:rPr>
        <w:t>第八条  乙方的权利</w:t>
      </w:r>
    </w:p>
    <w:p>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、乙方在本项目服务过程中，有权对第三方提出与本服务业务有关的问题进行核对或查问。</w:t>
      </w:r>
    </w:p>
    <w:p>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、乙方在本项目服务过程中，有到工程现场勘察的权利。</w:t>
      </w:r>
    </w:p>
    <w:p>
      <w:pPr>
        <w:ind w:firstLine="421" w:firstLineChars="200"/>
        <w:rPr>
          <w:rFonts w:ascii="宋体" w:hAnsi="宋体"/>
          <w:b/>
          <w:bCs/>
          <w:szCs w:val="21"/>
        </w:rPr>
      </w:pPr>
      <w:r>
        <w:rPr>
          <w:rFonts w:hint="eastAsia" w:ascii="宋体" w:hAnsi="宋体"/>
          <w:b/>
          <w:bCs/>
          <w:szCs w:val="21"/>
        </w:rPr>
        <w:t>第九条  甲方的责任</w:t>
      </w:r>
    </w:p>
    <w:p>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pPr>
        <w:ind w:firstLine="421" w:firstLineChars="200"/>
        <w:rPr>
          <w:rFonts w:ascii="宋体" w:hAnsi="宋体"/>
          <w:b/>
          <w:bCs/>
          <w:szCs w:val="21"/>
        </w:rPr>
      </w:pPr>
      <w:r>
        <w:rPr>
          <w:rFonts w:hint="eastAsia" w:ascii="宋体" w:hAnsi="宋体"/>
          <w:b/>
          <w:bCs/>
          <w:szCs w:val="21"/>
        </w:rPr>
        <w:t>第十条  乙方的责任</w:t>
      </w:r>
    </w:p>
    <w:p>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pPr>
        <w:ind w:firstLine="421" w:firstLineChars="200"/>
        <w:rPr>
          <w:rFonts w:ascii="宋体" w:hAnsi="宋体"/>
          <w:b/>
          <w:bCs/>
          <w:szCs w:val="21"/>
        </w:rPr>
      </w:pPr>
      <w:r>
        <w:rPr>
          <w:rFonts w:hint="eastAsia" w:ascii="宋体" w:hAnsi="宋体"/>
          <w:b/>
          <w:bCs/>
          <w:szCs w:val="21"/>
        </w:rPr>
        <w:t>第十一条  人员要求</w:t>
      </w:r>
    </w:p>
    <w:p>
      <w:pPr>
        <w:ind w:firstLine="420" w:firstLineChars="200"/>
        <w:rPr>
          <w:rFonts w:ascii="宋体" w:hAnsi="宋体"/>
          <w:szCs w:val="21"/>
        </w:rPr>
      </w:pPr>
      <w:r>
        <w:rPr>
          <w:rFonts w:hint="eastAsia" w:ascii="宋体" w:hAnsi="宋体"/>
          <w:szCs w:val="21"/>
        </w:rPr>
        <w:t>1、参加本项目试验的人员必须具有国家和有关部门规定的相应资质。</w:t>
      </w:r>
    </w:p>
    <w:p>
      <w:pPr>
        <w:ind w:firstLine="420" w:firstLineChars="200"/>
        <w:rPr>
          <w:rFonts w:ascii="宋体" w:hAnsi="宋体"/>
          <w:szCs w:val="21"/>
        </w:rPr>
      </w:pPr>
      <w:r>
        <w:rPr>
          <w:rFonts w:hint="eastAsia" w:ascii="宋体" w:hAnsi="宋体"/>
          <w:szCs w:val="21"/>
        </w:rPr>
        <w:t>2、 参加本项目的试验人员的配置必须与投标文件中的服务承诺书和试验服务组织实施方案一致。</w:t>
      </w:r>
    </w:p>
    <w:p>
      <w:pPr>
        <w:ind w:firstLine="420" w:firstLineChars="200"/>
        <w:rPr>
          <w:rFonts w:ascii="宋体" w:hAnsi="宋体"/>
          <w:szCs w:val="21"/>
        </w:rPr>
      </w:pPr>
      <w:r>
        <w:rPr>
          <w:rFonts w:hint="eastAsia" w:ascii="宋体" w:hAnsi="宋体"/>
          <w:szCs w:val="21"/>
        </w:rPr>
        <w:t>3、必须以直属试验人员参与本项目服务，不得使用挂靠队伍。</w:t>
      </w:r>
    </w:p>
    <w:p>
      <w:pPr>
        <w:ind w:firstLine="421" w:firstLineChars="200"/>
        <w:rPr>
          <w:rFonts w:ascii="宋体" w:hAnsi="宋体"/>
          <w:b/>
          <w:bCs/>
          <w:szCs w:val="21"/>
        </w:rPr>
      </w:pPr>
      <w:r>
        <w:rPr>
          <w:rFonts w:hint="eastAsia" w:ascii="宋体" w:hAnsi="宋体"/>
          <w:b/>
          <w:bCs/>
          <w:szCs w:val="21"/>
        </w:rPr>
        <w:t>第十二条  乙方服务工具要求</w:t>
      </w:r>
    </w:p>
    <w:p>
      <w:pPr>
        <w:ind w:firstLine="420" w:firstLineChars="200"/>
        <w:rPr>
          <w:rFonts w:ascii="宋体" w:hAnsi="宋体"/>
          <w:szCs w:val="21"/>
        </w:rPr>
      </w:pPr>
      <w:r>
        <w:rPr>
          <w:rFonts w:hint="eastAsia" w:ascii="宋体" w:hAnsi="宋体"/>
          <w:szCs w:val="21"/>
        </w:rPr>
        <w:t>1、乙方应配备中标项目所需的足够数量的仪器、仪表以及工具等设备。用户不需向乙方提供施工工具和仪器、仪表。</w:t>
      </w:r>
    </w:p>
    <w:p>
      <w:pPr>
        <w:ind w:firstLine="420" w:firstLineChars="200"/>
        <w:rPr>
          <w:rFonts w:ascii="宋体" w:hAnsi="宋体"/>
          <w:szCs w:val="21"/>
        </w:rPr>
      </w:pPr>
      <w:r>
        <w:rPr>
          <w:rFonts w:hint="eastAsia" w:ascii="宋体" w:hAnsi="宋体"/>
          <w:szCs w:val="21"/>
        </w:rPr>
        <w:t>2、乙方在提供服务过程中应自备车辆。</w:t>
      </w:r>
    </w:p>
    <w:p>
      <w:pPr>
        <w:ind w:firstLine="421" w:firstLineChars="200"/>
        <w:rPr>
          <w:rFonts w:ascii="宋体" w:hAnsi="宋体"/>
          <w:b/>
          <w:bCs/>
          <w:szCs w:val="21"/>
        </w:rPr>
      </w:pPr>
      <w:r>
        <w:rPr>
          <w:rFonts w:hint="eastAsia" w:ascii="宋体" w:hAnsi="宋体"/>
          <w:b/>
          <w:bCs/>
          <w:szCs w:val="21"/>
        </w:rPr>
        <w:t>第十三条  保密要求</w:t>
      </w:r>
    </w:p>
    <w:p>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pPr>
        <w:ind w:firstLine="421" w:firstLineChars="200"/>
        <w:rPr>
          <w:rFonts w:ascii="宋体" w:hAnsi="宋体"/>
          <w:b/>
          <w:bCs/>
          <w:szCs w:val="21"/>
        </w:rPr>
      </w:pPr>
      <w:r>
        <w:rPr>
          <w:rFonts w:hint="eastAsia" w:ascii="宋体" w:hAnsi="宋体"/>
          <w:b/>
          <w:bCs/>
          <w:szCs w:val="21"/>
        </w:rPr>
        <w:t xml:space="preserve">第十四条  验收     </w:t>
      </w:r>
    </w:p>
    <w:p>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三</w:t>
      </w:r>
      <w:r>
        <w:rPr>
          <w:rFonts w:hint="eastAsia" w:ascii="宋体" w:hAnsi="宋体"/>
          <w:szCs w:val="21"/>
        </w:rPr>
        <w:t>个阶段:</w:t>
      </w:r>
    </w:p>
    <w:p>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pPr>
        <w:ind w:firstLine="420" w:firstLineChars="200"/>
        <w:rPr>
          <w:rFonts w:ascii="宋体" w:hAnsi="宋体"/>
          <w:szCs w:val="21"/>
        </w:rPr>
      </w:pPr>
      <w:r>
        <w:rPr>
          <w:rFonts w:hint="eastAsia" w:ascii="宋体" w:hAnsi="宋体"/>
          <w:szCs w:val="21"/>
        </w:rPr>
        <w:t>3、验收依据为招标文件、投标文件，国家和行业有关规范、规程和标准。</w:t>
      </w:r>
    </w:p>
    <w:p>
      <w:pPr>
        <w:ind w:firstLine="421" w:firstLineChars="200"/>
        <w:rPr>
          <w:rFonts w:ascii="宋体" w:hAnsi="宋体"/>
          <w:b/>
          <w:bCs/>
          <w:szCs w:val="21"/>
        </w:rPr>
      </w:pPr>
      <w:r>
        <w:rPr>
          <w:rFonts w:hint="eastAsia" w:ascii="宋体" w:hAnsi="宋体"/>
          <w:b/>
          <w:bCs/>
          <w:szCs w:val="21"/>
        </w:rPr>
        <w:t>第十五条  付款方式</w:t>
      </w:r>
    </w:p>
    <w:p>
      <w:pPr>
        <w:ind w:firstLine="420" w:firstLineChars="200"/>
        <w:rPr>
          <w:rFonts w:ascii="宋体" w:hAnsi="宋体"/>
          <w:szCs w:val="21"/>
        </w:rPr>
      </w:pPr>
      <w:r>
        <w:rPr>
          <w:rFonts w:hint="eastAsia" w:ascii="宋体" w:hAnsi="宋体"/>
          <w:szCs w:val="21"/>
        </w:rPr>
        <w:t>1、合同签订后   天内乙方向甲方开具合法有效的发票后，甲方于   天内向乙方支付合同总价%的款项。</w:t>
      </w:r>
    </w:p>
    <w:p>
      <w:pPr>
        <w:ind w:firstLine="420" w:firstLineChars="200"/>
        <w:rPr>
          <w:rFonts w:ascii="宋体" w:hAnsi="宋体"/>
          <w:szCs w:val="21"/>
        </w:rPr>
      </w:pPr>
      <w:r>
        <w:rPr>
          <w:rFonts w:hint="eastAsia" w:ascii="宋体" w:hAnsi="宋体"/>
          <w:szCs w:val="21"/>
        </w:rPr>
        <w:t>2、检测完成并提交评估报告后  天内，乙方向甲方开具合法有效发票后 天，甲方向乙方支付合同总价%的款项。</w:t>
      </w:r>
    </w:p>
    <w:p>
      <w:pPr>
        <w:ind w:firstLine="420" w:firstLineChars="200"/>
        <w:rPr>
          <w:rFonts w:ascii="宋体" w:hAnsi="宋体"/>
          <w:szCs w:val="21"/>
        </w:rPr>
      </w:pPr>
      <w:r>
        <w:rPr>
          <w:rFonts w:hint="eastAsia" w:ascii="宋体" w:hAnsi="宋体"/>
          <w:szCs w:val="21"/>
        </w:rPr>
        <w:t>3、报告通过专家评审后，甲方向乙方支付合同总价%的款项。</w:t>
      </w:r>
    </w:p>
    <w:p>
      <w:pPr>
        <w:ind w:firstLine="421" w:firstLineChars="200"/>
        <w:rPr>
          <w:rFonts w:ascii="宋体" w:hAnsi="宋体"/>
          <w:b/>
          <w:bCs/>
          <w:szCs w:val="21"/>
        </w:rPr>
      </w:pPr>
      <w:r>
        <w:rPr>
          <w:rFonts w:hint="eastAsia" w:ascii="宋体" w:hAnsi="宋体"/>
          <w:b/>
          <w:bCs/>
          <w:szCs w:val="21"/>
        </w:rPr>
        <w:t>第十六条  争议解决办法</w:t>
      </w:r>
    </w:p>
    <w:p>
      <w:pPr>
        <w:ind w:firstLine="420" w:firstLineChars="200"/>
        <w:rPr>
          <w:rFonts w:ascii="宋体" w:hAnsi="宋体"/>
          <w:szCs w:val="21"/>
        </w:rPr>
      </w:pPr>
      <w:r>
        <w:rPr>
          <w:rFonts w:hint="eastAsia" w:ascii="宋体" w:hAnsi="宋体"/>
          <w:szCs w:val="21"/>
        </w:rPr>
        <w:t>执行本合同发生的争议，由甲乙双方协商解决，如协商不成的，应提交甲方所在地人民法院诉讼解决。</w:t>
      </w:r>
    </w:p>
    <w:p>
      <w:pPr>
        <w:ind w:firstLine="421" w:firstLineChars="200"/>
        <w:rPr>
          <w:rFonts w:ascii="宋体" w:hAnsi="宋体"/>
          <w:b/>
          <w:bCs/>
          <w:szCs w:val="21"/>
        </w:rPr>
      </w:pPr>
      <w:r>
        <w:rPr>
          <w:rFonts w:hint="eastAsia" w:ascii="宋体" w:hAnsi="宋体"/>
          <w:b/>
          <w:bCs/>
          <w:szCs w:val="21"/>
        </w:rPr>
        <w:t>第十七条  风险责任</w:t>
      </w:r>
    </w:p>
    <w:p>
      <w:pPr>
        <w:ind w:firstLine="420" w:firstLineChars="200"/>
        <w:rPr>
          <w:rFonts w:ascii="宋体" w:hAnsi="宋体"/>
          <w:szCs w:val="21"/>
        </w:rPr>
      </w:pPr>
      <w:r>
        <w:rPr>
          <w:rFonts w:hint="eastAsia" w:ascii="宋体" w:hAnsi="宋体"/>
          <w:szCs w:val="21"/>
        </w:rPr>
        <w:t>１、乙方应完全地按照招标文件的要求和乙方投标文件的承诺完成本项目，出于自身财务、技术、人力等原因导致项目失败的，应承担全部责任。</w:t>
      </w:r>
    </w:p>
    <w:p>
      <w:pPr>
        <w:ind w:firstLine="420" w:firstLineChars="200"/>
        <w:rPr>
          <w:rFonts w:ascii="宋体" w:hAnsi="宋体"/>
          <w:szCs w:val="21"/>
        </w:rPr>
      </w:pPr>
      <w:r>
        <w:rPr>
          <w:rFonts w:hint="eastAsia" w:ascii="宋体" w:hAnsi="宋体"/>
          <w:szCs w:val="21"/>
        </w:rPr>
        <w:t>2、乙方在实施荷载试验过程中应对自身的安全生产负责，若非因甲方原因发生的各种事故甲方不承担任何责任。</w:t>
      </w:r>
    </w:p>
    <w:p>
      <w:pPr>
        <w:ind w:firstLine="421" w:firstLineChars="200"/>
        <w:rPr>
          <w:rFonts w:ascii="宋体" w:hAnsi="宋体"/>
          <w:b/>
          <w:bCs/>
          <w:szCs w:val="21"/>
        </w:rPr>
      </w:pPr>
      <w:r>
        <w:rPr>
          <w:rFonts w:hint="eastAsia" w:ascii="宋体" w:hAnsi="宋体"/>
          <w:b/>
          <w:bCs/>
          <w:szCs w:val="21"/>
        </w:rPr>
        <w:t>第十八条  违约责任</w:t>
      </w:r>
    </w:p>
    <w:p>
      <w:pPr>
        <w:pStyle w:val="20"/>
        <w:spacing w:line="240" w:lineRule="auto"/>
        <w:rPr>
          <w:rFonts w:ascii="宋体" w:hAnsi="宋体"/>
          <w:szCs w:val="21"/>
        </w:rPr>
      </w:pPr>
      <w:r>
        <w:rPr>
          <w:rFonts w:hint="eastAsia" w:ascii="宋体" w:hAnsi="宋体"/>
          <w:szCs w:val="21"/>
        </w:rPr>
        <w:t>１、因乙方原因，未能按规定时间完成有关工作的，每延误一天，甲方可在支付合同余款中扣除合同价款千分之一。</w:t>
      </w:r>
    </w:p>
    <w:p>
      <w:pPr>
        <w:ind w:firstLine="420" w:firstLineChars="200"/>
        <w:rPr>
          <w:rFonts w:ascii="宋体" w:hAnsi="宋体"/>
          <w:szCs w:val="21"/>
        </w:rPr>
      </w:pPr>
      <w:r>
        <w:rPr>
          <w:rFonts w:hint="eastAsia" w:ascii="宋体" w:hAnsi="宋体"/>
          <w:szCs w:val="21"/>
        </w:rPr>
        <w:t>2、由于乙方原因造成试验成果质量低劣，不能满足大纲要求时，应继续完善试验工作，其费用由乙方承担。</w:t>
      </w:r>
    </w:p>
    <w:p>
      <w:pPr>
        <w:ind w:firstLine="420" w:firstLineChars="200"/>
        <w:rPr>
          <w:rFonts w:ascii="宋体" w:hAnsi="宋体"/>
          <w:szCs w:val="21"/>
        </w:rPr>
      </w:pPr>
      <w:r>
        <w:rPr>
          <w:rFonts w:hint="eastAsia" w:ascii="宋体" w:hAnsi="宋体"/>
          <w:szCs w:val="21"/>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ind w:firstLine="420" w:firstLineChars="200"/>
        <w:rPr>
          <w:rFonts w:ascii="宋体" w:hAnsi="宋体"/>
          <w:szCs w:val="21"/>
        </w:rPr>
      </w:pPr>
      <w:r>
        <w:rPr>
          <w:rFonts w:hint="eastAsia" w:ascii="宋体" w:hAnsi="宋体"/>
          <w:szCs w:val="21"/>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pPr>
        <w:ind w:firstLine="420" w:firstLineChars="200"/>
        <w:rPr>
          <w:rFonts w:ascii="宋体" w:hAnsi="宋体"/>
          <w:szCs w:val="21"/>
        </w:rPr>
      </w:pPr>
      <w:r>
        <w:rPr>
          <w:rFonts w:hint="eastAsia" w:ascii="宋体" w:hAnsi="宋体"/>
          <w:szCs w:val="21"/>
        </w:rPr>
        <w:t>5、乙方或其工作人员违反本合同约定的保密义务，甲方有权要求乙方按合同总额   %支付违约金；造成不良影响或对甲方造成损失的，甲方有权要求乙方消除影响，承担赔偿责任，并有权解除合同。</w:t>
      </w:r>
    </w:p>
    <w:p>
      <w:pPr>
        <w:ind w:firstLine="420" w:firstLineChars="200"/>
        <w:rPr>
          <w:rFonts w:ascii="宋体" w:hAnsi="宋体"/>
          <w:szCs w:val="21"/>
        </w:rPr>
      </w:pPr>
      <w:r>
        <w:rPr>
          <w:rFonts w:hint="eastAsia" w:ascii="宋体" w:hAnsi="宋体"/>
          <w:szCs w:val="21"/>
        </w:rPr>
        <w:t>6、因乙方提供的服务成果受到侵权指控或者引发法律纠纷，影响甲方使用服务成果或者导致合同目的不能实现的，甲方有权要求乙方按合同总额   %支付违约金，并有权解除合同。</w:t>
      </w:r>
    </w:p>
    <w:p>
      <w:pPr>
        <w:ind w:firstLine="421" w:firstLineChars="200"/>
        <w:rPr>
          <w:rFonts w:ascii="宋体" w:hAnsi="宋体"/>
          <w:b/>
          <w:bCs/>
          <w:szCs w:val="21"/>
        </w:rPr>
      </w:pPr>
      <w:r>
        <w:rPr>
          <w:rFonts w:hint="eastAsia" w:ascii="宋体" w:hAnsi="宋体"/>
          <w:b/>
          <w:bCs/>
          <w:szCs w:val="21"/>
        </w:rPr>
        <w:t>第十九条  其他</w:t>
      </w:r>
    </w:p>
    <w:p>
      <w:pPr>
        <w:ind w:firstLine="420" w:firstLineChars="200"/>
        <w:rPr>
          <w:rFonts w:ascii="宋体" w:hAnsi="宋体"/>
          <w:szCs w:val="21"/>
        </w:rPr>
      </w:pPr>
      <w:r>
        <w:rPr>
          <w:rFonts w:hint="eastAsia" w:ascii="宋体" w:hAnsi="宋体"/>
          <w:szCs w:val="21"/>
        </w:rPr>
        <w:t>1、本协议书与下列文件一起构成合同文件，如下述文件之间有任何抵触、矛盾或歧义，应按以下顺序解释：</w:t>
      </w:r>
    </w:p>
    <w:p>
      <w:pPr>
        <w:ind w:firstLine="420" w:firstLineChars="200"/>
        <w:rPr>
          <w:rFonts w:ascii="宋体" w:hAnsi="宋体"/>
          <w:szCs w:val="21"/>
        </w:rPr>
      </w:pPr>
      <w:r>
        <w:rPr>
          <w:rFonts w:hint="eastAsia" w:ascii="宋体" w:hAnsi="宋体"/>
          <w:szCs w:val="21"/>
        </w:rPr>
        <w:t>（1）政府采购合同协议书及其变更、补充协议</w:t>
      </w:r>
    </w:p>
    <w:p>
      <w:pPr>
        <w:ind w:firstLine="420" w:firstLineChars="200"/>
        <w:rPr>
          <w:rFonts w:ascii="宋体" w:hAnsi="宋体"/>
          <w:szCs w:val="21"/>
        </w:rPr>
      </w:pPr>
      <w:r>
        <w:rPr>
          <w:rFonts w:hint="eastAsia" w:ascii="宋体" w:hAnsi="宋体"/>
          <w:szCs w:val="21"/>
        </w:rPr>
        <w:t>（2）政府采购合同专用条款</w:t>
      </w:r>
    </w:p>
    <w:p>
      <w:pPr>
        <w:ind w:firstLine="420" w:firstLineChars="200"/>
        <w:rPr>
          <w:rFonts w:ascii="宋体" w:hAnsi="宋体"/>
          <w:szCs w:val="21"/>
        </w:rPr>
      </w:pPr>
      <w:r>
        <w:rPr>
          <w:rFonts w:hint="eastAsia" w:ascii="宋体" w:hAnsi="宋体"/>
          <w:szCs w:val="21"/>
        </w:rPr>
        <w:t>（3）政府采购合同通用条款</w:t>
      </w:r>
    </w:p>
    <w:p>
      <w:pPr>
        <w:ind w:firstLine="420" w:firstLineChars="200"/>
        <w:rPr>
          <w:rFonts w:ascii="宋体" w:hAnsi="宋体"/>
          <w:szCs w:val="21"/>
        </w:rPr>
      </w:pPr>
      <w:r>
        <w:rPr>
          <w:rFonts w:hint="eastAsia" w:ascii="宋体" w:hAnsi="宋体"/>
          <w:szCs w:val="21"/>
        </w:rPr>
        <w:t>（4）中标（成交）通知书</w:t>
      </w:r>
    </w:p>
    <w:p>
      <w:pPr>
        <w:ind w:firstLine="420" w:firstLineChars="200"/>
        <w:rPr>
          <w:rFonts w:ascii="宋体" w:hAnsi="宋体"/>
          <w:szCs w:val="21"/>
        </w:rPr>
      </w:pPr>
      <w:r>
        <w:rPr>
          <w:rFonts w:hint="eastAsia" w:ascii="宋体" w:hAnsi="宋体"/>
          <w:szCs w:val="21"/>
        </w:rPr>
        <w:t>（5）投标（响应）文件</w:t>
      </w:r>
    </w:p>
    <w:p>
      <w:pPr>
        <w:ind w:firstLine="420" w:firstLineChars="200"/>
        <w:rPr>
          <w:rFonts w:ascii="宋体" w:hAnsi="宋体"/>
          <w:szCs w:val="21"/>
        </w:rPr>
      </w:pPr>
      <w:r>
        <w:rPr>
          <w:rFonts w:hint="eastAsia" w:ascii="宋体" w:hAnsi="宋体"/>
          <w:szCs w:val="21"/>
        </w:rPr>
        <w:t>（6）采购文件</w:t>
      </w:r>
    </w:p>
    <w:p>
      <w:pPr>
        <w:ind w:firstLine="420" w:firstLineChars="200"/>
        <w:rPr>
          <w:rFonts w:ascii="宋体" w:hAnsi="宋体"/>
          <w:szCs w:val="21"/>
        </w:rPr>
      </w:pPr>
      <w:r>
        <w:rPr>
          <w:rFonts w:hint="eastAsia" w:ascii="宋体" w:hAnsi="宋体"/>
          <w:szCs w:val="21"/>
        </w:rPr>
        <w:t>（7）有关技术文件，图纸</w:t>
      </w:r>
    </w:p>
    <w:p>
      <w:pPr>
        <w:ind w:firstLine="420" w:firstLineChars="200"/>
        <w:rPr>
          <w:rFonts w:ascii="宋体" w:hAnsi="宋体"/>
          <w:szCs w:val="21"/>
        </w:rPr>
      </w:pPr>
      <w:r>
        <w:rPr>
          <w:rFonts w:hint="eastAsia" w:ascii="宋体" w:hAnsi="宋体"/>
          <w:szCs w:val="21"/>
        </w:rPr>
        <w:t>（8）国家法律、行政法规和规章制度规定或合同约定的作为合同组成部分的其他文件。</w:t>
      </w:r>
    </w:p>
    <w:p>
      <w:pPr>
        <w:ind w:firstLine="420" w:firstLineChars="200"/>
        <w:rPr>
          <w:rFonts w:ascii="宋体" w:hAnsi="宋体"/>
          <w:szCs w:val="21"/>
        </w:rPr>
      </w:pPr>
      <w:r>
        <w:rPr>
          <w:rFonts w:hint="eastAsia" w:ascii="宋体" w:hAnsi="宋体"/>
          <w:szCs w:val="21"/>
        </w:rPr>
        <w:t>2、下列文件均为本合同的组成部分：</w:t>
      </w:r>
    </w:p>
    <w:p>
      <w:pPr>
        <w:ind w:firstLine="420" w:firstLineChars="200"/>
        <w:rPr>
          <w:rFonts w:ascii="宋体" w:hAnsi="宋体"/>
          <w:szCs w:val="21"/>
        </w:rPr>
      </w:pPr>
      <w:r>
        <w:rPr>
          <w:rFonts w:hint="eastAsia" w:ascii="宋体" w:hAnsi="宋体"/>
          <w:szCs w:val="21"/>
        </w:rPr>
        <w:t>（1）号招标文件、答疑及补充通知；</w:t>
      </w:r>
    </w:p>
    <w:p>
      <w:pPr>
        <w:ind w:firstLine="420" w:firstLineChars="200"/>
        <w:rPr>
          <w:rFonts w:ascii="宋体" w:hAnsi="宋体"/>
          <w:szCs w:val="21"/>
        </w:rPr>
      </w:pPr>
      <w:r>
        <w:rPr>
          <w:rFonts w:hint="eastAsia" w:ascii="宋体" w:hAnsi="宋体"/>
          <w:szCs w:val="21"/>
        </w:rPr>
        <w:t>（2）投标文件；</w:t>
      </w:r>
    </w:p>
    <w:p>
      <w:pPr>
        <w:ind w:firstLine="420" w:firstLineChars="200"/>
        <w:rPr>
          <w:rFonts w:ascii="宋体" w:hAnsi="宋体"/>
          <w:szCs w:val="21"/>
        </w:rPr>
      </w:pPr>
      <w:r>
        <w:rPr>
          <w:rFonts w:hint="eastAsia" w:ascii="宋体" w:hAnsi="宋体"/>
          <w:szCs w:val="21"/>
        </w:rPr>
        <w:t>（3）本合同执行中共同签署的补充与修正文件。</w:t>
      </w:r>
    </w:p>
    <w:p>
      <w:pPr>
        <w:ind w:firstLine="420" w:firstLineChars="200"/>
        <w:rPr>
          <w:rFonts w:ascii="宋体" w:hAnsi="宋体"/>
          <w:szCs w:val="21"/>
        </w:rPr>
      </w:pPr>
      <w:r>
        <w:rPr>
          <w:rFonts w:hint="eastAsia" w:ascii="宋体" w:hAnsi="宋体"/>
          <w:szCs w:val="21"/>
        </w:rPr>
        <w:t>本合同一式份，甲、乙方双方各执份，具有同等法律效力。本合同自双方法人代表签字（盖章）认可之日起生效。</w:t>
      </w:r>
    </w:p>
    <w:p>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pPr>
        <w:ind w:firstLine="420" w:firstLineChars="200"/>
        <w:rPr>
          <w:rFonts w:ascii="宋体" w:hAnsi="宋体"/>
          <w:szCs w:val="21"/>
        </w:rPr>
      </w:pPr>
    </w:p>
    <w:p>
      <w:pPr>
        <w:ind w:firstLine="420" w:firstLineChars="200"/>
        <w:rPr>
          <w:rFonts w:ascii="宋体" w:hAnsi="宋体"/>
          <w:szCs w:val="21"/>
        </w:rPr>
      </w:pPr>
    </w:p>
    <w:p>
      <w:pPr>
        <w:spacing w:line="360" w:lineRule="auto"/>
        <w:ind w:firstLine="560"/>
        <w:jc w:val="left"/>
        <w:rPr>
          <w:rFonts w:ascii="宋体" w:hAnsi="宋体"/>
          <w:szCs w:val="21"/>
        </w:rPr>
      </w:pPr>
      <w:r>
        <w:rPr>
          <w:rFonts w:hint="eastAsia" w:ascii="宋体" w:hAnsi="宋体"/>
          <w:szCs w:val="21"/>
        </w:rPr>
        <w:t>甲方（采购人）：   （盖章）       乙方（供应商）：    （盖章）</w:t>
      </w:r>
    </w:p>
    <w:p>
      <w:pPr>
        <w:spacing w:line="360" w:lineRule="auto"/>
        <w:ind w:firstLine="560"/>
        <w:jc w:val="left"/>
        <w:rPr>
          <w:rFonts w:ascii="宋体" w:hAnsi="宋体"/>
          <w:szCs w:val="21"/>
        </w:rPr>
      </w:pPr>
      <w:r>
        <w:rPr>
          <w:rFonts w:hint="eastAsia" w:ascii="宋体" w:hAnsi="宋体"/>
          <w:szCs w:val="21"/>
        </w:rPr>
        <w:t xml:space="preserve">法定代表人：                     法定代表人： </w:t>
      </w:r>
    </w:p>
    <w:p>
      <w:pPr>
        <w:spacing w:line="360" w:lineRule="auto"/>
        <w:ind w:firstLine="560"/>
        <w:jc w:val="left"/>
        <w:rPr>
          <w:rFonts w:ascii="宋体" w:hAnsi="宋体"/>
          <w:szCs w:val="21"/>
        </w:rPr>
      </w:pPr>
      <w:r>
        <w:rPr>
          <w:rFonts w:hint="eastAsia" w:ascii="宋体" w:hAnsi="宋体"/>
          <w:szCs w:val="21"/>
        </w:rPr>
        <w:t>委托代理人：                     委托代理人：</w:t>
      </w:r>
    </w:p>
    <w:p>
      <w:pPr>
        <w:ind w:firstLine="420" w:firstLineChars="200"/>
        <w:rPr>
          <w:rFonts w:ascii="宋体" w:hAnsi="宋体"/>
          <w:szCs w:val="21"/>
        </w:rPr>
      </w:pPr>
      <w:r>
        <w:rPr>
          <w:rFonts w:hint="eastAsia" w:ascii="宋体" w:hAnsi="宋体"/>
          <w:szCs w:val="21"/>
        </w:rPr>
        <w:t>日期：   年     月    日         日期：   年     月    日</w:t>
      </w: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ind w:firstLine="420" w:firstLineChars="200"/>
        <w:rPr>
          <w:rFonts w:ascii="宋体" w:hAnsi="宋体"/>
          <w:szCs w:val="21"/>
        </w:rPr>
      </w:pPr>
    </w:p>
    <w:p>
      <w:pPr>
        <w:widowControl/>
        <w:jc w:val="left"/>
        <w:rPr>
          <w:rFonts w:ascii="宋体" w:hAnsi="宋体"/>
          <w:szCs w:val="21"/>
        </w:rPr>
      </w:pPr>
      <w:r>
        <w:rPr>
          <w:rFonts w:ascii="宋体" w:hAnsi="宋体"/>
          <w:szCs w:val="21"/>
        </w:rPr>
        <w:br w:type="page"/>
      </w:r>
    </w:p>
    <w:p>
      <w:pPr>
        <w:pStyle w:val="6"/>
        <w:spacing w:before="120" w:beforeLines="50" w:after="120" w:afterLines="50"/>
        <w:ind w:left="562"/>
        <w:rPr>
          <w:sz w:val="28"/>
          <w:szCs w:val="28"/>
        </w:rPr>
      </w:pPr>
      <w:r>
        <w:rPr>
          <w:rFonts w:hint="eastAsia"/>
          <w:sz w:val="28"/>
          <w:szCs w:val="28"/>
        </w:rPr>
        <w:t>第二册  通用条款（公开招标）</w:t>
      </w:r>
    </w:p>
    <w:p>
      <w:pPr>
        <w:pStyle w:val="6"/>
        <w:numPr>
          <w:ilvl w:val="0"/>
          <w:numId w:val="14"/>
        </w:numPr>
        <w:spacing w:before="120" w:beforeLines="50" w:after="120" w:afterLines="50"/>
        <w:ind w:left="562" w:hanging="562"/>
        <w:rPr>
          <w:sz w:val="28"/>
          <w:szCs w:val="28"/>
        </w:rPr>
      </w:pPr>
      <w:bookmarkStart w:id="43" w:name="_Hlk72399513"/>
      <w:r>
        <w:rPr>
          <w:rFonts w:hint="eastAsia"/>
          <w:sz w:val="28"/>
          <w:szCs w:val="28"/>
        </w:rPr>
        <w:t>总则</w:t>
      </w:r>
    </w:p>
    <w:bookmarkEnd w:id="43"/>
    <w:p>
      <w:pPr>
        <w:rPr>
          <w:rFonts w:ascii="黑体" w:hAnsi="宋体" w:eastAsia="黑体"/>
          <w:sz w:val="24"/>
        </w:rPr>
      </w:pPr>
      <w:r>
        <w:rPr>
          <w:rFonts w:hint="eastAsia" w:ascii="黑体" w:hAnsi="宋体" w:eastAsia="黑体"/>
          <w:sz w:val="24"/>
        </w:rPr>
        <w:t>1. 通用条款说明</w:t>
      </w:r>
    </w:p>
    <w:p>
      <w:pPr>
        <w:ind w:firstLine="411" w:firstLineChars="196"/>
        <w:rPr>
          <w:rFonts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44" w:name="_Hlk72399729"/>
      <w:r>
        <w:rPr>
          <w:rFonts w:hint="eastAsia" w:ascii="宋体" w:hAnsi="宋体"/>
          <w:szCs w:val="21"/>
        </w:rPr>
        <w:t>如有需要，政府集中采购机构可以对通用条款的内容进行补充。</w:t>
      </w:r>
      <w:bookmarkEnd w:id="44"/>
    </w:p>
    <w:p>
      <w:pPr>
        <w:ind w:firstLine="411" w:firstLineChars="196"/>
        <w:rPr>
          <w:rFonts w:ascii="宋体" w:hAnsi="宋体"/>
          <w:szCs w:val="21"/>
        </w:rPr>
      </w:pPr>
      <w:r>
        <w:rPr>
          <w:rFonts w:hint="eastAsia" w:ascii="宋体" w:hAnsi="宋体"/>
          <w:szCs w:val="21"/>
        </w:rPr>
        <w:t>1.2招标文件分为第一册“专用条款”和第二册“通用条款”。</w:t>
      </w:r>
    </w:p>
    <w:p>
      <w:pPr>
        <w:ind w:firstLine="411" w:firstLineChars="196"/>
        <w:rPr>
          <w:rFonts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ascii="宋体" w:hAnsi="宋体"/>
          <w:szCs w:val="21"/>
        </w:rPr>
      </w:pPr>
      <w:r>
        <w:rPr>
          <w:rFonts w:hint="eastAsia" w:ascii="宋体" w:hAnsi="宋体"/>
          <w:szCs w:val="21"/>
        </w:rPr>
        <w:t>1.5 “专用条款”和“通用条款”表述不一致或有冲突时，以“专用条款”为准。</w:t>
      </w:r>
    </w:p>
    <w:p>
      <w:pPr>
        <w:rPr>
          <w:rFonts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ascii="宋体" w:hAnsi="宋体"/>
          <w:szCs w:val="21"/>
        </w:rPr>
      </w:pPr>
      <w:r>
        <w:rPr>
          <w:rFonts w:hint="eastAsia" w:ascii="宋体" w:hAnsi="宋体"/>
          <w:szCs w:val="21"/>
        </w:rPr>
        <w:t>本项目按照《深圳经济特区政府采购条例》、《深圳经济特区政府采购条例实施细则》及政府采购其他法律法规，通过公开招标方式确定中标供应商。</w:t>
      </w:r>
    </w:p>
    <w:p>
      <w:pPr>
        <w:rPr>
          <w:rFonts w:ascii="黑体" w:hAnsi="宋体" w:eastAsia="黑体"/>
          <w:sz w:val="24"/>
        </w:rPr>
      </w:pPr>
      <w:r>
        <w:rPr>
          <w:rFonts w:hint="eastAsia" w:ascii="黑体" w:hAnsi="宋体" w:eastAsia="黑体"/>
          <w:sz w:val="24"/>
        </w:rPr>
        <w:t>3．定义</w:t>
      </w:r>
    </w:p>
    <w:p>
      <w:pPr>
        <w:ind w:firstLine="420" w:firstLineChars="200"/>
        <w:rPr>
          <w:rFonts w:ascii="宋体" w:hAnsi="宋体"/>
          <w:szCs w:val="21"/>
        </w:rPr>
      </w:pPr>
      <w:r>
        <w:rPr>
          <w:rFonts w:ascii="宋体" w:hAnsi="宋体"/>
          <w:szCs w:val="21"/>
        </w:rPr>
        <w:t>招标文件中下列术语应解释为：</w:t>
      </w:r>
    </w:p>
    <w:p>
      <w:pPr>
        <w:ind w:firstLine="411" w:firstLineChars="196"/>
        <w:rPr>
          <w:rFonts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pPr>
        <w:ind w:firstLine="411" w:firstLineChars="196"/>
        <w:rPr>
          <w:rFonts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ascii="宋体" w:hAnsi="宋体"/>
          <w:szCs w:val="21"/>
        </w:rPr>
      </w:pPr>
      <w:r>
        <w:rPr>
          <w:rFonts w:hint="eastAsia" w:ascii="宋体" w:hAnsi="宋体"/>
          <w:szCs w:val="21"/>
        </w:rPr>
        <w:t>3.6“合同”指由本次招标所产生的合同或合约文件；</w:t>
      </w:r>
    </w:p>
    <w:p>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szCs w:val="21"/>
        </w:rPr>
        <w:t>深圳公共资源交易中心（深圳交易集团有限公司</w:t>
      </w:r>
      <w:r>
        <w:rPr>
          <w:rFonts w:hint="eastAsia" w:ascii="宋体" w:hAnsi="宋体"/>
          <w:b/>
          <w:bCs/>
          <w:szCs w:val="21"/>
          <w:lang w:val="en-US" w:eastAsia="zh-CN"/>
        </w:rPr>
        <w:t>龙岗</w:t>
      </w:r>
      <w:r>
        <w:rPr>
          <w:rFonts w:hint="eastAsia" w:ascii="宋体" w:hAnsi="宋体"/>
          <w:b/>
          <w:bCs/>
          <w:szCs w:val="21"/>
        </w:rPr>
        <w:t>分公司）</w:t>
      </w:r>
      <w:r>
        <w:rPr>
          <w:rFonts w:hint="eastAsia" w:ascii="宋体" w:hAnsi="宋体"/>
          <w:szCs w:val="21"/>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bookmarkStart w:id="45" w:name="_Hlk72398581"/>
      <w:r>
        <w:rPr>
          <w:rFonts w:hint="eastAsia" w:ascii="宋体" w:hAnsi="宋体"/>
          <w:szCs w:val="21"/>
        </w:rPr>
        <w:t>；</w:t>
      </w:r>
      <w:bookmarkEnd w:id="45"/>
    </w:p>
    <w:p>
      <w:pPr>
        <w:ind w:firstLine="411" w:firstLineChars="196"/>
        <w:rPr>
          <w:rFonts w:ascii="宋体" w:hAnsi="宋体"/>
          <w:szCs w:val="21"/>
        </w:rPr>
      </w:pPr>
      <w:r>
        <w:rPr>
          <w:rFonts w:hint="eastAsia" w:ascii="宋体" w:hAnsi="宋体"/>
          <w:szCs w:val="21"/>
        </w:rPr>
        <w:t>3.8“网上投标”指通过</w:t>
      </w:r>
      <w:r>
        <w:rPr>
          <w:rFonts w:hint="eastAsia" w:ascii="宋体" w:hAnsi="宋体"/>
          <w:b/>
          <w:bCs/>
          <w:szCs w:val="21"/>
        </w:rPr>
        <w:t>深圳公共资源交易中心（深圳交易集团有限公司</w:t>
      </w:r>
      <w:r>
        <w:rPr>
          <w:rFonts w:hint="eastAsia" w:ascii="宋体" w:hAnsi="宋体"/>
          <w:b/>
          <w:bCs/>
          <w:szCs w:val="21"/>
          <w:lang w:val="en-US" w:eastAsia="zh-CN"/>
        </w:rPr>
        <w:t>龙岗</w:t>
      </w:r>
      <w:r>
        <w:rPr>
          <w:rFonts w:hint="eastAsia" w:ascii="宋体" w:hAnsi="宋体"/>
          <w:b/>
          <w:bCs/>
          <w:szCs w:val="21"/>
        </w:rPr>
        <w:t>分公司）</w:t>
      </w:r>
      <w:r>
        <w:rPr>
          <w:rFonts w:hint="eastAsia" w:ascii="宋体" w:hAnsi="宋体"/>
          <w:szCs w:val="21"/>
        </w:rPr>
        <w:t>网站上传电子投标文件；</w:t>
      </w:r>
    </w:p>
    <w:p>
      <w:pPr>
        <w:ind w:firstLine="411" w:firstLineChars="196"/>
        <w:rPr>
          <w:rFonts w:ascii="宋体" w:hAnsi="宋体"/>
          <w:szCs w:val="21"/>
        </w:rPr>
      </w:pPr>
      <w:r>
        <w:rPr>
          <w:rFonts w:hint="eastAsia" w:ascii="宋体" w:hAnsi="宋体"/>
          <w:szCs w:val="21"/>
        </w:rPr>
        <w:t>3.9招标文件中的标题或题名仅起引导作用，而不应视为对招标文件内容的理解和解释。</w:t>
      </w:r>
    </w:p>
    <w:p>
      <w:pPr>
        <w:rPr>
          <w:rFonts w:ascii="黑体" w:hAnsi="宋体" w:eastAsia="黑体"/>
          <w:sz w:val="24"/>
        </w:rPr>
      </w:pPr>
      <w:r>
        <w:rPr>
          <w:rFonts w:hint="eastAsia" w:ascii="黑体" w:hAnsi="宋体" w:eastAsia="黑体"/>
          <w:sz w:val="24"/>
        </w:rPr>
        <w:t xml:space="preserve">4. </w:t>
      </w:r>
      <w:bookmarkStart w:id="46" w:name="_Hlk72398643"/>
      <w:r>
        <w:rPr>
          <w:rFonts w:hint="eastAsia" w:ascii="黑体" w:hAnsi="宋体" w:eastAsia="黑体"/>
          <w:sz w:val="24"/>
        </w:rPr>
        <w:t>政府采购供应商责任</w:t>
      </w:r>
    </w:p>
    <w:p>
      <w:pPr>
        <w:ind w:firstLine="411" w:firstLineChars="196"/>
        <w:rPr>
          <w:rFonts w:ascii="宋体" w:hAnsi="宋体"/>
          <w:szCs w:val="21"/>
        </w:rPr>
      </w:pPr>
      <w:r>
        <w:rPr>
          <w:rFonts w:hint="eastAsia" w:ascii="宋体" w:hAnsi="宋体"/>
          <w:szCs w:val="21"/>
        </w:rPr>
        <w:t>4.1欢迎诚信、有实力和有社会责任心的供应商参与政府采购事业。</w:t>
      </w:r>
    </w:p>
    <w:p>
      <w:pPr>
        <w:ind w:firstLine="411" w:firstLineChars="196"/>
        <w:rPr>
          <w:rFonts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ascii="黑体" w:hAnsi="宋体" w:eastAsia="黑体"/>
          <w:sz w:val="24"/>
        </w:rPr>
      </w:pPr>
      <w:r>
        <w:rPr>
          <w:rFonts w:hint="eastAsia" w:ascii="黑体" w:hAnsi="宋体" w:eastAsia="黑体"/>
          <w:sz w:val="24"/>
        </w:rPr>
        <w:t>5．投标人参加政府采购的条件</w:t>
      </w:r>
    </w:p>
    <w:p>
      <w:pPr>
        <w:ind w:firstLine="411" w:firstLineChars="196"/>
        <w:rPr>
          <w:rFonts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pPr>
        <w:ind w:firstLine="411" w:firstLineChars="196"/>
        <w:rPr>
          <w:rFonts w:ascii="宋体" w:hAnsi="宋体"/>
          <w:szCs w:val="21"/>
        </w:rPr>
      </w:pPr>
      <w:r>
        <w:rPr>
          <w:rFonts w:hint="eastAsia" w:ascii="宋体" w:hAnsi="宋体"/>
          <w:szCs w:val="21"/>
        </w:rPr>
        <w:t>5.2投标人资格要求</w:t>
      </w:r>
    </w:p>
    <w:p>
      <w:pPr>
        <w:ind w:firstLine="411" w:firstLineChars="196"/>
        <w:rPr>
          <w:rFonts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ascii="宋体" w:hAnsi="宋体"/>
          <w:szCs w:val="21"/>
        </w:rPr>
      </w:pPr>
      <w:r>
        <w:rPr>
          <w:rFonts w:hint="eastAsia" w:ascii="宋体" w:hAnsi="宋体"/>
          <w:szCs w:val="21"/>
        </w:rPr>
        <w:t>5.3联合体投标</w:t>
      </w:r>
    </w:p>
    <w:p>
      <w:pPr>
        <w:ind w:firstLine="411" w:firstLineChars="196"/>
        <w:rPr>
          <w:rFonts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ascii="宋体" w:hAnsi="宋体"/>
        </w:rPr>
      </w:pPr>
      <w:r>
        <w:rPr>
          <w:rFonts w:hint="eastAsia" w:ascii="宋体" w:hAnsi="宋体"/>
        </w:rPr>
        <w:t>（2）在投标截止前，投标联合体各方均应注册成政府集中采购机构供应商；</w:t>
      </w:r>
    </w:p>
    <w:p>
      <w:pPr>
        <w:ind w:firstLine="411" w:firstLineChars="196"/>
        <w:rPr>
          <w:rFonts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ascii="宋体" w:hAnsi="宋体"/>
        </w:rPr>
      </w:pPr>
      <w:r>
        <w:rPr>
          <w:rFonts w:hint="eastAsia" w:ascii="宋体" w:hAnsi="宋体"/>
        </w:rPr>
        <w:t>（5）投标人的投标文件及中标后签署的合同协议对联合体各方均具法律约束力；</w:t>
      </w:r>
    </w:p>
    <w:p>
      <w:pPr>
        <w:ind w:firstLine="411" w:firstLineChars="196"/>
        <w:rPr>
          <w:rFonts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ascii="宋体" w:hAnsi="宋体"/>
          <w:szCs w:val="21"/>
        </w:rPr>
      </w:pPr>
      <w:r>
        <w:rPr>
          <w:rFonts w:hint="eastAsia" w:ascii="宋体" w:hAnsi="宋体"/>
        </w:rPr>
        <w:t>（9）本通用条款中“投标人”一词亦指联合体各方，专用条款另有规定或说明的除外。</w:t>
      </w:r>
    </w:p>
    <w:p>
      <w:pPr>
        <w:rPr>
          <w:rFonts w:ascii="黑体" w:hAnsi="宋体" w:eastAsia="黑体"/>
          <w:sz w:val="24"/>
        </w:rPr>
      </w:pPr>
      <w:r>
        <w:rPr>
          <w:rFonts w:hint="eastAsia" w:ascii="黑体" w:hAnsi="宋体" w:eastAsia="黑体"/>
          <w:sz w:val="24"/>
        </w:rPr>
        <w:t>6．政策导向</w:t>
      </w:r>
    </w:p>
    <w:p>
      <w:pPr>
        <w:ind w:firstLine="411" w:firstLineChars="196"/>
        <w:rPr>
          <w:rFonts w:ascii="宋体" w:hAnsi="宋体"/>
        </w:rPr>
      </w:pPr>
      <w:r>
        <w:rPr>
          <w:rFonts w:hint="eastAsia" w:ascii="宋体" w:hAnsi="宋体"/>
        </w:rPr>
        <w:t>6.1</w:t>
      </w:r>
      <w:r>
        <w:rPr>
          <w:rFonts w:ascii="宋体" w:hAnsi="宋体"/>
        </w:rPr>
        <w:t xml:space="preserve">  </w:t>
      </w:r>
      <w:r>
        <w:rPr>
          <w:rFonts w:hint="eastAsia" w:ascii="宋体" w:hAnsi="宋体"/>
        </w:rPr>
        <w:t>政府采购扶持贫困地区、中小企业、监狱企业和残疾人福利性单位发展，支持节能减排、环境保护。</w:t>
      </w:r>
    </w:p>
    <w:p>
      <w:pPr>
        <w:ind w:firstLine="405"/>
        <w:rPr>
          <w:rFonts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ind w:firstLine="405"/>
      </w:pPr>
      <w:r>
        <w:rPr>
          <w:rFonts w:hint="eastAsia" w:ascii="宋体" w:hAnsi="宋体"/>
        </w:rPr>
        <w:t>6.3  本项目支持投标人性别平等的相关政策。</w:t>
      </w:r>
    </w:p>
    <w:p>
      <w:pPr>
        <w:rPr>
          <w:rFonts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47"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47"/>
    </w:p>
    <w:p>
      <w:pPr>
        <w:ind w:firstLine="411" w:firstLineChars="196"/>
        <w:rPr>
          <w:rFonts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ascii="宋体" w:hAnsi="宋体"/>
        </w:rPr>
      </w:pPr>
      <w:r>
        <w:rPr>
          <w:rFonts w:hint="eastAsia" w:ascii="宋体" w:hAnsi="宋体"/>
        </w:rPr>
        <w:t>7.7  投标人必须承担的设备运输、安装调试、验收检测和提供设备操作说明书、图纸等其他相关及类似的义务。</w:t>
      </w:r>
    </w:p>
    <w:p>
      <w:pPr>
        <w:rPr>
          <w:rFonts w:ascii="黑体" w:hAnsi="宋体" w:eastAsia="黑体"/>
          <w:sz w:val="24"/>
        </w:rPr>
      </w:pPr>
      <w:r>
        <w:rPr>
          <w:rFonts w:hint="eastAsia" w:ascii="黑体" w:hAnsi="宋体" w:eastAsia="黑体"/>
          <w:sz w:val="24"/>
        </w:rPr>
        <w:t>8．投标费用</w:t>
      </w:r>
    </w:p>
    <w:p>
      <w:pPr>
        <w:ind w:firstLine="411" w:firstLineChars="196"/>
        <w:rPr>
          <w:rFonts w:ascii="宋体" w:hAnsi="宋体"/>
          <w:szCs w:val="21"/>
        </w:rPr>
      </w:pPr>
      <w:r>
        <w:rPr>
          <w:rFonts w:hint="eastAsia" w:ascii="宋体" w:hAnsi="宋体"/>
          <w:szCs w:val="21"/>
        </w:rPr>
        <w:t>不论投标结果如何，投标人应承担其编制投标文件与递交投标文件所涉及的一切费用。</w:t>
      </w:r>
    </w:p>
    <w:p>
      <w:pPr>
        <w:rPr>
          <w:rFonts w:ascii="黑体" w:hAnsi="宋体" w:eastAsia="黑体"/>
          <w:sz w:val="24"/>
        </w:rPr>
      </w:pPr>
      <w:r>
        <w:rPr>
          <w:rFonts w:hint="eastAsia" w:ascii="黑体" w:hAnsi="宋体" w:eastAsia="黑体"/>
          <w:sz w:val="24"/>
        </w:rPr>
        <w:t>9．踏勘现场</w:t>
      </w:r>
    </w:p>
    <w:p>
      <w:pPr>
        <w:ind w:firstLine="411" w:firstLineChars="196"/>
        <w:rPr>
          <w:rFonts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ascii="宋体" w:hAnsi="宋体"/>
        </w:rPr>
      </w:pPr>
      <w:r>
        <w:rPr>
          <w:rFonts w:hint="eastAsia" w:ascii="宋体" w:hAnsi="宋体"/>
        </w:rPr>
        <w:t>9.3采购人应当通过政府集中采购机构向投标人提供有关现场的书面资料和数据。</w:t>
      </w:r>
    </w:p>
    <w:p>
      <w:pPr>
        <w:ind w:firstLine="411" w:firstLineChars="196"/>
        <w:rPr>
          <w:rFonts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rPr>
          <w:rFonts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46"/>
    <w:p>
      <w:pPr>
        <w:ind w:firstLine="411" w:firstLineChars="196"/>
        <w:rPr>
          <w:rFonts w:ascii="宋体" w:hAnsi="宋体"/>
        </w:rPr>
      </w:pPr>
    </w:p>
    <w:p>
      <w:pPr>
        <w:pStyle w:val="6"/>
        <w:numPr>
          <w:ilvl w:val="0"/>
          <w:numId w:val="14"/>
        </w:numPr>
        <w:spacing w:before="120" w:beforeLines="50" w:after="120" w:afterLines="50"/>
        <w:ind w:left="562" w:hanging="562"/>
        <w:rPr>
          <w:sz w:val="28"/>
          <w:szCs w:val="28"/>
        </w:rPr>
      </w:pPr>
      <w:r>
        <w:rPr>
          <w:rFonts w:hint="eastAsia"/>
          <w:sz w:val="28"/>
          <w:szCs w:val="28"/>
        </w:rPr>
        <w:t>招标文件</w:t>
      </w:r>
    </w:p>
    <w:p>
      <w:pPr>
        <w:rPr>
          <w:rFonts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48" w:name="_Hlk72399819"/>
      <w:r>
        <w:rPr>
          <w:rFonts w:hint="eastAsia" w:ascii="黑体" w:hAnsi="宋体" w:eastAsia="黑体"/>
          <w:sz w:val="24"/>
        </w:rPr>
        <w:t>招标文件的编制与组成</w:t>
      </w:r>
    </w:p>
    <w:p>
      <w:pPr>
        <w:snapToGrid w:val="0"/>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ascii="宋体" w:hAnsi="宋体"/>
          <w:szCs w:val="21"/>
        </w:rPr>
      </w:pPr>
      <w:r>
        <w:rPr>
          <w:rFonts w:hint="eastAsia" w:ascii="宋体" w:hAnsi="宋体"/>
          <w:szCs w:val="21"/>
        </w:rPr>
        <w:t>招标文件包括下列内容：</w:t>
      </w:r>
    </w:p>
    <w:p>
      <w:pPr>
        <w:ind w:left="420" w:leftChars="200" w:firstLine="413" w:firstLineChars="196"/>
        <w:rPr>
          <w:rFonts w:ascii="宋体" w:hAnsi="宋体"/>
          <w:b/>
          <w:szCs w:val="21"/>
        </w:rPr>
      </w:pPr>
      <w:r>
        <w:rPr>
          <w:rFonts w:hint="eastAsia" w:ascii="宋体" w:hAnsi="宋体"/>
          <w:b/>
          <w:szCs w:val="21"/>
        </w:rPr>
        <w:t>第一册  专用条款</w:t>
      </w:r>
    </w:p>
    <w:p>
      <w:pPr>
        <w:ind w:left="1079" w:leftChars="514"/>
        <w:rPr>
          <w:rFonts w:ascii="宋体" w:hAnsi="宋体"/>
          <w:b/>
          <w:szCs w:val="21"/>
        </w:rPr>
      </w:pPr>
      <w:r>
        <w:rPr>
          <w:rFonts w:hint="eastAsia" w:ascii="宋体" w:hAnsi="宋体"/>
          <w:b/>
          <w:szCs w:val="21"/>
        </w:rPr>
        <w:t>关键信息</w:t>
      </w:r>
    </w:p>
    <w:p>
      <w:pPr>
        <w:ind w:left="630" w:leftChars="300" w:firstLine="411" w:firstLineChars="196"/>
        <w:rPr>
          <w:rFonts w:ascii="宋体" w:hAnsi="宋体"/>
          <w:szCs w:val="21"/>
        </w:rPr>
      </w:pPr>
      <w:r>
        <w:rPr>
          <w:rFonts w:hint="eastAsia" w:ascii="宋体" w:hAnsi="宋体"/>
          <w:szCs w:val="21"/>
        </w:rPr>
        <w:t>第一章  招标公告</w:t>
      </w:r>
    </w:p>
    <w:p>
      <w:pPr>
        <w:ind w:left="630" w:leftChars="300" w:firstLine="411" w:firstLineChars="196"/>
        <w:rPr>
          <w:rFonts w:ascii="宋体" w:hAnsi="宋体"/>
          <w:szCs w:val="21"/>
        </w:rPr>
      </w:pPr>
      <w:r>
        <w:rPr>
          <w:rFonts w:hint="eastAsia" w:ascii="宋体" w:hAnsi="宋体"/>
          <w:szCs w:val="21"/>
        </w:rPr>
        <w:t>第二章  对通用条款的补充内容及其他关键信息</w:t>
      </w:r>
    </w:p>
    <w:p>
      <w:pPr>
        <w:ind w:left="630" w:leftChars="300" w:firstLine="411" w:firstLineChars="196"/>
        <w:rPr>
          <w:rFonts w:ascii="宋体" w:hAnsi="宋体"/>
          <w:szCs w:val="21"/>
        </w:rPr>
      </w:pPr>
      <w:r>
        <w:rPr>
          <w:rFonts w:hint="eastAsia" w:ascii="宋体" w:hAnsi="宋体"/>
          <w:szCs w:val="21"/>
        </w:rPr>
        <w:t>第三章  用户需求书</w:t>
      </w:r>
    </w:p>
    <w:p>
      <w:pPr>
        <w:ind w:left="630" w:leftChars="300" w:firstLine="411" w:firstLineChars="196"/>
        <w:rPr>
          <w:rFonts w:ascii="宋体" w:hAnsi="宋体"/>
          <w:szCs w:val="21"/>
        </w:rPr>
      </w:pPr>
      <w:r>
        <w:rPr>
          <w:rFonts w:hint="eastAsia"/>
        </w:rPr>
        <w:t xml:space="preserve">第四章 </w:t>
      </w:r>
      <w:r>
        <w:t xml:space="preserve"> </w:t>
      </w:r>
      <w:r>
        <w:rPr>
          <w:rFonts w:hint="eastAsia"/>
        </w:rPr>
        <w:t>投标文件格式及附件</w:t>
      </w:r>
    </w:p>
    <w:p>
      <w:pPr>
        <w:ind w:left="630" w:leftChars="300" w:firstLine="411" w:firstLineChars="196"/>
        <w:rPr>
          <w:rFonts w:ascii="宋体" w:hAnsi="宋体"/>
          <w:szCs w:val="21"/>
        </w:rPr>
      </w:pPr>
      <w:r>
        <w:rPr>
          <w:rFonts w:hint="eastAsia" w:ascii="宋体" w:hAnsi="宋体"/>
          <w:szCs w:val="21"/>
        </w:rPr>
        <w:t>第五章  合同条款及格式</w:t>
      </w:r>
    </w:p>
    <w:p>
      <w:pPr>
        <w:ind w:left="420" w:leftChars="200" w:firstLine="413" w:firstLineChars="196"/>
        <w:rPr>
          <w:rFonts w:ascii="宋体" w:hAnsi="宋体"/>
          <w:b/>
          <w:szCs w:val="21"/>
        </w:rPr>
      </w:pPr>
      <w:r>
        <w:rPr>
          <w:rFonts w:hint="eastAsia" w:ascii="宋体" w:hAnsi="宋体"/>
          <w:b/>
          <w:szCs w:val="21"/>
        </w:rPr>
        <w:t>第二册  通用条款</w:t>
      </w:r>
    </w:p>
    <w:p>
      <w:pPr>
        <w:ind w:left="630" w:leftChars="300" w:firstLine="411" w:firstLineChars="196"/>
        <w:rPr>
          <w:rFonts w:ascii="宋体" w:hAnsi="宋体"/>
          <w:szCs w:val="21"/>
        </w:rPr>
      </w:pPr>
      <w:r>
        <w:rPr>
          <w:rFonts w:hint="eastAsia" w:ascii="宋体" w:hAnsi="宋体"/>
          <w:szCs w:val="21"/>
        </w:rPr>
        <w:t>第一章  总则</w:t>
      </w:r>
    </w:p>
    <w:p>
      <w:pPr>
        <w:ind w:left="630" w:leftChars="300" w:firstLine="411" w:firstLineChars="196"/>
        <w:rPr>
          <w:rFonts w:ascii="宋体" w:hAnsi="宋体"/>
          <w:szCs w:val="21"/>
        </w:rPr>
      </w:pPr>
      <w:r>
        <w:rPr>
          <w:rFonts w:hint="eastAsia" w:ascii="宋体" w:hAnsi="宋体"/>
          <w:szCs w:val="21"/>
        </w:rPr>
        <w:t>第二章  招标文件</w:t>
      </w:r>
    </w:p>
    <w:p>
      <w:pPr>
        <w:ind w:left="630" w:leftChars="300" w:firstLine="411" w:firstLineChars="196"/>
        <w:rPr>
          <w:rFonts w:ascii="宋体" w:hAnsi="宋体"/>
          <w:szCs w:val="21"/>
        </w:rPr>
      </w:pPr>
      <w:r>
        <w:rPr>
          <w:rFonts w:hint="eastAsia" w:ascii="宋体" w:hAnsi="宋体"/>
          <w:szCs w:val="21"/>
        </w:rPr>
        <w:t>第三章  投标文件的编制</w:t>
      </w:r>
    </w:p>
    <w:p>
      <w:pPr>
        <w:ind w:left="630" w:leftChars="300" w:firstLine="411" w:firstLineChars="196"/>
        <w:rPr>
          <w:rFonts w:ascii="宋体" w:hAnsi="宋体"/>
          <w:szCs w:val="21"/>
        </w:rPr>
      </w:pPr>
      <w:r>
        <w:rPr>
          <w:rFonts w:hint="eastAsia" w:ascii="宋体" w:hAnsi="宋体"/>
          <w:szCs w:val="21"/>
        </w:rPr>
        <w:t>第四章  投标文件的递交</w:t>
      </w:r>
    </w:p>
    <w:p>
      <w:pPr>
        <w:ind w:left="630" w:leftChars="300" w:firstLine="411" w:firstLineChars="196"/>
        <w:rPr>
          <w:rFonts w:ascii="宋体" w:hAnsi="宋体"/>
          <w:szCs w:val="21"/>
        </w:rPr>
      </w:pPr>
      <w:r>
        <w:rPr>
          <w:rFonts w:hint="eastAsia" w:ascii="宋体" w:hAnsi="宋体"/>
          <w:szCs w:val="21"/>
        </w:rPr>
        <w:t>第五章  开标</w:t>
      </w:r>
    </w:p>
    <w:p>
      <w:pPr>
        <w:ind w:left="630" w:leftChars="300" w:firstLine="411" w:firstLineChars="196"/>
        <w:rPr>
          <w:rFonts w:ascii="宋体" w:hAnsi="宋体"/>
          <w:szCs w:val="21"/>
        </w:rPr>
      </w:pPr>
      <w:r>
        <w:rPr>
          <w:rFonts w:hint="eastAsia" w:ascii="宋体" w:hAnsi="宋体"/>
          <w:szCs w:val="21"/>
        </w:rPr>
        <w:t>第六章  评审要求</w:t>
      </w:r>
    </w:p>
    <w:p>
      <w:pPr>
        <w:ind w:left="630" w:leftChars="300" w:firstLine="411" w:firstLineChars="196"/>
        <w:rPr>
          <w:rFonts w:ascii="宋体" w:hAnsi="宋体"/>
          <w:szCs w:val="21"/>
        </w:rPr>
      </w:pPr>
      <w:r>
        <w:rPr>
          <w:rFonts w:hint="eastAsia" w:ascii="宋体" w:hAnsi="宋体"/>
          <w:szCs w:val="21"/>
        </w:rPr>
        <w:t>第七章  评审程序及评审方法</w:t>
      </w:r>
    </w:p>
    <w:p>
      <w:pPr>
        <w:ind w:left="630" w:leftChars="300" w:firstLine="411" w:firstLineChars="196"/>
        <w:rPr>
          <w:rFonts w:ascii="宋体" w:hAnsi="宋体"/>
          <w:szCs w:val="21"/>
        </w:rPr>
      </w:pPr>
      <w:r>
        <w:rPr>
          <w:rFonts w:hint="eastAsia" w:ascii="宋体" w:hAnsi="宋体"/>
          <w:szCs w:val="21"/>
        </w:rPr>
        <w:t>第八章  定标及公示</w:t>
      </w:r>
    </w:p>
    <w:p>
      <w:pPr>
        <w:ind w:left="630" w:leftChars="300" w:firstLine="411" w:firstLineChars="196"/>
        <w:rPr>
          <w:rFonts w:ascii="宋体" w:hAnsi="宋体"/>
          <w:szCs w:val="21"/>
        </w:rPr>
      </w:pPr>
      <w:r>
        <w:rPr>
          <w:rFonts w:hint="eastAsia" w:ascii="宋体" w:hAnsi="宋体"/>
          <w:szCs w:val="21"/>
        </w:rPr>
        <w:t>第九章  公开招标失败的后续处理</w:t>
      </w:r>
    </w:p>
    <w:p>
      <w:pPr>
        <w:ind w:left="630" w:leftChars="300" w:firstLine="411" w:firstLineChars="196"/>
        <w:rPr>
          <w:rFonts w:ascii="宋体" w:hAnsi="宋体"/>
          <w:szCs w:val="21"/>
        </w:rPr>
      </w:pPr>
      <w:r>
        <w:rPr>
          <w:rFonts w:hint="eastAsia" w:ascii="宋体" w:hAnsi="宋体"/>
          <w:szCs w:val="21"/>
        </w:rPr>
        <w:t>第十章  合同的授予与备案</w:t>
      </w:r>
    </w:p>
    <w:p>
      <w:pPr>
        <w:ind w:left="630" w:leftChars="300" w:firstLine="411" w:firstLineChars="196"/>
        <w:rPr>
          <w:rFonts w:ascii="宋体" w:hAnsi="宋体"/>
          <w:szCs w:val="21"/>
        </w:rPr>
      </w:pPr>
      <w:r>
        <w:rPr>
          <w:rFonts w:hint="eastAsia" w:ascii="宋体" w:hAnsi="宋体"/>
          <w:szCs w:val="21"/>
        </w:rPr>
        <w:t>第十一章  质疑处理</w:t>
      </w:r>
    </w:p>
    <w:p>
      <w:pPr>
        <w:ind w:firstLine="411" w:firstLineChars="196"/>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ascii="宋体" w:hAnsi="宋体"/>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pStyle w:val="19"/>
        <w:ind w:firstLine="420" w:firstLineChars="200"/>
      </w:pPr>
      <w:r>
        <w:rPr>
          <w:rFonts w:hint="eastAsia" w:ascii="宋体" w:hAnsi="宋体"/>
          <w:b w:val="0"/>
          <w:bCs w:val="0"/>
          <w:sz w:val="21"/>
        </w:rPr>
        <w:t>11.4招标文件所称“原件备查”，是指在项目产生质疑、投诉等阶段，主管部门、采购人、代理机构、评审委员会等可以要求供应商提供原件进行核查。</w:t>
      </w:r>
    </w:p>
    <w:p>
      <w:pPr>
        <w:rPr>
          <w:rFonts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48"/>
    </w:p>
    <w:p>
      <w:pPr>
        <w:rPr>
          <w:rFonts w:ascii="宋体" w:hAnsi="宋体"/>
          <w:szCs w:val="21"/>
        </w:rPr>
      </w:pPr>
    </w:p>
    <w:p>
      <w:pPr>
        <w:pStyle w:val="6"/>
        <w:numPr>
          <w:ilvl w:val="0"/>
          <w:numId w:val="14"/>
        </w:numPr>
        <w:spacing w:before="120" w:beforeLines="50" w:after="120" w:afterLines="50"/>
        <w:ind w:left="562" w:hanging="562"/>
        <w:rPr>
          <w:sz w:val="28"/>
          <w:szCs w:val="28"/>
        </w:rPr>
      </w:pPr>
      <w:r>
        <w:rPr>
          <w:rFonts w:hint="eastAsia"/>
          <w:sz w:val="28"/>
          <w:szCs w:val="28"/>
        </w:rPr>
        <w:t>投标文件的编制</w:t>
      </w:r>
    </w:p>
    <w:p>
      <w:pPr>
        <w:rPr>
          <w:rFonts w:ascii="黑体" w:hAnsi="宋体" w:eastAsia="黑体"/>
          <w:sz w:val="24"/>
        </w:rPr>
      </w:pPr>
      <w:r>
        <w:rPr>
          <w:rFonts w:hint="eastAsia" w:ascii="黑体" w:hAnsi="宋体" w:eastAsia="黑体"/>
          <w:sz w:val="24"/>
        </w:rPr>
        <w:t>14．</w:t>
      </w:r>
      <w:bookmarkStart w:id="49" w:name="_Hlk72400236"/>
      <w:r>
        <w:rPr>
          <w:rFonts w:hint="eastAsia" w:ascii="黑体" w:hAnsi="宋体" w:eastAsia="黑体"/>
          <w:sz w:val="24"/>
        </w:rPr>
        <w:t>投标文件的语言及度量单位</w:t>
      </w:r>
    </w:p>
    <w:p>
      <w:pPr>
        <w:ind w:firstLine="411" w:firstLineChars="196"/>
        <w:rPr>
          <w:rFonts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w:t>
      </w:r>
    </w:p>
    <w:p>
      <w:pPr>
        <w:ind w:firstLine="411" w:firstLineChars="196"/>
        <w:rPr>
          <w:rFonts w:ascii="宋体" w:hAnsi="宋体"/>
          <w:szCs w:val="21"/>
        </w:rPr>
      </w:pPr>
      <w:r>
        <w:rPr>
          <w:rFonts w:hint="eastAsia" w:ascii="宋体" w:hAnsi="宋体"/>
          <w:szCs w:val="21"/>
        </w:rPr>
        <w:t>14.2 除技术规范另有规定外，投标文件使用的度量单位，均采用中华人民共和国法定计量单位。</w:t>
      </w:r>
    </w:p>
    <w:bookmarkEnd w:id="49"/>
    <w:p>
      <w:pPr>
        <w:rPr>
          <w:rFonts w:ascii="黑体" w:hAnsi="宋体" w:eastAsia="黑体"/>
          <w:sz w:val="24"/>
        </w:rPr>
      </w:pPr>
      <w:r>
        <w:rPr>
          <w:rFonts w:hint="eastAsia" w:ascii="黑体" w:hAnsi="宋体" w:eastAsia="黑体"/>
          <w:sz w:val="24"/>
        </w:rPr>
        <w:t>15．</w:t>
      </w:r>
      <w:bookmarkStart w:id="50" w:name="_Hlk72401567"/>
      <w:r>
        <w:rPr>
          <w:rFonts w:hint="eastAsia" w:ascii="黑体" w:hAnsi="宋体" w:eastAsia="黑体"/>
          <w:sz w:val="24"/>
        </w:rPr>
        <w:t>投标文件的组成</w:t>
      </w:r>
    </w:p>
    <w:p>
      <w:pPr>
        <w:ind w:firstLine="411" w:firstLineChars="196"/>
        <w:rPr>
          <w:rFonts w:ascii="宋体" w:hAnsi="宋体"/>
          <w:szCs w:val="21"/>
        </w:rPr>
      </w:pPr>
      <w:r>
        <w:rPr>
          <w:rFonts w:hint="eastAsia" w:ascii="宋体" w:hAnsi="宋体"/>
          <w:szCs w:val="21"/>
        </w:rPr>
        <w:t>具体内容在招标文件专用条款中进行规定。</w:t>
      </w:r>
    </w:p>
    <w:p>
      <w:pPr>
        <w:rPr>
          <w:rFonts w:ascii="黑体" w:hAnsi="宋体" w:eastAsia="黑体"/>
          <w:sz w:val="24"/>
        </w:rPr>
      </w:pPr>
      <w:r>
        <w:rPr>
          <w:rFonts w:ascii="黑体" w:hAnsi="宋体" w:eastAsia="黑体"/>
          <w:sz w:val="24"/>
        </w:rPr>
        <w:t>16．投标文件格式</w:t>
      </w:r>
    </w:p>
    <w:p>
      <w:pPr>
        <w:ind w:firstLine="411" w:firstLineChars="196"/>
        <w:rPr>
          <w:rFonts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ascii="黑体" w:hAnsi="宋体" w:eastAsia="黑体"/>
          <w:sz w:val="24"/>
        </w:rPr>
      </w:pPr>
      <w:r>
        <w:rPr>
          <w:rFonts w:hint="eastAsia" w:ascii="黑体" w:hAnsi="宋体" w:eastAsia="黑体"/>
          <w:sz w:val="24"/>
        </w:rPr>
        <w:t>17．投标货币</w:t>
      </w:r>
    </w:p>
    <w:p>
      <w:pPr>
        <w:ind w:firstLine="411" w:firstLineChars="196"/>
        <w:rPr>
          <w:rFonts w:ascii="宋体" w:hAnsi="宋体"/>
          <w:szCs w:val="21"/>
        </w:rPr>
      </w:pPr>
      <w:r>
        <w:rPr>
          <w:rFonts w:hint="eastAsia" w:ascii="宋体" w:hAnsi="宋体"/>
          <w:szCs w:val="21"/>
        </w:rPr>
        <w:t>本项目的投标报价应以人民币计。</w:t>
      </w:r>
    </w:p>
    <w:bookmarkEnd w:id="50"/>
    <w:p>
      <w:pPr>
        <w:rPr>
          <w:rFonts w:ascii="黑体" w:hAnsi="宋体" w:eastAsia="黑体"/>
          <w:sz w:val="24"/>
        </w:rPr>
      </w:pPr>
      <w:r>
        <w:rPr>
          <w:rFonts w:hint="eastAsia" w:ascii="黑体" w:hAnsi="宋体" w:eastAsia="黑体"/>
          <w:sz w:val="24"/>
        </w:rPr>
        <w:t>18．</w:t>
      </w:r>
      <w:bookmarkStart w:id="51" w:name="_Hlk72401735"/>
      <w:r>
        <w:rPr>
          <w:rFonts w:hint="eastAsia" w:ascii="黑体" w:hAnsi="宋体" w:eastAsia="黑体"/>
          <w:sz w:val="24"/>
        </w:rPr>
        <w:t>证明投标文件投标技术方案的合格性和符合招标文件规定的文件要求</w:t>
      </w:r>
    </w:p>
    <w:p>
      <w:pPr>
        <w:ind w:firstLine="411" w:firstLineChars="196"/>
        <w:rPr>
          <w:rFonts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ascii="宋体" w:hAnsi="宋体"/>
          <w:szCs w:val="21"/>
        </w:rPr>
      </w:pPr>
      <w:r>
        <w:rPr>
          <w:rFonts w:hint="eastAsia" w:ascii="宋体" w:hAnsi="宋体"/>
          <w:szCs w:val="21"/>
        </w:rPr>
        <w:t>18.2.1主要技术指标和性能的详细说明。</w:t>
      </w:r>
    </w:p>
    <w:p>
      <w:pPr>
        <w:ind w:firstLine="411" w:firstLineChars="196"/>
        <w:rPr>
          <w:rFonts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w:t>
      </w:r>
      <w:r>
        <w:rPr>
          <w:rFonts w:hint="eastAsia" w:ascii="宋体" w:hAnsi="宋体"/>
          <w:szCs w:val="21"/>
          <w:lang w:eastAsia="zh-CN"/>
        </w:rPr>
        <w:t>所必需的</w:t>
      </w:r>
      <w:r>
        <w:rPr>
          <w:rFonts w:hint="eastAsia" w:ascii="宋体" w:hAnsi="宋体"/>
          <w:szCs w:val="21"/>
        </w:rPr>
        <w:t>备件和专用工具清单，包括备件和专用工具的货源及现行价格。</w:t>
      </w:r>
    </w:p>
    <w:p>
      <w:pPr>
        <w:ind w:firstLine="411" w:firstLineChars="196"/>
        <w:rPr>
          <w:rFonts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ascii="宋体" w:hAnsi="宋体"/>
          <w:szCs w:val="21"/>
        </w:rPr>
      </w:pPr>
      <w:r>
        <w:rPr>
          <w:rFonts w:hint="eastAsia" w:ascii="宋体" w:hAnsi="宋体"/>
          <w:szCs w:val="21"/>
        </w:rPr>
        <w:t>18.5除非另有规定或说明，投标人对同一项目投标时，不得同时提供两套或两套以上的投标方案。</w:t>
      </w:r>
    </w:p>
    <w:bookmarkEnd w:id="51"/>
    <w:p>
      <w:pPr>
        <w:rPr>
          <w:rFonts w:ascii="黑体" w:hAnsi="宋体" w:eastAsia="黑体"/>
          <w:sz w:val="24"/>
        </w:rPr>
      </w:pPr>
      <w:r>
        <w:rPr>
          <w:rFonts w:hint="eastAsia" w:ascii="黑体" w:hAnsi="宋体" w:eastAsia="黑体"/>
          <w:sz w:val="24"/>
        </w:rPr>
        <w:t>19．</w:t>
      </w:r>
      <w:bookmarkStart w:id="52" w:name="_Hlk72402034"/>
      <w:r>
        <w:rPr>
          <w:rFonts w:hint="eastAsia" w:ascii="黑体" w:hAnsi="宋体" w:eastAsia="黑体"/>
          <w:sz w:val="24"/>
        </w:rPr>
        <w:t>投标文件其他证明文件的要求</w:t>
      </w:r>
    </w:p>
    <w:p>
      <w:pPr>
        <w:rPr>
          <w:rFonts w:ascii="宋体" w:hAnsi="宋体"/>
          <w:color w:val="FF0000"/>
          <w:szCs w:val="21"/>
        </w:rPr>
      </w:pPr>
      <w:r>
        <w:rPr>
          <w:rFonts w:hint="eastAsia" w:ascii="黑体" w:hAnsi="宋体" w:eastAsia="黑体"/>
          <w:sz w:val="24"/>
        </w:rPr>
        <w:t xml:space="preserve">    </w:t>
      </w:r>
      <w:r>
        <w:rPr>
          <w:rFonts w:hint="eastAsia" w:ascii="宋体" w:hAnsi="宋体"/>
          <w:szCs w:val="21"/>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w:t>
      </w:r>
      <w:bookmarkStart w:id="53" w:name="_Hlk71407299"/>
      <w:r>
        <w:rPr>
          <w:rFonts w:hint="eastAsia" w:ascii="宋体" w:hAnsi="宋体"/>
          <w:szCs w:val="21"/>
        </w:rPr>
        <w:t>若投标人未按要求提供证明材料或提供的是部分证明材料或提供不清晰的扫描件（或照片）的，采购人、代理机构以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53"/>
    <w:p>
      <w:pPr>
        <w:ind w:firstLine="411" w:firstLineChars="196"/>
        <w:rPr>
          <w:rFonts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ascii="黑体" w:hAnsi="宋体" w:eastAsia="黑体"/>
          <w:sz w:val="24"/>
        </w:rPr>
      </w:pPr>
      <w:r>
        <w:rPr>
          <w:rFonts w:hint="eastAsia" w:ascii="黑体" w:hAnsi="宋体" w:eastAsia="黑体"/>
          <w:sz w:val="24"/>
        </w:rPr>
        <w:t>20．投标有效期</w:t>
      </w:r>
    </w:p>
    <w:bookmarkEnd w:id="52"/>
    <w:p>
      <w:pPr>
        <w:ind w:firstLine="411" w:firstLineChars="196"/>
        <w:rPr>
          <w:rFonts w:ascii="宋体" w:hAnsi="宋体"/>
          <w:szCs w:val="21"/>
        </w:rPr>
      </w:pPr>
      <w:bookmarkStart w:id="54"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54"/>
    <w:p>
      <w:pPr>
        <w:rPr>
          <w:rFonts w:ascii="黑体" w:hAnsi="宋体" w:eastAsia="黑体"/>
          <w:sz w:val="24"/>
        </w:rPr>
      </w:pPr>
      <w:r>
        <w:rPr>
          <w:rFonts w:hint="eastAsia" w:ascii="黑体" w:hAnsi="宋体" w:eastAsia="黑体"/>
          <w:sz w:val="24"/>
        </w:rPr>
        <w:t>21．</w:t>
      </w:r>
      <w:bookmarkStart w:id="55" w:name="_Hlk72402325"/>
      <w:r>
        <w:rPr>
          <w:rFonts w:hint="eastAsia" w:ascii="黑体" w:hAnsi="宋体" w:eastAsia="黑体"/>
          <w:sz w:val="24"/>
        </w:rPr>
        <w:t xml:space="preserve">关于投标保证金 </w:t>
      </w:r>
    </w:p>
    <w:p>
      <w:pPr>
        <w:rPr>
          <w:rFonts w:ascii="宋体" w:hAnsi="宋体"/>
          <w:szCs w:val="21"/>
        </w:rPr>
      </w:pPr>
      <w:r>
        <w:rPr>
          <w:rFonts w:hint="eastAsia" w:ascii="宋体" w:hAnsi="宋体"/>
          <w:szCs w:val="21"/>
        </w:rPr>
        <w:t xml:space="preserve">    21.1 </w:t>
      </w:r>
      <w:r>
        <w:rPr>
          <w:rFonts w:hint="eastAsia"/>
        </w:rPr>
        <w:t>根据《深圳市财政局关于调整政府采购投标（响应）保证金管理政策的通知》（深财购〔2021〕51号）文的规定，本项目不收取投标保证金。</w:t>
      </w:r>
    </w:p>
    <w:p>
      <w:pPr>
        <w:rPr>
          <w:rFonts w:ascii="黑体" w:hAnsi="宋体" w:eastAsia="黑体"/>
          <w:sz w:val="24"/>
        </w:rPr>
      </w:pPr>
      <w:r>
        <w:rPr>
          <w:rFonts w:hint="eastAsia" w:ascii="黑体" w:hAnsi="宋体" w:eastAsia="黑体"/>
          <w:sz w:val="24"/>
        </w:rPr>
        <w:t>22．投标人的替代方案</w:t>
      </w:r>
    </w:p>
    <w:p>
      <w:pPr>
        <w:ind w:firstLine="411" w:firstLineChars="196"/>
        <w:rPr>
          <w:rFonts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5"/>
    <w:p>
      <w:pPr>
        <w:rPr>
          <w:rFonts w:ascii="黑体" w:hAnsi="宋体" w:eastAsia="黑体"/>
          <w:sz w:val="24"/>
        </w:rPr>
      </w:pPr>
      <w:r>
        <w:rPr>
          <w:rFonts w:hint="eastAsia" w:ascii="黑体" w:hAnsi="宋体" w:eastAsia="黑体"/>
          <w:sz w:val="24"/>
        </w:rPr>
        <w:t>23．</w:t>
      </w:r>
      <w:bookmarkStart w:id="56"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ascii="宋体" w:hAnsi="宋体"/>
        </w:rPr>
      </w:pPr>
      <w:r>
        <w:rPr>
          <w:rFonts w:hint="eastAsia" w:ascii="宋体" w:hAnsi="宋体"/>
        </w:rPr>
        <w:t>23.1投标人应准备所投项目的电子投标文件一份。此电子投标文件须由投标人根据政府集中采购机构提供的后缀名为.</w:t>
      </w:r>
      <w:r>
        <w:rPr>
          <w:rFonts w:ascii="宋体" w:hAnsi="宋体"/>
        </w:rPr>
        <w:t>szczf</w:t>
      </w:r>
      <w:r>
        <w:rPr>
          <w:rFonts w:hint="eastAsia" w:ascii="宋体" w:hAnsi="宋体"/>
        </w:rPr>
        <w:t>的电子招标文件，下载并使用相应的深圳智慧采购平台投标文件制作专用软件打开招标文件（.szczf格式）【下载地址：</w:t>
      </w:r>
      <w:r>
        <w:rPr>
          <w:rFonts w:ascii="宋体" w:hAnsi="宋体"/>
        </w:rPr>
        <w:t>http://zfcg.szggzy.com:8081/cgxy/013002/list.html</w:t>
      </w:r>
      <w:r>
        <w:rPr>
          <w:rFonts w:hint="eastAsia" w:ascii="宋体" w:hAnsi="宋体"/>
        </w:rPr>
        <w:t>深圳智慧采购平台投标文件制作专用软件.zip】。</w:t>
      </w:r>
    </w:p>
    <w:p>
      <w:pPr>
        <w:ind w:firstLine="411" w:firstLineChars="196"/>
        <w:rPr>
          <w:rFonts w:ascii="宋体" w:hAnsi="宋体"/>
        </w:rPr>
      </w:pPr>
      <w:r>
        <w:rPr>
          <w:rFonts w:hint="eastAsia" w:ascii="宋体" w:hAnsi="宋体"/>
        </w:rPr>
        <w:t>23.2投标人在使用《投标书编制软件》编制投标书时须注意：</w:t>
      </w:r>
    </w:p>
    <w:p>
      <w:pPr>
        <w:ind w:firstLine="411" w:firstLineChars="196"/>
        <w:rPr>
          <w:rFonts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ascii="宋体" w:hAnsi="宋体"/>
        </w:rPr>
      </w:pPr>
      <w:r>
        <w:rPr>
          <w:rFonts w:hint="eastAsia" w:ascii="宋体" w:hAnsi="宋体"/>
        </w:rPr>
        <w:t>23.2.5完整填写“投标关键信息”，如下图所示：</w:t>
      </w:r>
    </w:p>
    <w:p>
      <w:pPr>
        <w:rPr>
          <w:rFonts w:ascii="宋体" w:hAnsi="宋体"/>
        </w:rPr>
      </w:pPr>
      <w:r>
        <w:rPr>
          <w:rFonts w:ascii="宋体" w:hAnsi="宋体"/>
        </w:rPr>
        <w:drawing>
          <wp:inline distT="0" distB="0" distL="0" distR="0">
            <wp:extent cx="5279390" cy="2719070"/>
            <wp:effectExtent l="0" t="0" r="3810" b="11430"/>
            <wp:docPr id="7" name="图片 9"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9" descr="图形用户界面, 应用程序&#10;&#10;描述已自动生成"/>
                    <pic:cNvPicPr>
                      <a:picLocks noChangeAspect="1" noChangeArrowheads="1"/>
                    </pic:cNvPicPr>
                  </pic:nvPicPr>
                  <pic:blipFill>
                    <a:blip r:embed="rId8"/>
                    <a:srcRect/>
                    <a:stretch>
                      <a:fillRect/>
                    </a:stretch>
                  </pic:blipFill>
                  <pic:spPr>
                    <a:xfrm>
                      <a:off x="0" y="0"/>
                      <a:ext cx="5279390" cy="2719070"/>
                    </a:xfrm>
                    <a:prstGeom prst="rect">
                      <a:avLst/>
                    </a:prstGeom>
                    <a:noFill/>
                    <a:ln w="9525">
                      <a:noFill/>
                      <a:miter lim="800000"/>
                      <a:headEnd/>
                      <a:tailEnd/>
                    </a:ln>
                  </pic:spPr>
                </pic:pic>
              </a:graphicData>
            </a:graphic>
          </wp:inline>
        </w:drawing>
      </w:r>
    </w:p>
    <w:p>
      <w:pPr>
        <w:widowControl/>
        <w:jc w:val="left"/>
        <w:rPr>
          <w:rFonts w:ascii="宋体" w:hAnsi="宋体" w:cs="宋体"/>
          <w:kern w:val="0"/>
          <w:sz w:val="24"/>
        </w:rPr>
      </w:pPr>
    </w:p>
    <w:p>
      <w:pPr>
        <w:ind w:firstLine="413" w:firstLineChars="196"/>
        <w:rPr>
          <w:rFonts w:ascii="宋体" w:hAnsi="宋体"/>
          <w:b/>
        </w:rPr>
      </w:pPr>
      <w:r>
        <w:rPr>
          <w:rFonts w:hint="eastAsia" w:ascii="宋体" w:hAnsi="宋体"/>
          <w:b/>
        </w:rPr>
        <w:t>备注：上述“开标一览表”中的“投标报价”将作为价格分计算依据；其它信息仅是对投标文件相关内容的概括性表述，不作为评审依据。</w:t>
      </w:r>
    </w:p>
    <w:p>
      <w:pPr>
        <w:ind w:firstLine="411" w:firstLineChars="196"/>
        <w:rPr>
          <w:rFonts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pPr>
        <w:ind w:firstLine="411" w:firstLineChars="196"/>
        <w:rPr>
          <w:rFonts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ascii="宋体" w:hAnsi="宋体"/>
        </w:rPr>
      </w:pPr>
      <w:r>
        <w:rPr>
          <w:rFonts w:hint="eastAsia" w:ascii="宋体" w:hAnsi="宋体"/>
        </w:rPr>
        <w:t>23.3电报、电话、传真形式的投标概不接受。</w:t>
      </w:r>
    </w:p>
    <w:p>
      <w:pPr>
        <w:ind w:firstLine="413" w:firstLineChars="196"/>
        <w:rPr>
          <w:rFonts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pPr>
        <w:ind w:firstLine="413" w:firstLineChars="196"/>
        <w:rPr>
          <w:rFonts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56"/>
    </w:p>
    <w:p>
      <w:pPr>
        <w:ind w:firstLine="411" w:firstLineChars="196"/>
        <w:rPr>
          <w:rFonts w:ascii="宋体" w:hAnsi="宋体"/>
          <w:szCs w:val="21"/>
        </w:rPr>
      </w:pPr>
    </w:p>
    <w:p>
      <w:pPr>
        <w:pStyle w:val="6"/>
        <w:numPr>
          <w:ilvl w:val="0"/>
          <w:numId w:val="14"/>
        </w:numPr>
        <w:spacing w:before="120" w:beforeLines="50" w:after="120" w:afterLines="50"/>
        <w:ind w:left="562" w:hanging="562"/>
        <w:rPr>
          <w:sz w:val="28"/>
          <w:szCs w:val="28"/>
        </w:rPr>
      </w:pPr>
      <w:r>
        <w:rPr>
          <w:rFonts w:hint="eastAsia"/>
          <w:sz w:val="28"/>
          <w:szCs w:val="28"/>
        </w:rPr>
        <w:t>投标文件的递交</w:t>
      </w:r>
    </w:p>
    <w:p>
      <w:pPr>
        <w:rPr>
          <w:rFonts w:ascii="黑体" w:hAnsi="宋体" w:eastAsia="黑体"/>
          <w:sz w:val="24"/>
        </w:rPr>
      </w:pPr>
      <w:bookmarkStart w:id="57" w:name="_Hlk72405459"/>
      <w:r>
        <w:rPr>
          <w:rFonts w:hint="eastAsia" w:ascii="黑体" w:hAnsi="宋体" w:eastAsia="黑体"/>
          <w:sz w:val="24"/>
        </w:rPr>
        <w:t>24．投标文件的保密</w:t>
      </w:r>
    </w:p>
    <w:p>
      <w:pPr>
        <w:ind w:firstLine="411" w:firstLineChars="196"/>
        <w:rPr>
          <w:rFonts w:ascii="宋体" w:hAnsi="宋体"/>
        </w:rPr>
      </w:pPr>
      <w:r>
        <w:rPr>
          <w:rFonts w:hint="eastAsia" w:ascii="宋体" w:hAnsi="宋体"/>
        </w:rPr>
        <w:t>24.1在投标文件制作完成后，在投标书编制软件点击【生成标书】按钮进入【填写开标一览表界面】界面，在该界面填写完开标一览表信息后点击【确定】，进入投标文件生成环节。投标文件制作软件会在投标文件生成过程中，提示用户输入密码，输入密码后对投标文件自动进行加密，此加密程序确保投标文件在到达投标截止时间后才能解密查看。在加密过程中，请按照软件提示进行操作。加密界面如下图所示：</w:t>
      </w:r>
    </w:p>
    <w:p>
      <w:pPr>
        <w:ind w:firstLine="411" w:firstLineChars="196"/>
        <w:rPr>
          <w:rFonts w:ascii="宋体" w:hAnsi="宋体"/>
        </w:rPr>
      </w:pPr>
    </w:p>
    <w:p>
      <w:pPr>
        <w:rPr>
          <w:rFonts w:ascii="宋体" w:hAnsi="宋体"/>
        </w:rPr>
      </w:pPr>
      <w:r>
        <w:rPr>
          <w:rFonts w:ascii="宋体" w:hAnsi="宋体"/>
        </w:rPr>
        <w:drawing>
          <wp:inline distT="0" distB="0" distL="0" distR="0">
            <wp:extent cx="5279390" cy="2719070"/>
            <wp:effectExtent l="0" t="0" r="3810" b="11430"/>
            <wp:docPr id="10" name="图片 7" descr="图形用户界面, 应用程序&#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图形用户界面, 应用程序&#10;&#10;描述已自动生成"/>
                    <pic:cNvPicPr>
                      <a:picLocks noChangeAspect="1" noChangeArrowheads="1"/>
                    </pic:cNvPicPr>
                  </pic:nvPicPr>
                  <pic:blipFill>
                    <a:blip r:embed="rId8"/>
                    <a:srcRect/>
                    <a:stretch>
                      <a:fillRect/>
                    </a:stretch>
                  </pic:blipFill>
                  <pic:spPr>
                    <a:xfrm>
                      <a:off x="0" y="0"/>
                      <a:ext cx="5279390" cy="2719070"/>
                    </a:xfrm>
                    <a:prstGeom prst="rect">
                      <a:avLst/>
                    </a:prstGeom>
                    <a:noFill/>
                    <a:ln w="9525">
                      <a:noFill/>
                      <a:miter lim="800000"/>
                      <a:headEnd/>
                      <a:tailEnd/>
                    </a:ln>
                  </pic:spPr>
                </pic:pic>
              </a:graphicData>
            </a:graphic>
          </wp:inline>
        </w:drawing>
      </w:r>
    </w:p>
    <w:p>
      <w:pPr>
        <w:ind w:firstLine="411" w:firstLineChars="196"/>
        <w:rPr>
          <w:rFonts w:ascii="宋体" w:hAnsi="宋体"/>
        </w:rPr>
      </w:pPr>
    </w:p>
    <w:p>
      <w:pPr>
        <w:rPr>
          <w:rFonts w:ascii="宋体" w:hAnsi="宋体"/>
        </w:rPr>
      </w:pPr>
      <w:r>
        <w:rPr>
          <w:rFonts w:ascii="宋体" w:hAnsi="宋体"/>
        </w:rPr>
        <w:drawing>
          <wp:inline distT="0" distB="0" distL="0" distR="0">
            <wp:extent cx="5279390" cy="2727325"/>
            <wp:effectExtent l="0" t="0" r="3810" b="3175"/>
            <wp:docPr id="13" name="图片 8" descr="图形用户界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descr="图形用户界面&#10;&#10;描述已自动生成"/>
                    <pic:cNvPicPr>
                      <a:picLocks noChangeAspect="1" noChangeArrowheads="1"/>
                    </pic:cNvPicPr>
                  </pic:nvPicPr>
                  <pic:blipFill>
                    <a:blip r:embed="rId9"/>
                    <a:srcRect/>
                    <a:stretch>
                      <a:fillRect/>
                    </a:stretch>
                  </pic:blipFill>
                  <pic:spPr>
                    <a:xfrm>
                      <a:off x="0" y="0"/>
                      <a:ext cx="5279390" cy="2727325"/>
                    </a:xfrm>
                    <a:prstGeom prst="rect">
                      <a:avLst/>
                    </a:prstGeom>
                    <a:noFill/>
                    <a:ln w="9525">
                      <a:noFill/>
                      <a:miter lim="800000"/>
                      <a:headEnd/>
                      <a:tailEnd/>
                    </a:ln>
                  </pic:spPr>
                </pic:pic>
              </a:graphicData>
            </a:graphic>
          </wp:inline>
        </w:drawing>
      </w:r>
    </w:p>
    <w:p>
      <w:pPr>
        <w:ind w:firstLine="411" w:firstLineChars="196"/>
        <w:rPr>
          <w:rFonts w:ascii="宋体" w:hAnsi="宋体"/>
        </w:rPr>
      </w:pPr>
    </w:p>
    <w:p>
      <w:pPr>
        <w:widowControl/>
        <w:jc w:val="left"/>
        <w:rPr>
          <w:sz w:val="24"/>
        </w:rPr>
      </w:pPr>
    </w:p>
    <w:p>
      <w:pPr>
        <w:rPr>
          <w:rFonts w:ascii="宋体" w:hAnsi="宋体"/>
          <w:b/>
        </w:rPr>
      </w:pPr>
      <w:r>
        <w:rPr>
          <w:rFonts w:hint="eastAsia" w:ascii="宋体" w:hAnsi="宋体"/>
        </w:rPr>
        <w:t xml:space="preserve">   </w:t>
      </w:r>
      <w:r>
        <w:rPr>
          <w:rFonts w:hint="eastAsia" w:ascii="宋体" w:hAnsi="宋体"/>
          <w:b/>
        </w:rPr>
        <w:t xml:space="preserve"> 24.2若采购项目出现延期情况：</w:t>
      </w:r>
    </w:p>
    <w:p>
      <w:pPr>
        <w:ind w:firstLine="421" w:firstLineChars="200"/>
        <w:rPr>
          <w:rFonts w:ascii="黑体" w:hAnsi="宋体" w:eastAsia="黑体"/>
          <w:b/>
          <w:sz w:val="24"/>
        </w:rPr>
      </w:pPr>
      <w:r>
        <w:rPr>
          <w:rFonts w:hint="eastAsia" w:ascii="宋体" w:hAnsi="宋体"/>
          <w:b/>
        </w:rPr>
        <w:t>如果供下载的招标文件（后缀名为.szczf）有更新，投标人必须重新下载招标文件、重新制作投标文件、重新加密投标文件、重新上传投标文件；如果供下载的招标文件（后缀名为.szczf）没有更新，投标人必须重新加密投标文件、重新上传投标文件（是否重新制作投标文件根据项目实际情况定）。否则，投标人自行承担投标文件无法解密导致投标无效的后果。</w:t>
      </w:r>
    </w:p>
    <w:p>
      <w:pPr>
        <w:rPr>
          <w:rFonts w:ascii="黑体" w:hAnsi="宋体" w:eastAsia="黑体"/>
          <w:sz w:val="24"/>
        </w:rPr>
      </w:pPr>
      <w:r>
        <w:rPr>
          <w:rFonts w:hint="eastAsia" w:ascii="黑体" w:hAnsi="宋体" w:eastAsia="黑体"/>
          <w:sz w:val="24"/>
        </w:rPr>
        <w:t>25．上传投标文件及投标截止日期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政府采购智慧平台用户网上办事子系统（http://zfcg.szggzy.com/TPBidder/memberLogin）”，用“【我的项目】→【项目流程】→【递交投标(应答)文件】”功能点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w:t>
      </w:r>
      <w:r>
        <w:rPr>
          <w:rFonts w:hint="eastAsia" w:ascii="宋体" w:hAnsi="宋体"/>
          <w:b/>
          <w:bCs/>
          <w:szCs w:val="21"/>
          <w:lang w:val="en-US" w:eastAsia="zh-CN"/>
        </w:rPr>
        <w:t>龙岗</w:t>
      </w:r>
      <w:r>
        <w:rPr>
          <w:rFonts w:hint="eastAsia" w:ascii="宋体" w:hAnsi="宋体"/>
          <w:b/>
          <w:bCs/>
          <w:szCs w:val="21"/>
        </w:rPr>
        <w:t>分公司）</w:t>
      </w:r>
      <w:r>
        <w:rPr>
          <w:rFonts w:hint="eastAsia" w:ascii="宋体" w:hAnsi="宋体"/>
          <w:b/>
          <w:bCs/>
        </w:rPr>
        <w:t>？楼？室（地址：</w:t>
      </w:r>
      <w:r>
        <w:rPr>
          <w:rFonts w:hint="eastAsia" w:ascii="宋体" w:hAnsi="宋体"/>
          <w:b/>
          <w:bCs/>
          <w:lang w:val="en-US" w:eastAsia="zh-CN"/>
        </w:rPr>
        <w:t>深圳市龙岗区黄阁路383号</w:t>
      </w:r>
      <w:r>
        <w:rPr>
          <w:rFonts w:hint="eastAsia" w:ascii="宋体" w:hAnsi="宋体"/>
          <w:b/>
          <w:bCs/>
        </w:rPr>
        <w:t>）</w:t>
      </w:r>
      <w:r>
        <w:rPr>
          <w:rFonts w:ascii="宋体" w:hAnsi="宋体"/>
          <w:b/>
          <w:bCs/>
        </w:rPr>
        <w:t>协助上传</w:t>
      </w:r>
      <w:r>
        <w:rPr>
          <w:rFonts w:hint="eastAsia" w:ascii="宋体" w:hAnsi="宋体"/>
          <w:b/>
          <w:bCs/>
        </w:rPr>
        <w:t>，</w:t>
      </w:r>
      <w:r>
        <w:rPr>
          <w:rFonts w:ascii="宋体" w:hAnsi="宋体"/>
          <w:b/>
          <w:bCs/>
        </w:rPr>
        <w:t>但上传过程</w:t>
      </w:r>
      <w:r>
        <w:rPr>
          <w:rFonts w:hint="eastAsia" w:ascii="宋体" w:hAnsi="宋体"/>
          <w:b/>
          <w:bCs/>
        </w:rPr>
        <w:t>中</w:t>
      </w:r>
      <w:r>
        <w:rPr>
          <w:rFonts w:ascii="宋体" w:hAnsi="宋体"/>
          <w:b/>
          <w:bCs/>
        </w:rPr>
        <w:t>投标截止时间到达仍无法上传成功的，由投标人自行负责</w:t>
      </w:r>
      <w:r>
        <w:rPr>
          <w:rFonts w:hint="eastAsia" w:ascii="宋体" w:hAnsi="宋体"/>
        </w:rPr>
        <w:t>。</w:t>
      </w:r>
    </w:p>
    <w:p>
      <w:pPr>
        <w:ind w:firstLine="411" w:firstLineChars="196"/>
        <w:rPr>
          <w:rFonts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ascii="宋体" w:hAnsi="宋体"/>
        </w:rPr>
      </w:pPr>
    </w:p>
    <w:bookmarkEnd w:id="57"/>
    <w:p>
      <w:pPr>
        <w:rPr>
          <w:rFonts w:ascii="黑体" w:hAnsi="宋体" w:eastAsia="黑体"/>
          <w:sz w:val="24"/>
        </w:rPr>
      </w:pPr>
      <w:r>
        <w:rPr>
          <w:rFonts w:hint="eastAsia" w:ascii="黑体" w:hAnsi="宋体" w:eastAsia="黑体"/>
          <w:sz w:val="24"/>
        </w:rPr>
        <w:t>26. 样品、现场演示、方案讲解</w:t>
      </w:r>
    </w:p>
    <w:p>
      <w:pPr>
        <w:ind w:firstLine="411" w:firstLineChars="196"/>
        <w:rPr>
          <w:rFonts w:ascii="宋体" w:hAnsi="宋体"/>
          <w:szCs w:val="21"/>
        </w:rPr>
      </w:pPr>
      <w:r>
        <w:rPr>
          <w:rFonts w:hint="eastAsia" w:ascii="宋体" w:hAnsi="宋体"/>
          <w:szCs w:val="21"/>
        </w:rPr>
        <w:t>26.1 样品、现场演示、方案讲解等事项在招标文件专用条款中进行规定。</w:t>
      </w:r>
    </w:p>
    <w:p>
      <w:pPr>
        <w:rPr>
          <w:rFonts w:ascii="黑体" w:hAnsi="宋体" w:eastAsia="黑体"/>
          <w:sz w:val="24"/>
        </w:rPr>
      </w:pPr>
      <w:bookmarkStart w:id="58"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ascii="宋体" w:hAnsi="宋体"/>
          <w:szCs w:val="21"/>
        </w:rPr>
      </w:pPr>
      <w:r>
        <w:rPr>
          <w:rFonts w:hint="eastAsia" w:ascii="宋体" w:hAnsi="宋体"/>
          <w:szCs w:val="21"/>
        </w:rPr>
        <w:t>27.4政府集中采购机构不退还投标文件，专用条款另有规定的除外。</w:t>
      </w:r>
    </w:p>
    <w:bookmarkEnd w:id="58"/>
    <w:p>
      <w:pPr>
        <w:pStyle w:val="6"/>
        <w:numPr>
          <w:ilvl w:val="0"/>
          <w:numId w:val="14"/>
        </w:numPr>
        <w:spacing w:before="120" w:beforeLines="50" w:after="120" w:afterLines="50"/>
        <w:ind w:left="562" w:hanging="562"/>
        <w:rPr>
          <w:sz w:val="28"/>
          <w:szCs w:val="28"/>
        </w:rPr>
      </w:pPr>
      <w:r>
        <w:rPr>
          <w:rFonts w:hint="eastAsia"/>
          <w:sz w:val="28"/>
          <w:szCs w:val="28"/>
        </w:rPr>
        <w:t>开标</w:t>
      </w:r>
    </w:p>
    <w:p>
      <w:pPr>
        <w:rPr>
          <w:rFonts w:ascii="黑体" w:hAnsi="宋体" w:eastAsia="黑体"/>
          <w:sz w:val="24"/>
        </w:rPr>
      </w:pPr>
      <w:r>
        <w:rPr>
          <w:rFonts w:hint="eastAsia" w:ascii="黑体" w:hAnsi="宋体" w:eastAsia="黑体"/>
          <w:sz w:val="24"/>
        </w:rPr>
        <w:t>28．开标</w:t>
      </w:r>
    </w:p>
    <w:p>
      <w:pPr>
        <w:ind w:firstLine="315" w:firstLineChars="150"/>
        <w:rPr>
          <w:rFonts w:ascii="宋体" w:hAnsi="宋体"/>
          <w:szCs w:val="21"/>
        </w:rPr>
      </w:pPr>
      <w:r>
        <w:rPr>
          <w:rFonts w:hint="eastAsia" w:ascii="宋体" w:hAnsi="宋体"/>
          <w:szCs w:val="21"/>
        </w:rPr>
        <w:t>28.1投标人须在开标当日的开标时间至解密截止时间内进行解密，逾期未解密的作无效处理。解密方法：登录“深圳政府采购智慧平台用户网上办事子系统（http://zfcg.szggzy.com/TPBidder/memberLogin）”，使用本单位制作电子投标文件同一个电子密钥，在“【我的项目】→【项目流程】→【开标及解密】”进行在线解密、查询开标情况。</w:t>
      </w:r>
    </w:p>
    <w:p>
      <w:pPr>
        <w:ind w:firstLine="315" w:firstLineChars="150"/>
        <w:rPr>
          <w:rFonts w:ascii="宋体" w:hAnsi="宋体"/>
          <w:szCs w:val="21"/>
        </w:rPr>
      </w:pPr>
      <w:r>
        <w:rPr>
          <w:rFonts w:hint="eastAsia" w:ascii="宋体" w:hAnsi="宋体"/>
          <w:szCs w:val="21"/>
        </w:rPr>
        <w:t>28.2 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ascii="宋体" w:hAnsi="宋体"/>
          <w:szCs w:val="21"/>
        </w:rPr>
      </w:pPr>
    </w:p>
    <w:p>
      <w:pPr>
        <w:pStyle w:val="6"/>
        <w:numPr>
          <w:ilvl w:val="0"/>
          <w:numId w:val="14"/>
        </w:numPr>
        <w:spacing w:before="120" w:beforeLines="50" w:after="120" w:afterLines="50"/>
        <w:ind w:left="562" w:hanging="562"/>
        <w:rPr>
          <w:sz w:val="28"/>
          <w:szCs w:val="28"/>
        </w:rPr>
      </w:pPr>
      <w:r>
        <w:rPr>
          <w:rFonts w:hint="eastAsia"/>
          <w:sz w:val="28"/>
          <w:szCs w:val="28"/>
        </w:rPr>
        <w:t>评审要求</w:t>
      </w:r>
    </w:p>
    <w:p>
      <w:pPr>
        <w:rPr>
          <w:rFonts w:ascii="黑体" w:hAnsi="宋体" w:eastAsia="黑体"/>
          <w:sz w:val="24"/>
        </w:rPr>
      </w:pPr>
      <w:r>
        <w:rPr>
          <w:rFonts w:hint="eastAsia" w:ascii="黑体" w:hAnsi="宋体" w:eastAsia="黑体"/>
          <w:sz w:val="24"/>
        </w:rPr>
        <w:t>29．评审委员会组成</w:t>
      </w:r>
    </w:p>
    <w:p>
      <w:pPr>
        <w:ind w:firstLine="411" w:firstLineChars="196"/>
        <w:rPr>
          <w:rFonts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ascii="宋体" w:hAnsi="宋体"/>
        </w:rPr>
      </w:pPr>
      <w:bookmarkStart w:id="59"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59"/>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pStyle w:val="19"/>
        <w:ind w:firstLine="421" w:firstLineChars="200"/>
      </w:pPr>
      <w:r>
        <w:rPr>
          <w:rFonts w:hint="eastAsia" w:ascii="宋体" w:hAnsi="宋体"/>
          <w:color w:val="FF0000"/>
          <w:sz w:val="21"/>
        </w:rPr>
        <w:t>根据财政部门要求，将食材、物业管理、清扫保洁、保安服务、家具、窗帘、园林绿化、社工服务、“城市管家”九类采购项目作为严管项目，实行“通用品目+专业品目”组合抽取制。严管项目的范围由市财政部门根据监管需要适时调整。上述所称专业品目是指，与项目采购标的相对应的品目，具体由采购人商采购代理机构根据项目需求自主确定。通用品目具体由会计、审计、法律、人力资源管理、资产评估、金融服务品目下的所有专家合并组成。专业品目下产生的专家人数占抽取总人数的比例不得超过50%（含本数），除此之外的专家均从通用品目库中随机抽取。注：论证专家抽取规则无需按此要求执行，具体严管项目的范围由市财政部门根据监管需要适时调整。</w:t>
      </w:r>
    </w:p>
    <w:p>
      <w:pPr>
        <w:ind w:firstLine="411" w:firstLineChars="196"/>
        <w:rPr>
          <w:rFonts w:ascii="宋体" w:hAnsi="宋体"/>
        </w:rPr>
      </w:pPr>
      <w:r>
        <w:rPr>
          <w:rFonts w:hint="eastAsia" w:ascii="宋体" w:hAnsi="宋体"/>
        </w:rPr>
        <w:t>29.2评审定标应当遵循公平、公正、科学、择优的原则。</w:t>
      </w:r>
    </w:p>
    <w:p>
      <w:pPr>
        <w:ind w:firstLine="411" w:firstLineChars="196"/>
        <w:rPr>
          <w:rFonts w:ascii="宋体" w:hAnsi="宋体"/>
        </w:rPr>
      </w:pPr>
      <w:r>
        <w:rPr>
          <w:rFonts w:hint="eastAsia" w:ascii="宋体" w:hAnsi="宋体"/>
        </w:rPr>
        <w:t>29.3评审活动依法进行，任何单位和个人不得非法干预评标过程和结果。</w:t>
      </w:r>
    </w:p>
    <w:p>
      <w:pPr>
        <w:ind w:firstLine="411" w:firstLineChars="196"/>
        <w:rPr>
          <w:rFonts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ascii="黑体" w:hAnsi="宋体" w:eastAsia="黑体"/>
          <w:sz w:val="24"/>
        </w:rPr>
      </w:pPr>
      <w:r>
        <w:rPr>
          <w:rFonts w:hint="eastAsia" w:ascii="黑体" w:hAnsi="宋体" w:eastAsia="黑体"/>
          <w:sz w:val="24"/>
        </w:rPr>
        <w:t>30．向评审委员会提供的资料</w:t>
      </w:r>
    </w:p>
    <w:p>
      <w:pPr>
        <w:ind w:firstLine="411" w:firstLineChars="196"/>
        <w:rPr>
          <w:rFonts w:ascii="宋体" w:hAnsi="宋体"/>
        </w:rPr>
      </w:pPr>
      <w:r>
        <w:rPr>
          <w:rFonts w:hint="eastAsia" w:ascii="宋体" w:hAnsi="宋体"/>
        </w:rPr>
        <w:t>30.1公开发布的招标文件，包括图纸、服务清单、答疑文件等；</w:t>
      </w:r>
    </w:p>
    <w:p>
      <w:pPr>
        <w:ind w:firstLine="411" w:firstLineChars="196"/>
        <w:rPr>
          <w:rFonts w:ascii="宋体" w:hAnsi="宋体"/>
        </w:rPr>
      </w:pPr>
      <w:r>
        <w:rPr>
          <w:rFonts w:hint="eastAsia" w:ascii="宋体" w:hAnsi="宋体"/>
        </w:rPr>
        <w:t>30.2其他评标必须的资料。</w:t>
      </w:r>
    </w:p>
    <w:p>
      <w:pPr>
        <w:ind w:firstLine="411" w:firstLineChars="196"/>
        <w:rPr>
          <w:rFonts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ascii="宋体" w:hAnsi="宋体"/>
        </w:rPr>
      </w:pPr>
      <w:r>
        <w:rPr>
          <w:rFonts w:hint="eastAsia" w:ascii="宋体" w:hAnsi="宋体"/>
        </w:rPr>
        <w:t>（1）招标的目的；</w:t>
      </w:r>
    </w:p>
    <w:p>
      <w:pPr>
        <w:ind w:firstLine="411" w:firstLineChars="196"/>
        <w:rPr>
          <w:rFonts w:ascii="宋体" w:hAnsi="宋体"/>
        </w:rPr>
      </w:pPr>
      <w:r>
        <w:rPr>
          <w:rFonts w:hint="eastAsia" w:ascii="宋体" w:hAnsi="宋体"/>
        </w:rPr>
        <w:t>（2）招标项目需求的范围和性质；</w:t>
      </w:r>
    </w:p>
    <w:p>
      <w:pPr>
        <w:ind w:firstLine="411" w:firstLineChars="196"/>
        <w:rPr>
          <w:rFonts w:ascii="宋体" w:hAnsi="宋体"/>
        </w:rPr>
      </w:pPr>
      <w:r>
        <w:rPr>
          <w:rFonts w:hint="eastAsia" w:ascii="宋体" w:hAnsi="宋体"/>
        </w:rPr>
        <w:t>（3）招标文件规定的投标人的资格、财政预算限额、商务条款；</w:t>
      </w:r>
    </w:p>
    <w:p>
      <w:pPr>
        <w:ind w:firstLine="411" w:firstLineChars="196"/>
        <w:rPr>
          <w:rFonts w:ascii="宋体" w:hAnsi="宋体"/>
        </w:rPr>
      </w:pPr>
      <w:r>
        <w:rPr>
          <w:rFonts w:hint="eastAsia" w:ascii="宋体" w:hAnsi="宋体"/>
        </w:rPr>
        <w:t>（4）招标文件规定的评标程序、评标方法和评标因素；</w:t>
      </w:r>
    </w:p>
    <w:p>
      <w:pPr>
        <w:ind w:firstLine="411" w:firstLineChars="196"/>
        <w:rPr>
          <w:rFonts w:ascii="宋体" w:hAnsi="宋体"/>
        </w:rPr>
      </w:pPr>
      <w:r>
        <w:rPr>
          <w:rFonts w:hint="eastAsia" w:ascii="宋体" w:hAnsi="宋体"/>
        </w:rPr>
        <w:t>（5）招标文件所列示的资格性审查表及符合性审查表。</w:t>
      </w:r>
    </w:p>
    <w:p>
      <w:pPr>
        <w:rPr>
          <w:rFonts w:ascii="黑体" w:hAnsi="宋体" w:eastAsia="黑体"/>
          <w:sz w:val="24"/>
        </w:rPr>
      </w:pPr>
      <w:r>
        <w:rPr>
          <w:rFonts w:hint="eastAsia" w:ascii="黑体" w:hAnsi="宋体" w:eastAsia="黑体"/>
          <w:sz w:val="24"/>
        </w:rPr>
        <w:t>31．独立评审</w:t>
      </w:r>
    </w:p>
    <w:p>
      <w:pPr>
        <w:ind w:firstLine="411" w:firstLineChars="196"/>
        <w:rPr>
          <w:rFonts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ind w:firstLine="411" w:firstLineChars="196"/>
        <w:rPr>
          <w:rFonts w:ascii="宋体" w:hAnsi="宋体"/>
          <w:bCs/>
          <w:szCs w:val="21"/>
        </w:rPr>
      </w:pPr>
    </w:p>
    <w:p>
      <w:pPr>
        <w:pStyle w:val="6"/>
        <w:numPr>
          <w:ilvl w:val="0"/>
          <w:numId w:val="14"/>
        </w:numPr>
        <w:spacing w:before="120" w:beforeLines="50" w:after="120" w:afterLines="50"/>
        <w:ind w:left="562" w:hanging="562"/>
        <w:rPr>
          <w:sz w:val="28"/>
          <w:szCs w:val="28"/>
        </w:rPr>
      </w:pPr>
      <w:r>
        <w:rPr>
          <w:rFonts w:hint="eastAsia"/>
          <w:sz w:val="28"/>
          <w:szCs w:val="28"/>
        </w:rPr>
        <w:t>评审程序及评审方法</w:t>
      </w:r>
    </w:p>
    <w:p>
      <w:pPr>
        <w:rPr>
          <w:rFonts w:ascii="黑体" w:hAnsi="宋体" w:eastAsia="黑体"/>
          <w:sz w:val="24"/>
        </w:rPr>
      </w:pPr>
      <w:r>
        <w:rPr>
          <w:rFonts w:hint="eastAsia" w:ascii="黑体" w:hAnsi="宋体" w:eastAsia="黑体"/>
          <w:sz w:val="24"/>
        </w:rPr>
        <w:t>32．投标文件初审</w:t>
      </w:r>
    </w:p>
    <w:p>
      <w:pPr>
        <w:ind w:firstLine="411" w:firstLineChars="196"/>
        <w:rPr>
          <w:rFonts w:ascii="宋体" w:hAnsi="宋体"/>
        </w:rPr>
      </w:pPr>
      <w:r>
        <w:rPr>
          <w:rFonts w:hint="eastAsia" w:ascii="宋体" w:hAnsi="宋体"/>
        </w:rPr>
        <w:t>32.1投标文件初审包括资格性审查和符合性审查。</w:t>
      </w:r>
    </w:p>
    <w:p>
      <w:pPr>
        <w:ind w:firstLine="411" w:firstLineChars="196"/>
        <w:rPr>
          <w:rFonts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ascii="宋体" w:hAnsi="宋体"/>
          <w:bCs/>
        </w:rPr>
      </w:pPr>
      <w:r>
        <w:rPr>
          <w:rFonts w:hint="eastAsia" w:ascii="宋体" w:hAnsi="宋体"/>
          <w:bCs/>
        </w:rPr>
        <w:t>32.3 投标文件初审中关于供应商家数的计算:</w:t>
      </w:r>
    </w:p>
    <w:p>
      <w:pPr>
        <w:ind w:firstLine="411" w:firstLineChars="196"/>
        <w:rPr>
          <w:rFonts w:ascii="宋体" w:hAnsi="宋体"/>
          <w:bCs/>
        </w:rPr>
      </w:pPr>
      <w:r>
        <w:rPr>
          <w:rFonts w:hint="eastAsia" w:ascii="宋体" w:hAnsi="宋体"/>
          <w:bCs/>
        </w:rPr>
        <w:t>32.3.1采用最低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ascii="宋体" w:hAnsi="宋体"/>
        </w:rPr>
      </w:pPr>
      <w:r>
        <w:rPr>
          <w:rFonts w:hint="eastAsia" w:ascii="宋体" w:hAnsi="宋体"/>
        </w:rPr>
        <w:t>32.4.3不同投标人的投标文件载明的项目管理成员或者联系人员为同一人；</w:t>
      </w:r>
    </w:p>
    <w:p>
      <w:pPr>
        <w:ind w:firstLine="411" w:firstLineChars="196"/>
        <w:rPr>
          <w:rFonts w:ascii="宋体" w:hAnsi="宋体"/>
        </w:rPr>
      </w:pPr>
      <w:r>
        <w:rPr>
          <w:rFonts w:hint="eastAsia" w:ascii="宋体" w:hAnsi="宋体"/>
        </w:rPr>
        <w:t>32.4.4不同投标人的投标文件异常一致或者投标报价呈规律性差异；</w:t>
      </w:r>
    </w:p>
    <w:p>
      <w:pPr>
        <w:ind w:firstLine="411" w:firstLineChars="196"/>
        <w:rPr>
          <w:rFonts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ascii="宋体" w:hAnsi="宋体"/>
        </w:rPr>
      </w:pPr>
      <w:r>
        <w:rPr>
          <w:rFonts w:hint="eastAsia" w:ascii="宋体" w:hAnsi="宋体"/>
        </w:rPr>
        <w:t>32.4.6投标供应商之间相互约定给予未中标的供应商利益补偿；</w:t>
      </w:r>
    </w:p>
    <w:p>
      <w:pPr>
        <w:ind w:firstLine="411" w:firstLineChars="196"/>
        <w:rPr>
          <w:rFonts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ascii="宋体" w:hAnsi="宋体"/>
        </w:rPr>
      </w:pPr>
      <w:r>
        <w:rPr>
          <w:rFonts w:hint="eastAsia" w:ascii="宋体" w:hAnsi="宋体"/>
        </w:rPr>
        <w:t>32.4.8不同投标供应商的投标文件内容存在非正常一致；</w:t>
      </w:r>
    </w:p>
    <w:p>
      <w:pPr>
        <w:ind w:firstLine="411" w:firstLineChars="196"/>
        <w:rPr>
          <w:rFonts w:ascii="宋体" w:hAnsi="宋体"/>
        </w:rPr>
      </w:pPr>
      <w:r>
        <w:rPr>
          <w:rFonts w:hint="eastAsia" w:ascii="宋体" w:hAnsi="宋体"/>
        </w:rPr>
        <w:t>32.4.9在同一单位工作人员为两家以上（含两家）供应商进行同一项投标活动；</w:t>
      </w:r>
    </w:p>
    <w:p>
      <w:pPr>
        <w:ind w:firstLine="411" w:firstLineChars="196"/>
        <w:rPr>
          <w:rFonts w:ascii="宋体" w:hAnsi="宋体"/>
        </w:rPr>
      </w:pPr>
      <w:r>
        <w:rPr>
          <w:rFonts w:hint="eastAsia" w:ascii="宋体" w:hAnsi="宋体"/>
        </w:rPr>
        <w:t>32.4.10主管部门依照法律、法规认定的其他情形。</w:t>
      </w:r>
    </w:p>
    <w:p>
      <w:pPr>
        <w:ind w:firstLine="411" w:firstLineChars="196"/>
        <w:rPr>
          <w:rFonts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ascii="黑体" w:hAnsi="宋体" w:eastAsia="黑体"/>
          <w:sz w:val="24"/>
        </w:rPr>
      </w:pPr>
      <w:r>
        <w:rPr>
          <w:rFonts w:hint="eastAsia" w:ascii="黑体" w:hAnsi="宋体" w:eastAsia="黑体"/>
          <w:sz w:val="24"/>
        </w:rPr>
        <w:t>33．澄清有关问题</w:t>
      </w:r>
    </w:p>
    <w:p>
      <w:pPr>
        <w:ind w:firstLine="411" w:firstLineChars="196"/>
        <w:rPr>
          <w:rFonts w:ascii="宋体" w:hAnsi="宋体"/>
        </w:rPr>
      </w:pPr>
      <w:bookmarkStart w:id="60"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60"/>
    </w:p>
    <w:p>
      <w:pPr>
        <w:ind w:firstLine="411" w:firstLineChars="196"/>
        <w:rPr>
          <w:rFonts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ascii="宋体" w:hAnsi="宋体"/>
          <w:szCs w:val="21"/>
        </w:rPr>
      </w:pPr>
      <w:r>
        <w:rPr>
          <w:rFonts w:hint="eastAsia" w:ascii="宋体" w:hAnsi="宋体"/>
          <w:szCs w:val="21"/>
        </w:rPr>
        <w:t>根据本通用条款第34条，凡属于评审委员会在评审中发现的算术错误进行核实的修改不在此列。</w:t>
      </w:r>
    </w:p>
    <w:p>
      <w:pPr>
        <w:rPr>
          <w:rFonts w:ascii="黑体" w:hAnsi="宋体" w:eastAsia="黑体"/>
          <w:sz w:val="24"/>
        </w:rPr>
      </w:pPr>
      <w:bookmarkStart w:id="61" w:name="_Toc73521669"/>
      <w:bookmarkStart w:id="62" w:name="_Toc100052400"/>
      <w:bookmarkStart w:id="63" w:name="_Toc73518151"/>
      <w:bookmarkStart w:id="64" w:name="_Toc73521581"/>
      <w:bookmarkStart w:id="65" w:name="_Toc73517673"/>
      <w:r>
        <w:rPr>
          <w:rFonts w:hint="eastAsia" w:ascii="黑体" w:hAnsi="宋体" w:eastAsia="黑体"/>
          <w:sz w:val="24"/>
        </w:rPr>
        <w:t>34．错误的修正</w:t>
      </w:r>
      <w:bookmarkEnd w:id="61"/>
      <w:bookmarkEnd w:id="62"/>
      <w:bookmarkEnd w:id="63"/>
      <w:bookmarkEnd w:id="64"/>
      <w:bookmarkEnd w:id="65"/>
    </w:p>
    <w:p>
      <w:pPr>
        <w:ind w:firstLine="411" w:firstLineChars="196"/>
        <w:rPr>
          <w:rFonts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ascii="宋体" w:hAnsi="宋体"/>
          <w:szCs w:val="21"/>
        </w:rPr>
      </w:pPr>
      <w:r>
        <w:rPr>
          <w:rFonts w:hint="eastAsia" w:ascii="宋体" w:hAnsi="宋体"/>
          <w:szCs w:val="21"/>
        </w:rPr>
        <w:t>34.2大写金额和小写金额不一致的，以大写金额为准；</w:t>
      </w:r>
    </w:p>
    <w:p>
      <w:pPr>
        <w:ind w:firstLine="411" w:firstLineChars="196"/>
        <w:rPr>
          <w:rFonts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ascii="宋体" w:hAnsi="宋体"/>
          <w:szCs w:val="21"/>
        </w:rPr>
      </w:pPr>
      <w:r>
        <w:rPr>
          <w:rFonts w:hint="eastAsia" w:ascii="宋体" w:hAnsi="宋体"/>
          <w:szCs w:val="21"/>
        </w:rPr>
        <w:t>34.4总价金额与按单价汇总金额不一致的，以单价金额计算结果为准。</w:t>
      </w:r>
    </w:p>
    <w:p>
      <w:pPr>
        <w:ind w:firstLine="411" w:firstLineChars="196"/>
        <w:rPr>
          <w:rFonts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ascii="黑体" w:hAnsi="宋体" w:eastAsia="黑体"/>
          <w:sz w:val="24"/>
        </w:rPr>
      </w:pPr>
      <w:r>
        <w:rPr>
          <w:rFonts w:hint="eastAsia" w:ascii="黑体" w:hAnsi="宋体" w:eastAsia="黑体"/>
          <w:sz w:val="24"/>
        </w:rPr>
        <w:t>35．投标文件的比较与评价</w:t>
      </w:r>
    </w:p>
    <w:p>
      <w:pPr>
        <w:ind w:firstLine="411" w:firstLineChars="196"/>
        <w:rPr>
          <w:rFonts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ascii="黑体" w:hAnsi="宋体" w:eastAsia="黑体"/>
          <w:sz w:val="24"/>
        </w:rPr>
      </w:pPr>
      <w:r>
        <w:rPr>
          <w:rFonts w:hint="eastAsia" w:ascii="黑体" w:hAnsi="宋体" w:eastAsia="黑体"/>
          <w:sz w:val="24"/>
        </w:rPr>
        <w:t>36. 实地考察</w:t>
      </w:r>
    </w:p>
    <w:p>
      <w:pPr>
        <w:ind w:firstLine="411" w:firstLineChars="196"/>
        <w:rPr>
          <w:rFonts w:ascii="宋体" w:hAnsi="宋体"/>
          <w:szCs w:val="21"/>
        </w:rPr>
      </w:pPr>
      <w:r>
        <w:rPr>
          <w:rFonts w:hint="eastAsia" w:ascii="宋体" w:hAnsi="宋体"/>
          <w:szCs w:val="21"/>
        </w:rPr>
        <w:t>36.1在评审期间，评审委员会根据招标文件规定（详见“一、对通用条款的补充内容”），有权对本项目的投标人开展实地考察，投标人需时刻做好接收实地考察的准备。</w:t>
      </w:r>
    </w:p>
    <w:p>
      <w:pPr>
        <w:rPr>
          <w:rFonts w:ascii="黑体" w:hAnsi="宋体" w:eastAsia="黑体"/>
          <w:sz w:val="24"/>
        </w:rPr>
      </w:pPr>
      <w:r>
        <w:rPr>
          <w:rFonts w:hint="eastAsia" w:ascii="黑体" w:hAnsi="宋体" w:eastAsia="黑体"/>
          <w:sz w:val="24"/>
        </w:rPr>
        <w:t>37．评审方法</w:t>
      </w:r>
    </w:p>
    <w:p>
      <w:pPr>
        <w:ind w:firstLine="413" w:firstLineChars="196"/>
        <w:rPr>
          <w:rFonts w:ascii="宋体" w:hAnsi="宋体"/>
          <w:b/>
          <w:bCs/>
          <w:szCs w:val="21"/>
        </w:rPr>
      </w:pPr>
      <w:r>
        <w:rPr>
          <w:rFonts w:hint="eastAsia" w:ascii="宋体" w:hAnsi="宋体"/>
          <w:b/>
          <w:bCs/>
          <w:szCs w:val="21"/>
        </w:rPr>
        <w:t>37.1.1最低价法</w:t>
      </w:r>
    </w:p>
    <w:p>
      <w:pPr>
        <w:ind w:firstLine="411" w:firstLineChars="196"/>
        <w:rPr>
          <w:rFonts w:hint="eastAsia" w:ascii="ˎ̥" w:hAnsi="ˎ̥"/>
        </w:rPr>
      </w:pPr>
      <w:bookmarkStart w:id="66" w:name="_Hlk72438142"/>
      <w:r>
        <w:rPr>
          <w:rFonts w:ascii="ˎ̥" w:hAnsi="ˎ̥"/>
        </w:rPr>
        <w:t>最低价法，是指</w:t>
      </w:r>
      <w:r>
        <w:rPr>
          <w:rFonts w:hint="eastAsia" w:ascii="ˎ̥" w:hAnsi="ˎ̥"/>
        </w:rPr>
        <w:t>完全</w:t>
      </w:r>
      <w:r>
        <w:rPr>
          <w:rFonts w:ascii="ˎ̥" w:hAnsi="ˎ̥"/>
        </w:rPr>
        <w:t>满足招标文件实质性要求，</w:t>
      </w:r>
      <w:r>
        <w:rPr>
          <w:rFonts w:hint="eastAsia" w:ascii="ˎ̥" w:hAnsi="ˎ̥"/>
        </w:rPr>
        <w:t>按照报价由低到高的顺序，依据招标文件中规定的数量或者比例推荐候选中标供应商。</w:t>
      </w:r>
    </w:p>
    <w:p>
      <w:pPr>
        <w:ind w:firstLine="413" w:firstLineChars="196"/>
        <w:rPr>
          <w:rFonts w:ascii="宋体" w:hAnsi="宋体"/>
          <w:b/>
          <w:bCs/>
          <w:szCs w:val="21"/>
        </w:rPr>
      </w:pPr>
      <w:r>
        <w:rPr>
          <w:rFonts w:hint="eastAsia" w:ascii="宋体" w:hAnsi="宋体"/>
          <w:b/>
          <w:bCs/>
          <w:szCs w:val="21"/>
        </w:rPr>
        <w:t>37.1.2综合评分法</w:t>
      </w:r>
    </w:p>
    <w:p>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bookmarkEnd w:id="66"/>
    </w:p>
    <w:p>
      <w:pPr>
        <w:ind w:firstLine="411" w:firstLineChars="196"/>
        <w:rPr>
          <w:rFonts w:ascii="宋体" w:hAnsi="宋体"/>
          <w:b/>
          <w:bCs/>
          <w:szCs w:val="21"/>
        </w:rPr>
      </w:pPr>
      <w:r>
        <w:rPr>
          <w:rFonts w:hint="eastAsia" w:ascii="ˎ̥" w:hAnsi="ˎ̥"/>
        </w:rPr>
        <w:t>3</w:t>
      </w:r>
      <w:r>
        <w:rPr>
          <w:rFonts w:hint="eastAsia" w:ascii="宋体" w:hAnsi="宋体"/>
          <w:b/>
          <w:bCs/>
          <w:szCs w:val="21"/>
        </w:rPr>
        <w:t>7.2 本项目采用的评审方法见本项目招标文件第一册“专用条款”的相关内容。</w:t>
      </w:r>
    </w:p>
    <w:p>
      <w:pPr>
        <w:ind w:firstLine="413" w:firstLineChars="196"/>
        <w:rPr>
          <w:rFonts w:ascii="宋体" w:hAnsi="宋体"/>
          <w:b/>
          <w:bCs/>
          <w:szCs w:val="21"/>
        </w:rPr>
      </w:pPr>
      <w:r>
        <w:rPr>
          <w:rFonts w:hint="eastAsia" w:ascii="宋体" w:hAnsi="宋体"/>
          <w:b/>
          <w:bCs/>
          <w:szCs w:val="21"/>
        </w:rPr>
        <w:t>37.3重新评审的情形</w:t>
      </w:r>
    </w:p>
    <w:p>
      <w:pPr>
        <w:ind w:firstLine="411" w:firstLineChars="196"/>
        <w:rPr>
          <w:rFonts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ascii="宋体" w:hAnsi="宋体" w:cs="宋体"/>
          <w:kern w:val="0"/>
          <w:szCs w:val="21"/>
        </w:rPr>
      </w:pPr>
      <w:r>
        <w:rPr>
          <w:rFonts w:hint="eastAsia" w:ascii="宋体" w:hAnsi="宋体" w:cs="宋体"/>
          <w:kern w:val="0"/>
          <w:szCs w:val="21"/>
        </w:rPr>
        <w:t>37.3.1分值汇总计算错误的；</w:t>
      </w:r>
    </w:p>
    <w:p>
      <w:pPr>
        <w:ind w:firstLine="411" w:firstLineChars="196"/>
        <w:rPr>
          <w:rFonts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ascii="宋体" w:hAnsi="宋体"/>
          <w:b/>
          <w:bCs/>
          <w:szCs w:val="21"/>
        </w:rPr>
      </w:pPr>
      <w:r>
        <w:rPr>
          <w:rFonts w:hint="eastAsia" w:ascii="宋体" w:hAnsi="宋体"/>
          <w:b/>
          <w:bCs/>
          <w:szCs w:val="21"/>
        </w:rPr>
        <w:t>37.4重新组建评审委员会的情形</w:t>
      </w:r>
    </w:p>
    <w:p>
      <w:pPr>
        <w:ind w:firstLine="411" w:firstLineChars="196"/>
        <w:rPr>
          <w:rFonts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ascii="宋体" w:hAnsi="宋体" w:cs="宋体"/>
          <w:kern w:val="0"/>
          <w:szCs w:val="21"/>
        </w:rPr>
      </w:pPr>
      <w:r>
        <w:rPr>
          <w:rFonts w:hint="eastAsia" w:ascii="宋体" w:hAnsi="宋体" w:cs="宋体"/>
          <w:kern w:val="0"/>
          <w:szCs w:val="21"/>
        </w:rPr>
        <w:t>37.4.4有</w:t>
      </w:r>
      <w:r>
        <w:rPr>
          <w:rFonts w:hint="eastAsia" w:ascii="宋体" w:hAnsi="宋体" w:cs="宋体"/>
          <w:kern w:val="0"/>
          <w:szCs w:val="21"/>
          <w:lang w:eastAsia="zh-CN"/>
        </w:rPr>
        <w:t>《中华人民共和国政府采购法</w:t>
      </w:r>
      <w:r>
        <w:rPr>
          <w:rFonts w:hint="eastAsia" w:ascii="宋体" w:hAnsi="宋体" w:cs="宋体"/>
          <w:kern w:val="0"/>
          <w:szCs w:val="21"/>
        </w:rPr>
        <w:t>实施条例</w:t>
      </w:r>
      <w:r>
        <w:rPr>
          <w:rFonts w:hint="eastAsia" w:ascii="宋体" w:hAnsi="宋体" w:cs="宋体"/>
          <w:kern w:val="0"/>
          <w:szCs w:val="21"/>
          <w:lang w:eastAsia="zh-CN"/>
        </w:rPr>
        <w:t>》</w:t>
      </w:r>
      <w:r>
        <w:rPr>
          <w:rFonts w:hint="eastAsia" w:ascii="宋体" w:hAnsi="宋体" w:cs="宋体"/>
          <w:kern w:val="0"/>
          <w:szCs w:val="21"/>
        </w:rPr>
        <w:t>第七十五条规定的违法行为的。</w:t>
      </w:r>
    </w:p>
    <w:p>
      <w:pPr>
        <w:ind w:firstLine="411" w:firstLineChars="196"/>
        <w:rPr>
          <w:rFonts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ascii="宋体" w:hAnsi="宋体"/>
          <w:szCs w:val="21"/>
        </w:rPr>
      </w:pPr>
    </w:p>
    <w:p>
      <w:pPr>
        <w:pStyle w:val="6"/>
        <w:numPr>
          <w:ilvl w:val="0"/>
          <w:numId w:val="14"/>
        </w:numPr>
        <w:spacing w:before="120" w:beforeLines="50" w:after="120" w:afterLines="50"/>
        <w:ind w:left="562" w:hanging="562"/>
        <w:rPr>
          <w:sz w:val="28"/>
          <w:szCs w:val="28"/>
        </w:rPr>
      </w:pPr>
      <w:r>
        <w:rPr>
          <w:rFonts w:hint="eastAsia"/>
          <w:sz w:val="28"/>
          <w:szCs w:val="28"/>
        </w:rPr>
        <w:t>定标及公示</w:t>
      </w:r>
    </w:p>
    <w:p>
      <w:pPr>
        <w:rPr>
          <w:rFonts w:ascii="黑体" w:hAnsi="宋体" w:eastAsia="黑体"/>
          <w:sz w:val="24"/>
        </w:rPr>
      </w:pPr>
      <w:r>
        <w:rPr>
          <w:rFonts w:hint="eastAsia" w:ascii="黑体" w:hAnsi="宋体" w:eastAsia="黑体"/>
          <w:sz w:val="24"/>
        </w:rPr>
        <w:t>38．定标方法</w:t>
      </w:r>
    </w:p>
    <w:p>
      <w:pPr>
        <w:ind w:firstLine="411" w:firstLineChars="196"/>
        <w:rPr>
          <w:rFonts w:ascii="宋体" w:hAnsi="宋体"/>
          <w:szCs w:val="21"/>
        </w:rPr>
      </w:pPr>
      <w:r>
        <w:rPr>
          <w:rFonts w:hint="eastAsia" w:ascii="宋体" w:hAnsi="宋体"/>
          <w:szCs w:val="21"/>
        </w:rPr>
        <w:t>38.1非评定分离项目定标方法</w:t>
      </w:r>
    </w:p>
    <w:p>
      <w:pPr>
        <w:ind w:firstLine="411" w:firstLineChars="196"/>
        <w:rPr>
          <w:rFonts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rPr>
        <w:t>采用最低价法的，评</w:t>
      </w:r>
      <w:r>
        <w:rPr>
          <w:rFonts w:hint="eastAsia" w:ascii="ˎ̥" w:hAnsi="ˎ̥"/>
        </w:rPr>
        <w:t>审</w:t>
      </w:r>
      <w:r>
        <w:rPr>
          <w:rFonts w:ascii="ˎ̥" w:hAnsi="ˎ̥"/>
        </w:rPr>
        <w:t>结果按投标报价由低到高顺序排列。投标报价相同的并列。投标文件满足招标文件全部实质性要求且投标报价最低的</w:t>
      </w:r>
      <w:r>
        <w:rPr>
          <w:rFonts w:hint="eastAsia" w:ascii="ˎ̥" w:hAnsi="ˎ̥"/>
        </w:rPr>
        <w:t>投标人为中标供应商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p>
    <w:p>
      <w:pPr>
        <w:ind w:firstLine="411" w:firstLineChars="196"/>
        <w:rPr>
          <w:rFonts w:hint="eastAsia" w:ascii="ˎ̥" w:hAnsi="ˎ̥"/>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w:t>
      </w:r>
      <w:r>
        <w:rPr>
          <w:rFonts w:hint="eastAsia" w:ascii="ˎ̥" w:hAnsi="ˎ̥"/>
        </w:rPr>
        <w:t>为中标供应商</w:t>
      </w:r>
      <w:r>
        <w:rPr>
          <w:rFonts w:ascii="ˎ̥" w:hAnsi="ˎ̥"/>
        </w:rPr>
        <w:t>（</w:t>
      </w:r>
      <w:r>
        <w:rPr>
          <w:rFonts w:hint="eastAsia" w:ascii="ˎ̥" w:hAnsi="ˎ̥"/>
        </w:rPr>
        <w:t>排名</w:t>
      </w:r>
      <w:r>
        <w:rPr>
          <w:rFonts w:ascii="ˎ̥" w:hAnsi="ˎ̥"/>
        </w:rPr>
        <w:t>第二</w:t>
      </w:r>
      <w:r>
        <w:rPr>
          <w:rFonts w:hint="eastAsia" w:ascii="ˎ̥" w:hAnsi="ˎ̥"/>
        </w:rPr>
        <w:t>的投标人为第一替补中标候选人、排名</w:t>
      </w:r>
      <w:r>
        <w:rPr>
          <w:rFonts w:ascii="ˎ̥" w:hAnsi="ˎ̥"/>
        </w:rPr>
        <w:t>第</w:t>
      </w:r>
      <w:r>
        <w:rPr>
          <w:rFonts w:hint="eastAsia" w:ascii="ˎ̥" w:hAnsi="ˎ̥"/>
        </w:rPr>
        <w:t>三的投标人为第二替补中标候选人</w:t>
      </w:r>
      <w:r>
        <w:rPr>
          <w:rFonts w:ascii="ˎ̥" w:hAnsi="ˎ̥"/>
        </w:rPr>
        <w:t>）。</w:t>
      </w:r>
      <w:r>
        <w:rPr>
          <w:rFonts w:hint="eastAsia" w:ascii="ˎ̥" w:hAnsi="ˎ̥"/>
        </w:rPr>
        <w:t>出现</w:t>
      </w:r>
      <w:r>
        <w:rPr>
          <w:rFonts w:ascii="ˎ̥" w:hAnsi="ˎ̥"/>
        </w:rPr>
        <w:t>得分且投标报价相同的并列</w:t>
      </w:r>
      <w:r>
        <w:rPr>
          <w:rFonts w:hint="eastAsia" w:ascii="ˎ̥" w:hAnsi="ˎ̥"/>
        </w:rPr>
        <w:t>情况时，采取随机抽取的方式确定，具体操作办法及流程由评审委员会确定。</w:t>
      </w:r>
    </w:p>
    <w:p>
      <w:pPr>
        <w:ind w:firstLine="411" w:firstLineChars="196"/>
        <w:rPr>
          <w:rFonts w:ascii="宋体" w:hAnsi="宋体"/>
          <w:szCs w:val="21"/>
        </w:rPr>
      </w:pPr>
      <w:r>
        <w:rPr>
          <w:rFonts w:hint="eastAsia" w:ascii="宋体" w:hAnsi="宋体"/>
          <w:szCs w:val="21"/>
        </w:rPr>
        <w:t>38.2评定分离项目定标方法</w:t>
      </w:r>
    </w:p>
    <w:p>
      <w:pPr>
        <w:ind w:firstLine="411" w:firstLineChars="196"/>
        <w:rPr>
          <w:rFonts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67"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ascii="宋体" w:hAnsi="宋体"/>
          <w:szCs w:val="21"/>
        </w:rPr>
      </w:pPr>
      <w:r>
        <w:rPr>
          <w:rFonts w:hint="eastAsia" w:ascii="宋体" w:hAnsi="宋体"/>
          <w:szCs w:val="21"/>
        </w:rPr>
        <w:t>38.2.3</w:t>
      </w:r>
      <w:bookmarkStart w:id="68"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67"/>
      <w:bookmarkEnd w:id="68"/>
    </w:p>
    <w:p>
      <w:pPr>
        <w:ind w:firstLine="411" w:firstLineChars="196"/>
        <w:rPr>
          <w:rFonts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政府集中采购机构。具体定标程序及相关要求以按照《深圳市财政局关于&lt;深圳市政府采购评标定标分离管理办法&gt;续期的通知》（深财规〔2023〕1号）执行。</w:t>
      </w:r>
    </w:p>
    <w:p>
      <w:pPr>
        <w:ind w:firstLine="411" w:firstLineChars="196"/>
        <w:rPr>
          <w:rFonts w:ascii="宋体" w:hAnsi="宋体"/>
          <w:szCs w:val="21"/>
        </w:rPr>
      </w:pPr>
      <w:r>
        <w:rPr>
          <w:rFonts w:hint="eastAsia" w:ascii="宋体" w:hAnsi="宋体"/>
          <w:szCs w:val="21"/>
        </w:rPr>
        <w:t>说明：采购人及投标供应商应按照上述方法提前做好相关准备。</w:t>
      </w:r>
    </w:p>
    <w:p>
      <w:pPr>
        <w:ind w:firstLine="411" w:firstLineChars="196"/>
        <w:rPr>
          <w:rFonts w:ascii="宋体" w:hAnsi="宋体"/>
          <w:szCs w:val="21"/>
        </w:rPr>
      </w:pPr>
      <w:r>
        <w:rPr>
          <w:rFonts w:hint="eastAsia" w:ascii="宋体" w:hAnsi="宋体"/>
          <w:szCs w:val="21"/>
        </w:rPr>
        <w:t>38.3专用条款另有规定的，按专用条款相关要求定标。</w:t>
      </w:r>
    </w:p>
    <w:p>
      <w:pPr>
        <w:rPr>
          <w:rFonts w:ascii="黑体" w:hAnsi="宋体" w:eastAsia="黑体"/>
          <w:sz w:val="24"/>
        </w:rPr>
      </w:pPr>
      <w:r>
        <w:rPr>
          <w:rFonts w:hint="eastAsia" w:ascii="黑体" w:hAnsi="宋体" w:eastAsia="黑体"/>
          <w:sz w:val="24"/>
        </w:rPr>
        <w:t>39．编写评审报告</w:t>
      </w:r>
    </w:p>
    <w:p>
      <w:pPr>
        <w:ind w:firstLine="411" w:firstLineChars="196"/>
        <w:rPr>
          <w:rFonts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ascii="黑体" w:hAnsi="宋体" w:eastAsia="黑体"/>
          <w:sz w:val="24"/>
        </w:rPr>
      </w:pPr>
      <w:r>
        <w:rPr>
          <w:rFonts w:hint="eastAsia" w:ascii="黑体" w:hAnsi="宋体" w:eastAsia="黑体"/>
          <w:sz w:val="24"/>
        </w:rPr>
        <w:t>40．中标公告</w:t>
      </w:r>
    </w:p>
    <w:p>
      <w:pPr>
        <w:ind w:firstLine="411" w:firstLineChars="196"/>
        <w:rPr>
          <w:rFonts w:ascii="宋体" w:hAnsi="宋体"/>
          <w:szCs w:val="21"/>
        </w:rPr>
      </w:pPr>
      <w:r>
        <w:rPr>
          <w:rFonts w:hint="eastAsia" w:ascii="宋体" w:hAnsi="宋体"/>
          <w:szCs w:val="21"/>
        </w:rPr>
        <w:t>40.1</w:t>
      </w:r>
      <w:bookmarkStart w:id="69"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szCs w:val="21"/>
        </w:rPr>
        <w:t>“深圳公共资源交易网（https://szggzy.com/）”</w:t>
      </w:r>
      <w:r>
        <w:rPr>
          <w:rFonts w:hint="eastAsia" w:ascii="宋体" w:hAnsi="宋体"/>
          <w:szCs w:val="21"/>
        </w:rPr>
        <w:t>上发布中标结果公告。</w:t>
      </w:r>
      <w:bookmarkEnd w:id="69"/>
      <w:bookmarkStart w:id="70"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70"/>
    <w:p>
      <w:pPr>
        <w:ind w:firstLine="411" w:firstLineChars="196"/>
        <w:rPr>
          <w:rFonts w:ascii="宋体" w:hAnsi="宋体"/>
          <w:szCs w:val="21"/>
        </w:rPr>
      </w:pPr>
      <w:r>
        <w:rPr>
          <w:rFonts w:hint="eastAsia" w:ascii="宋体" w:hAnsi="宋体"/>
          <w:szCs w:val="21"/>
        </w:rPr>
        <w:t>40.2质疑、投诉供应商应保证质疑、投诉内容的真实性和可靠性，并承担相应的法律责任。</w:t>
      </w:r>
    </w:p>
    <w:p>
      <w:pPr>
        <w:rPr>
          <w:rFonts w:ascii="黑体" w:hAnsi="宋体" w:eastAsia="黑体"/>
          <w:sz w:val="24"/>
        </w:rPr>
      </w:pPr>
      <w:r>
        <w:rPr>
          <w:rFonts w:hint="eastAsia" w:ascii="黑体" w:hAnsi="宋体" w:eastAsia="黑体"/>
          <w:sz w:val="24"/>
        </w:rPr>
        <w:t>41．中标通知书</w:t>
      </w:r>
    </w:p>
    <w:p>
      <w:pPr>
        <w:ind w:firstLine="411" w:firstLineChars="196"/>
        <w:rPr>
          <w:rFonts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71" w:name="_Hlk72438863"/>
      <w:r>
        <w:rPr>
          <w:rFonts w:hint="eastAsia" w:ascii="宋体" w:hAnsi="宋体"/>
          <w:szCs w:val="21"/>
        </w:rPr>
        <w:t>中标公告公布以后无异常的情况下,中标供应商和采购人可自行在</w:t>
      </w:r>
      <w:r>
        <w:rPr>
          <w:rFonts w:hint="eastAsia" w:ascii="宋体" w:hAnsi="宋体"/>
          <w:b/>
          <w:bCs/>
          <w:szCs w:val="21"/>
        </w:rPr>
        <w:t>“深圳政府采购智慧平台（http://zfcg.szggzy.com/）”</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71"/>
    </w:p>
    <w:p>
      <w:pPr>
        <w:ind w:firstLine="411" w:firstLineChars="196"/>
        <w:rPr>
          <w:rFonts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ascii="宋体" w:hAnsi="宋体"/>
          <w:szCs w:val="21"/>
        </w:rPr>
      </w:pPr>
      <w:bookmarkStart w:id="72" w:name="_Hlk71407340"/>
      <w:r>
        <w:rPr>
          <w:rFonts w:hint="eastAsia" w:ascii="宋体" w:hAnsi="宋体"/>
          <w:szCs w:val="21"/>
        </w:rPr>
        <w:t>41.3因质疑投诉或其它原因导致项目结果变更或采购终止的，政府集中采购机构有权吊销中标通知书。</w:t>
      </w:r>
    </w:p>
    <w:bookmarkEnd w:id="72"/>
    <w:p>
      <w:pPr>
        <w:ind w:firstLine="411" w:firstLineChars="196"/>
        <w:rPr>
          <w:rFonts w:ascii="宋体" w:hAnsi="宋体"/>
          <w:szCs w:val="21"/>
        </w:rPr>
      </w:pPr>
    </w:p>
    <w:p>
      <w:pPr>
        <w:pStyle w:val="6"/>
        <w:numPr>
          <w:ilvl w:val="0"/>
          <w:numId w:val="14"/>
        </w:numPr>
        <w:spacing w:before="120" w:beforeLines="50" w:after="120" w:afterLines="50"/>
        <w:ind w:left="562" w:hanging="562"/>
        <w:rPr>
          <w:sz w:val="28"/>
          <w:szCs w:val="28"/>
        </w:rPr>
      </w:pPr>
      <w:r>
        <w:rPr>
          <w:rFonts w:hint="eastAsia"/>
          <w:sz w:val="28"/>
          <w:szCs w:val="28"/>
        </w:rPr>
        <w:t>公开招标失败的后续处理</w:t>
      </w:r>
    </w:p>
    <w:p>
      <w:pPr>
        <w:rPr>
          <w:rFonts w:ascii="黑体" w:hAnsi="宋体" w:eastAsia="黑体"/>
          <w:sz w:val="24"/>
        </w:rPr>
      </w:pPr>
      <w:r>
        <w:rPr>
          <w:rFonts w:hint="eastAsia" w:ascii="黑体" w:hAnsi="宋体" w:eastAsia="黑体"/>
          <w:sz w:val="24"/>
        </w:rPr>
        <w:t>42．公开招标失败的处理</w:t>
      </w:r>
    </w:p>
    <w:p>
      <w:pPr>
        <w:ind w:firstLine="411" w:firstLineChars="196"/>
        <w:rPr>
          <w:rFonts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ascii="宋体" w:hAnsi="宋体"/>
          <w:szCs w:val="21"/>
        </w:rPr>
      </w:pPr>
      <w:r>
        <w:rPr>
          <w:rFonts w:hint="eastAsia" w:ascii="宋体" w:hAnsi="宋体"/>
          <w:szCs w:val="21"/>
        </w:rPr>
        <w:t>42.3重新组织采购有以下两种组织形式：</w:t>
      </w:r>
    </w:p>
    <w:p>
      <w:pPr>
        <w:ind w:firstLine="411" w:firstLineChars="196"/>
        <w:rPr>
          <w:rFonts w:ascii="宋体" w:hAnsi="宋体"/>
        </w:rPr>
      </w:pPr>
      <w:r>
        <w:rPr>
          <w:rFonts w:hint="eastAsia" w:ascii="宋体" w:hAnsi="宋体"/>
        </w:rPr>
        <w:t>（1）由政府集中采购机构重新组织公开招标；</w:t>
      </w:r>
    </w:p>
    <w:p>
      <w:pPr>
        <w:ind w:firstLine="411" w:firstLineChars="196"/>
        <w:rPr>
          <w:rFonts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ascii="宋体" w:hAnsi="宋体"/>
        </w:rPr>
      </w:pPr>
      <w:r>
        <w:rPr>
          <w:rFonts w:hint="eastAsia" w:ascii="宋体" w:hAnsi="宋体"/>
        </w:rPr>
        <w:t>42.4公开招标失败的采购项目重新组织公开招标，由政府集中采购机构重新按公开招标流程组织采购活动。</w:t>
      </w:r>
    </w:p>
    <w:p>
      <w:pPr>
        <w:rPr>
          <w:rFonts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pPr>
        <w:rPr>
          <w:rFonts w:ascii="黑体" w:hAnsi="宋体" w:eastAsia="黑体"/>
          <w:sz w:val="24"/>
        </w:rPr>
      </w:pPr>
    </w:p>
    <w:p>
      <w:pPr>
        <w:pStyle w:val="6"/>
        <w:numPr>
          <w:ilvl w:val="0"/>
          <w:numId w:val="14"/>
        </w:numPr>
        <w:spacing w:before="120" w:beforeLines="50" w:after="120" w:afterLines="50"/>
        <w:ind w:left="562" w:hanging="562"/>
        <w:rPr>
          <w:sz w:val="28"/>
          <w:szCs w:val="28"/>
        </w:rPr>
      </w:pPr>
      <w:bookmarkStart w:id="73" w:name="_Hlk72439043"/>
      <w:r>
        <w:rPr>
          <w:rFonts w:hint="eastAsia"/>
          <w:sz w:val="28"/>
          <w:szCs w:val="28"/>
        </w:rPr>
        <w:t>合同的授予与备案</w:t>
      </w:r>
      <w:bookmarkEnd w:id="73"/>
    </w:p>
    <w:p>
      <w:pPr>
        <w:rPr>
          <w:rFonts w:ascii="黑体" w:hAnsi="宋体" w:eastAsia="黑体"/>
          <w:sz w:val="24"/>
        </w:rPr>
      </w:pPr>
      <w:bookmarkStart w:id="74" w:name="_Toc73518157"/>
      <w:bookmarkStart w:id="75" w:name="_Toc73521586"/>
      <w:bookmarkStart w:id="76" w:name="_Toc100052408"/>
      <w:bookmarkStart w:id="77" w:name="_Toc73517679"/>
      <w:bookmarkStart w:id="78" w:name="_Toc73521674"/>
      <w:bookmarkStart w:id="79" w:name="_Hlk72439088"/>
      <w:r>
        <w:rPr>
          <w:rFonts w:hint="eastAsia" w:ascii="黑体" w:hAnsi="宋体" w:eastAsia="黑体"/>
          <w:sz w:val="24"/>
        </w:rPr>
        <w:t>43．合同授予标准</w:t>
      </w:r>
      <w:bookmarkEnd w:id="74"/>
      <w:bookmarkEnd w:id="75"/>
      <w:bookmarkEnd w:id="76"/>
      <w:bookmarkEnd w:id="77"/>
      <w:bookmarkEnd w:id="78"/>
    </w:p>
    <w:p>
      <w:pPr>
        <w:ind w:firstLine="411" w:firstLineChars="196"/>
        <w:rPr>
          <w:rFonts w:ascii="宋体" w:hAnsi="宋体"/>
          <w:szCs w:val="21"/>
        </w:rPr>
      </w:pPr>
      <w:r>
        <w:rPr>
          <w:rFonts w:hint="eastAsia" w:ascii="宋体" w:hAnsi="宋体"/>
          <w:szCs w:val="21"/>
        </w:rPr>
        <w:t>本项目的合同将授予经本招标文件规定评审确定的中标供应商。</w:t>
      </w:r>
    </w:p>
    <w:p>
      <w:pPr>
        <w:rPr>
          <w:rFonts w:ascii="黑体" w:hAnsi="宋体" w:eastAsia="黑体"/>
          <w:sz w:val="24"/>
        </w:rPr>
      </w:pPr>
      <w:bookmarkStart w:id="80" w:name="_Toc73518158"/>
      <w:bookmarkStart w:id="81" w:name="_Toc73521587"/>
      <w:bookmarkStart w:id="82" w:name="_Toc100052409"/>
      <w:bookmarkStart w:id="83" w:name="_Toc73521675"/>
      <w:bookmarkStart w:id="84" w:name="_Toc73517680"/>
      <w:r>
        <w:rPr>
          <w:rFonts w:hint="eastAsia" w:ascii="黑体" w:hAnsi="宋体" w:eastAsia="黑体"/>
          <w:sz w:val="24"/>
        </w:rPr>
        <w:t>44．</w:t>
      </w:r>
      <w:bookmarkEnd w:id="80"/>
      <w:bookmarkEnd w:id="81"/>
      <w:bookmarkEnd w:id="82"/>
      <w:bookmarkEnd w:id="83"/>
      <w:bookmarkEnd w:id="84"/>
      <w:r>
        <w:rPr>
          <w:rFonts w:hint="eastAsia" w:ascii="黑体" w:hAnsi="宋体" w:eastAsia="黑体"/>
          <w:sz w:val="24"/>
        </w:rPr>
        <w:t>接受和拒绝任何或所有投标的权力</w:t>
      </w:r>
    </w:p>
    <w:p>
      <w:pPr>
        <w:ind w:firstLine="411" w:firstLineChars="196"/>
        <w:rPr>
          <w:rFonts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ascii="黑体" w:hAnsi="宋体" w:eastAsia="黑体"/>
          <w:sz w:val="24"/>
        </w:rPr>
      </w:pPr>
      <w:bookmarkStart w:id="85" w:name="_Toc73521677"/>
      <w:bookmarkStart w:id="86" w:name="_Toc73517682"/>
      <w:bookmarkStart w:id="87" w:name="_Toc73521589"/>
      <w:bookmarkStart w:id="88" w:name="_Toc73518160"/>
      <w:bookmarkStart w:id="89" w:name="_Toc100052410"/>
      <w:r>
        <w:rPr>
          <w:rFonts w:hint="eastAsia" w:ascii="黑体" w:hAnsi="宋体" w:eastAsia="黑体"/>
          <w:sz w:val="24"/>
        </w:rPr>
        <w:t>45．合同的签订</w:t>
      </w:r>
      <w:bookmarkEnd w:id="85"/>
      <w:bookmarkEnd w:id="86"/>
      <w:bookmarkEnd w:id="87"/>
      <w:bookmarkEnd w:id="88"/>
      <w:bookmarkEnd w:id="89"/>
    </w:p>
    <w:p>
      <w:pPr>
        <w:ind w:firstLine="411" w:firstLineChars="196"/>
        <w:rPr>
          <w:rFonts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ascii="宋体" w:hAnsi="宋体"/>
          <w:szCs w:val="21"/>
        </w:rPr>
      </w:pPr>
      <w:r>
        <w:rPr>
          <w:rFonts w:hint="eastAsia" w:ascii="宋体" w:hAnsi="宋体"/>
          <w:szCs w:val="21"/>
        </w:rPr>
        <w:t>45.3中标人应当按照合同约定履行义务，完成中标项目，不得将中标项目转让（转包）给他人。</w:t>
      </w:r>
    </w:p>
    <w:p>
      <w:pPr>
        <w:rPr>
          <w:rFonts w:ascii="黑体" w:hAnsi="宋体" w:eastAsia="黑体"/>
          <w:sz w:val="24"/>
        </w:rPr>
      </w:pPr>
      <w:bookmarkStart w:id="90" w:name="_Toc73521678"/>
      <w:bookmarkStart w:id="91" w:name="_Toc73517683"/>
      <w:bookmarkStart w:id="92" w:name="_Toc73521590"/>
      <w:bookmarkStart w:id="93" w:name="_Toc100052411"/>
      <w:bookmarkStart w:id="94" w:name="_Toc73518161"/>
      <w:r>
        <w:rPr>
          <w:rFonts w:hint="eastAsia" w:ascii="黑体" w:hAnsi="宋体" w:eastAsia="黑体"/>
          <w:sz w:val="24"/>
        </w:rPr>
        <w:t>46．履约担保</w:t>
      </w:r>
      <w:bookmarkEnd w:id="90"/>
      <w:bookmarkEnd w:id="91"/>
      <w:bookmarkEnd w:id="92"/>
      <w:bookmarkEnd w:id="93"/>
      <w:bookmarkEnd w:id="94"/>
    </w:p>
    <w:p>
      <w:pPr>
        <w:ind w:firstLine="411" w:firstLineChars="196"/>
        <w:rPr>
          <w:rFonts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ascii="黑体" w:hAnsi="宋体" w:eastAsia="黑体"/>
          <w:sz w:val="24"/>
        </w:rPr>
      </w:pPr>
      <w:r>
        <w:rPr>
          <w:rFonts w:hint="eastAsia" w:ascii="黑体" w:hAnsi="宋体" w:eastAsia="黑体"/>
          <w:sz w:val="24"/>
        </w:rPr>
        <w:t>47. 合同备案</w:t>
      </w:r>
    </w:p>
    <w:p>
      <w:pPr>
        <w:ind w:firstLine="411" w:firstLineChars="196"/>
        <w:rPr>
          <w:rFonts w:ascii="宋体" w:hAnsi="宋体"/>
          <w:szCs w:val="21"/>
        </w:rPr>
      </w:pPr>
      <w:r>
        <w:rPr>
          <w:rFonts w:hint="eastAsia" w:ascii="宋体" w:hAnsi="宋体"/>
          <w:szCs w:val="21"/>
          <w:lang w:eastAsia="zh-Hans"/>
        </w:rPr>
        <w:t>采购人与中标供应商自中标通知书发出之日起10个工作日内签订政府采购合同，</w:t>
      </w:r>
      <w:r>
        <w:rPr>
          <w:rFonts w:hint="eastAsia" w:ascii="宋体" w:hAnsi="宋体"/>
          <w:szCs w:val="21"/>
        </w:rPr>
        <w:t>并按财政部门规定提交备案。</w:t>
      </w:r>
    </w:p>
    <w:p>
      <w:pPr>
        <w:rPr>
          <w:rFonts w:ascii="黑体" w:hAnsi="宋体" w:eastAsia="黑体"/>
          <w:sz w:val="24"/>
        </w:rPr>
      </w:pPr>
      <w:r>
        <w:rPr>
          <w:rFonts w:hint="eastAsia" w:ascii="黑体" w:hAnsi="宋体" w:eastAsia="黑体"/>
          <w:sz w:val="24"/>
        </w:rPr>
        <w:t>48. 合同变更</w:t>
      </w:r>
    </w:p>
    <w:p>
      <w:pPr>
        <w:ind w:firstLine="411" w:firstLineChars="196"/>
        <w:rPr>
          <w:rFonts w:ascii="宋体" w:hAnsi="宋体"/>
          <w:szCs w:val="21"/>
        </w:rPr>
      </w:pPr>
      <w:r>
        <w:rPr>
          <w:rFonts w:hint="eastAsia" w:ascii="宋体" w:hAnsi="宋体"/>
          <w:szCs w:val="21"/>
        </w:rPr>
        <w:t>合同变更事宜按《深圳市财政局关于优化政府采购合同备案的通知》（深财发保〔2022〕2号）相关规定执行。</w:t>
      </w:r>
    </w:p>
    <w:p>
      <w:pPr>
        <w:rPr>
          <w:rFonts w:ascii="黑体" w:hAnsi="宋体" w:eastAsia="黑体"/>
          <w:sz w:val="24"/>
        </w:rPr>
      </w:pPr>
      <w:r>
        <w:rPr>
          <w:rFonts w:hint="eastAsia" w:ascii="黑体" w:hAnsi="宋体" w:eastAsia="黑体"/>
          <w:sz w:val="24"/>
        </w:rPr>
        <w:t>49. 项目验收</w:t>
      </w:r>
    </w:p>
    <w:p>
      <w:pPr>
        <w:widowControl/>
        <w:ind w:right="176" w:firstLine="420"/>
        <w:jc w:val="left"/>
        <w:rPr>
          <w:rFonts w:ascii="宋体" w:hAnsi="宋体"/>
        </w:rPr>
      </w:pPr>
      <w:r>
        <w:rPr>
          <w:rFonts w:hint="eastAsia" w:ascii="宋体" w:hAnsi="宋体"/>
        </w:rPr>
        <w:t>49.1采购人应当按照招标文件和合同规定的标准和方法，及时组织验收。</w:t>
      </w:r>
      <w:r>
        <w:rPr>
          <w:rFonts w:ascii="宋体" w:hAnsi="宋体"/>
        </w:rPr>
        <w:t xml:space="preserve"> </w:t>
      </w:r>
    </w:p>
    <w:p>
      <w:pPr>
        <w:rPr>
          <w:rFonts w:ascii="黑体" w:hAnsi="宋体" w:eastAsia="黑体"/>
          <w:sz w:val="24"/>
        </w:rPr>
      </w:pPr>
      <w:r>
        <w:rPr>
          <w:rFonts w:hint="eastAsia" w:ascii="黑体" w:hAnsi="宋体" w:eastAsia="黑体"/>
          <w:sz w:val="24"/>
        </w:rPr>
        <w:t>50. 宣传</w:t>
      </w:r>
    </w:p>
    <w:p>
      <w:pPr>
        <w:ind w:left="210" w:leftChars="100" w:firstLine="411" w:firstLineChars="196"/>
        <w:rPr>
          <w:rFonts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ascii="宋体" w:hAnsi="宋体"/>
        </w:rPr>
      </w:pPr>
      <w:r>
        <w:rPr>
          <w:rFonts w:ascii="宋体" w:hAnsi="宋体"/>
        </w:rPr>
        <w:t>a.名片、宣传册、广告标语等；</w:t>
      </w:r>
    </w:p>
    <w:p>
      <w:pPr>
        <w:ind w:left="210" w:leftChars="100" w:firstLine="411" w:firstLineChars="196"/>
        <w:rPr>
          <w:rFonts w:ascii="宋体" w:hAnsi="宋体"/>
        </w:rPr>
      </w:pPr>
      <w:r>
        <w:rPr>
          <w:rFonts w:ascii="宋体" w:hAnsi="宋体"/>
        </w:rPr>
        <w:t>b.案例介绍、推广等；</w:t>
      </w:r>
    </w:p>
    <w:p>
      <w:pPr>
        <w:ind w:left="210" w:leftChars="100" w:firstLine="411" w:firstLineChars="196"/>
        <w:rPr>
          <w:rFonts w:ascii="宋体" w:hAnsi="宋体"/>
        </w:rPr>
      </w:pPr>
      <w:r>
        <w:rPr>
          <w:rFonts w:hint="eastAsia" w:ascii="宋体" w:hAnsi="宋体"/>
        </w:rPr>
        <w:t>c.工作</w:t>
      </w:r>
      <w:r>
        <w:rPr>
          <w:rFonts w:ascii="宋体" w:hAnsi="宋体"/>
        </w:rPr>
        <w:t>人员向其他消费群体宣传。</w:t>
      </w:r>
    </w:p>
    <w:p>
      <w:pPr>
        <w:rPr>
          <w:rFonts w:ascii="黑体" w:hAnsi="宋体" w:eastAsia="黑体"/>
          <w:sz w:val="24"/>
        </w:rPr>
      </w:pPr>
      <w:r>
        <w:rPr>
          <w:rFonts w:hint="eastAsia" w:ascii="黑体" w:hAnsi="宋体" w:eastAsia="黑体"/>
          <w:sz w:val="24"/>
        </w:rPr>
        <w:t>51. 供应商违法责任</w:t>
      </w:r>
    </w:p>
    <w:p>
      <w:pPr>
        <w:ind w:firstLine="411" w:firstLineChars="196"/>
        <w:rPr>
          <w:rFonts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ascii="宋体" w:hAnsi="宋体"/>
          <w:szCs w:val="21"/>
        </w:rPr>
      </w:pPr>
      <w:r>
        <w:rPr>
          <w:rFonts w:hint="eastAsia" w:ascii="宋体" w:hAnsi="宋体"/>
          <w:szCs w:val="21"/>
        </w:rPr>
        <w:t>（1）在采购活动中应当回避而未回避的；</w:t>
      </w:r>
    </w:p>
    <w:p>
      <w:pPr>
        <w:ind w:firstLine="411" w:firstLineChars="196"/>
        <w:rPr>
          <w:rFonts w:ascii="宋体" w:hAnsi="宋体"/>
          <w:szCs w:val="21"/>
        </w:rPr>
      </w:pPr>
      <w:r>
        <w:rPr>
          <w:rFonts w:hint="eastAsia" w:ascii="宋体" w:hAnsi="宋体"/>
          <w:szCs w:val="21"/>
        </w:rPr>
        <w:t>（2）未按本条例规定签订、履行采购合同，造成严重后果的；</w:t>
      </w:r>
    </w:p>
    <w:p>
      <w:pPr>
        <w:ind w:firstLine="411" w:firstLineChars="196"/>
        <w:rPr>
          <w:rFonts w:ascii="宋体" w:hAnsi="宋体"/>
          <w:szCs w:val="21"/>
        </w:rPr>
      </w:pPr>
      <w:r>
        <w:rPr>
          <w:rFonts w:hint="eastAsia" w:ascii="宋体" w:hAnsi="宋体"/>
          <w:szCs w:val="21"/>
        </w:rPr>
        <w:t>（3）隐瞒真实情况，提供虚假资料的；</w:t>
      </w:r>
    </w:p>
    <w:p>
      <w:pPr>
        <w:ind w:firstLine="411" w:firstLineChars="196"/>
        <w:rPr>
          <w:rFonts w:ascii="宋体" w:hAnsi="宋体"/>
          <w:szCs w:val="21"/>
        </w:rPr>
      </w:pPr>
      <w:r>
        <w:rPr>
          <w:rFonts w:hint="eastAsia" w:ascii="宋体" w:hAnsi="宋体"/>
          <w:szCs w:val="21"/>
        </w:rPr>
        <w:t>（4）以非法手段排斥其他供应商参与竞争的；</w:t>
      </w:r>
    </w:p>
    <w:p>
      <w:pPr>
        <w:ind w:firstLine="411" w:firstLineChars="196"/>
        <w:rPr>
          <w:rFonts w:ascii="宋体" w:hAnsi="宋体"/>
          <w:szCs w:val="21"/>
        </w:rPr>
      </w:pPr>
      <w:r>
        <w:rPr>
          <w:rFonts w:hint="eastAsia" w:ascii="宋体" w:hAnsi="宋体"/>
          <w:szCs w:val="21"/>
        </w:rPr>
        <w:t>（5）与其他采购参加人串通投标的；</w:t>
      </w:r>
    </w:p>
    <w:p>
      <w:pPr>
        <w:ind w:firstLine="411" w:firstLineChars="196"/>
        <w:rPr>
          <w:rFonts w:ascii="宋体" w:hAnsi="宋体"/>
          <w:szCs w:val="21"/>
        </w:rPr>
      </w:pPr>
      <w:r>
        <w:rPr>
          <w:rFonts w:hint="eastAsia" w:ascii="宋体" w:hAnsi="宋体"/>
          <w:szCs w:val="21"/>
        </w:rPr>
        <w:t>（6）恶意投诉的；</w:t>
      </w:r>
    </w:p>
    <w:p>
      <w:pPr>
        <w:ind w:firstLine="411" w:firstLineChars="196"/>
        <w:rPr>
          <w:rFonts w:ascii="宋体" w:hAnsi="宋体"/>
          <w:szCs w:val="21"/>
        </w:rPr>
      </w:pPr>
      <w:r>
        <w:rPr>
          <w:rFonts w:hint="eastAsia" w:ascii="宋体" w:hAnsi="宋体"/>
          <w:szCs w:val="21"/>
        </w:rPr>
        <w:t>（7）向采购项目相关人行贿或者提供其他不当利益的；</w:t>
      </w:r>
    </w:p>
    <w:p>
      <w:pPr>
        <w:ind w:firstLine="411" w:firstLineChars="196"/>
        <w:rPr>
          <w:rFonts w:ascii="宋体" w:hAnsi="宋体"/>
          <w:szCs w:val="21"/>
        </w:rPr>
      </w:pPr>
      <w:r>
        <w:rPr>
          <w:rFonts w:hint="eastAsia" w:ascii="宋体" w:hAnsi="宋体"/>
          <w:szCs w:val="21"/>
        </w:rPr>
        <w:t>（8）阻碍、抗拒主管部门监督检查的；</w:t>
      </w:r>
    </w:p>
    <w:p>
      <w:pPr>
        <w:ind w:firstLine="411" w:firstLineChars="196"/>
        <w:rPr>
          <w:rFonts w:ascii="宋体" w:hAnsi="宋体"/>
          <w:szCs w:val="21"/>
        </w:rPr>
      </w:pPr>
      <w:r>
        <w:rPr>
          <w:rFonts w:hint="eastAsia" w:ascii="宋体" w:hAnsi="宋体"/>
          <w:szCs w:val="21"/>
        </w:rPr>
        <w:t>（9）其他违反本条例规定的行为。</w:t>
      </w:r>
    </w:p>
    <w:p>
      <w:pPr>
        <w:ind w:firstLine="411" w:firstLineChars="196"/>
        <w:rPr>
          <w:rFonts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》（深财购〔2021〕51号）的要求，供应商在政府采购活动中出现《深圳经济特区政府采购条例实施细则》第八十条所列情形的，</w:t>
      </w:r>
      <w:bookmarkStart w:id="95" w:name="_Hlk72440769"/>
      <w:r>
        <w:rPr>
          <w:rFonts w:hint="eastAsia" w:ascii="宋体" w:hAnsi="宋体"/>
          <w:szCs w:val="21"/>
        </w:rPr>
        <w:t>政府集中采购机构或采购人不予退还其交纳的谈判保证金，情节严重的，并由主管部门</w:t>
      </w:r>
      <w:bookmarkEnd w:id="95"/>
      <w:r>
        <w:rPr>
          <w:rFonts w:hint="eastAsia" w:ascii="宋体" w:hAnsi="宋体"/>
          <w:szCs w:val="21"/>
        </w:rPr>
        <w:t>记入供应商诚信档案，予以通报：</w:t>
      </w:r>
    </w:p>
    <w:p>
      <w:pPr>
        <w:ind w:firstLine="411" w:firstLineChars="196"/>
        <w:rPr>
          <w:rFonts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w:t>
      </w:r>
      <w:r>
        <w:rPr>
          <w:rFonts w:hint="eastAsia" w:ascii="宋体" w:hAnsi="宋体"/>
          <w:szCs w:val="21"/>
          <w:lang w:eastAsia="zh-CN"/>
        </w:rPr>
        <w:t>，</w:t>
      </w:r>
      <w:r>
        <w:rPr>
          <w:rFonts w:ascii="宋体" w:hAnsi="宋体"/>
          <w:szCs w:val="21"/>
        </w:rPr>
        <w:t>或者在投标文件中未说明且未经采购人、采购招标机构同意，将中标项目分包给他人的；</w:t>
      </w:r>
    </w:p>
    <w:p>
      <w:pPr>
        <w:ind w:firstLine="411" w:firstLineChars="196"/>
        <w:rPr>
          <w:rFonts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79"/>
    <w:p>
      <w:pPr>
        <w:pStyle w:val="6"/>
        <w:numPr>
          <w:ilvl w:val="0"/>
          <w:numId w:val="14"/>
        </w:numPr>
        <w:spacing w:before="120" w:beforeLines="50" w:after="120" w:afterLines="50"/>
        <w:ind w:left="562" w:hanging="562"/>
        <w:rPr>
          <w:sz w:val="28"/>
          <w:szCs w:val="28"/>
        </w:rPr>
      </w:pPr>
      <w:r>
        <w:rPr>
          <w:rFonts w:hint="eastAsia"/>
          <w:sz w:val="28"/>
          <w:szCs w:val="28"/>
        </w:rPr>
        <w:t>质疑处理</w:t>
      </w:r>
    </w:p>
    <w:p>
      <w:pPr>
        <w:rPr>
          <w:rFonts w:ascii="黑体" w:hAnsi="宋体" w:eastAsia="黑体"/>
          <w:sz w:val="24"/>
        </w:rPr>
      </w:pPr>
      <w:bookmarkStart w:id="96" w:name="_Hlk72439706"/>
      <w:r>
        <w:rPr>
          <w:rFonts w:hint="eastAsia" w:ascii="黑体" w:hAnsi="宋体" w:eastAsia="黑体"/>
          <w:sz w:val="24"/>
        </w:rPr>
        <w:t>52.质疑提出与答复</w:t>
      </w:r>
    </w:p>
    <w:p>
      <w:pPr>
        <w:rPr>
          <w:rFonts w:ascii="宋体" w:hAnsi="宋体"/>
          <w:szCs w:val="21"/>
        </w:rPr>
      </w:pPr>
      <w:r>
        <w:rPr>
          <w:rFonts w:hint="eastAsia" w:ascii="宋体" w:hAnsi="宋体"/>
          <w:szCs w:val="21"/>
        </w:rPr>
        <w:t xml:space="preserve">    52.1提出质疑</w:t>
      </w:r>
    </w:p>
    <w:p>
      <w:pPr>
        <w:rPr>
          <w:rFonts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ascii="宋体" w:hAnsi="宋体"/>
          <w:szCs w:val="21"/>
        </w:rPr>
      </w:pPr>
      <w:r>
        <w:rPr>
          <w:rFonts w:hint="eastAsia" w:ascii="宋体" w:hAnsi="宋体"/>
          <w:szCs w:val="21"/>
        </w:rPr>
        <w:t xml:space="preserve">    52.2</w:t>
      </w:r>
      <w:r>
        <w:rPr>
          <w:rFonts w:ascii="宋体" w:hAnsi="宋体"/>
          <w:szCs w:val="21"/>
        </w:rPr>
        <w:t>法律依据</w:t>
      </w:r>
    </w:p>
    <w:p>
      <w:pPr>
        <w:rPr>
          <w:rFonts w:ascii="宋体" w:hAnsi="宋体"/>
          <w:szCs w:val="21"/>
        </w:rPr>
      </w:pPr>
      <w:r>
        <w:rPr>
          <w:rFonts w:hint="eastAsia" w:ascii="宋体" w:hAnsi="宋体"/>
          <w:szCs w:val="21"/>
        </w:rPr>
        <w:t xml:space="preserve">    《</w:t>
      </w:r>
      <w:r>
        <w:rPr>
          <w:rFonts w:hint="eastAsia" w:ascii="宋体" w:hAnsi="宋体"/>
          <w:szCs w:val="21"/>
          <w:lang w:eastAsia="zh-CN"/>
        </w:rPr>
        <w:t>中华人民共和国政府采购法</w:t>
      </w:r>
      <w:r>
        <w:rPr>
          <w:rFonts w:hint="eastAsia" w:ascii="宋体" w:hAnsi="宋体"/>
          <w:szCs w:val="21"/>
        </w:rPr>
        <w:t>》、《</w:t>
      </w:r>
      <w:r>
        <w:rPr>
          <w:rFonts w:hint="eastAsia" w:ascii="宋体" w:hAnsi="宋体"/>
          <w:szCs w:val="21"/>
          <w:lang w:eastAsia="zh-CN"/>
        </w:rPr>
        <w:t>中华人民共和国政府采购法</w:t>
      </w:r>
      <w:r>
        <w:rPr>
          <w:rFonts w:hint="eastAsia" w:ascii="宋体" w:hAnsi="宋体"/>
          <w:szCs w:val="21"/>
        </w:rPr>
        <w:t>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rPr>
          <w:rFonts w:ascii="宋体" w:hAnsi="宋体"/>
          <w:szCs w:val="21"/>
        </w:rPr>
      </w:pPr>
      <w:r>
        <w:rPr>
          <w:rFonts w:hint="eastAsia" w:ascii="宋体" w:hAnsi="宋体"/>
          <w:szCs w:val="21"/>
        </w:rPr>
        <w:t xml:space="preserve">    52.3.1提出质疑的供应商应当是参与所质疑项目采购活动的供应商；以联合体形式参与的，质疑应当由组成联合体的所有成员共同提出；</w:t>
      </w:r>
    </w:p>
    <w:p>
      <w:pPr>
        <w:rPr>
          <w:rFonts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成交）结果以及评审委员会组成人员的质疑，为中标（成交）结果公示之日；</w:t>
      </w:r>
    </w:p>
    <w:p>
      <w:pPr>
        <w:ind w:firstLine="420"/>
        <w:rPr>
          <w:rFonts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rPr>
          <w:rFonts w:ascii="宋体" w:hAnsi="宋体"/>
          <w:szCs w:val="21"/>
        </w:rPr>
      </w:pPr>
      <w:r>
        <w:rPr>
          <w:rFonts w:hint="eastAsia" w:ascii="宋体" w:hAnsi="宋体"/>
          <w:szCs w:val="21"/>
        </w:rPr>
        <w:t>（1）供应商的名称（或者姓名）、地址、邮编、邮箱、联系人及联系电话；</w:t>
      </w:r>
    </w:p>
    <w:p>
      <w:pPr>
        <w:ind w:firstLine="420" w:firstLineChars="200"/>
        <w:rPr>
          <w:rFonts w:ascii="宋体" w:hAnsi="宋体"/>
          <w:szCs w:val="21"/>
        </w:rPr>
      </w:pPr>
      <w:r>
        <w:rPr>
          <w:rFonts w:hint="eastAsia" w:ascii="宋体" w:hAnsi="宋体"/>
          <w:szCs w:val="21"/>
        </w:rPr>
        <w:t>（2）质疑项目的名称、编号；</w:t>
      </w:r>
    </w:p>
    <w:p>
      <w:pPr>
        <w:ind w:firstLine="420" w:firstLineChars="200"/>
        <w:rPr>
          <w:rFonts w:ascii="宋体" w:hAnsi="宋体"/>
          <w:szCs w:val="21"/>
        </w:rPr>
      </w:pPr>
      <w:r>
        <w:rPr>
          <w:rFonts w:hint="eastAsia" w:ascii="宋体" w:hAnsi="宋体"/>
          <w:szCs w:val="21"/>
        </w:rPr>
        <w:t>（3）具体、明确的质疑对象、质疑事项和质疑请求；</w:t>
      </w:r>
    </w:p>
    <w:p>
      <w:pPr>
        <w:ind w:firstLine="420" w:firstLineChars="200"/>
        <w:rPr>
          <w:rFonts w:ascii="宋体" w:hAnsi="宋体"/>
          <w:szCs w:val="21"/>
        </w:rPr>
      </w:pPr>
      <w:r>
        <w:rPr>
          <w:rFonts w:hint="eastAsia" w:ascii="宋体" w:hAnsi="宋体"/>
          <w:szCs w:val="21"/>
        </w:rPr>
        <w:t>（4）因质疑事项而受损害的权益；</w:t>
      </w:r>
    </w:p>
    <w:p>
      <w:pPr>
        <w:ind w:firstLine="420" w:firstLineChars="200"/>
        <w:rPr>
          <w:rFonts w:ascii="宋体" w:hAnsi="宋体"/>
          <w:szCs w:val="21"/>
        </w:rPr>
      </w:pPr>
      <w:r>
        <w:rPr>
          <w:rFonts w:hint="eastAsia" w:ascii="宋体" w:hAnsi="宋体"/>
          <w:szCs w:val="21"/>
        </w:rPr>
        <w:t>（5）事实依据；</w:t>
      </w:r>
    </w:p>
    <w:p>
      <w:pPr>
        <w:ind w:firstLine="420" w:firstLineChars="200"/>
        <w:rPr>
          <w:rFonts w:ascii="宋体" w:hAnsi="宋体"/>
          <w:szCs w:val="21"/>
        </w:rPr>
      </w:pPr>
      <w:r>
        <w:rPr>
          <w:rFonts w:hint="eastAsia" w:ascii="宋体" w:hAnsi="宋体"/>
          <w:szCs w:val="21"/>
        </w:rPr>
        <w:t>（6）必要的法律依据；</w:t>
      </w:r>
    </w:p>
    <w:p>
      <w:pPr>
        <w:ind w:firstLine="420" w:firstLineChars="200"/>
        <w:rPr>
          <w:rFonts w:ascii="宋体" w:hAnsi="宋体"/>
          <w:szCs w:val="21"/>
        </w:rPr>
      </w:pPr>
      <w:r>
        <w:rPr>
          <w:rFonts w:hint="eastAsia" w:ascii="宋体" w:hAnsi="宋体"/>
          <w:szCs w:val="21"/>
        </w:rPr>
        <w:t>（7）提出质疑的日期。</w:t>
      </w:r>
    </w:p>
    <w:p>
      <w:pPr>
        <w:ind w:firstLine="420" w:firstLineChars="200"/>
        <w:rPr>
          <w:rFonts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ascii="宋体" w:hAnsi="宋体"/>
          <w:szCs w:val="21"/>
        </w:rPr>
      </w:pPr>
      <w:r>
        <w:rPr>
          <w:rFonts w:hint="eastAsia" w:ascii="宋体" w:hAnsi="宋体"/>
          <w:szCs w:val="21"/>
        </w:rPr>
        <w:t>52.4提交</w:t>
      </w:r>
      <w:r>
        <w:rPr>
          <w:rFonts w:ascii="宋体" w:hAnsi="宋体"/>
          <w:szCs w:val="21"/>
        </w:rPr>
        <w:t>材料</w:t>
      </w:r>
    </w:p>
    <w:p>
      <w:pPr>
        <w:ind w:firstLine="420" w:firstLineChars="200"/>
        <w:rPr>
          <w:rFonts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ascii="宋体" w:hAnsi="宋体"/>
          <w:szCs w:val="21"/>
        </w:rPr>
      </w:pPr>
      <w:r>
        <w:rPr>
          <w:rFonts w:hint="eastAsia" w:ascii="宋体" w:hAnsi="宋体"/>
          <w:szCs w:val="21"/>
        </w:rPr>
        <w:t>52.5收文地点</w:t>
      </w:r>
    </w:p>
    <w:p>
      <w:pPr>
        <w:ind w:firstLine="421" w:firstLineChars="200"/>
        <w:rPr>
          <w:rFonts w:ascii="宋体" w:hAnsi="宋体"/>
          <w:b/>
          <w:bCs/>
          <w:szCs w:val="21"/>
        </w:rPr>
      </w:pPr>
      <w:r>
        <w:rPr>
          <w:rFonts w:hint="eastAsia" w:ascii="宋体" w:hAnsi="宋体"/>
          <w:b/>
          <w:bCs/>
          <w:szCs w:val="21"/>
        </w:rPr>
        <w:t>地址：深圳公共资源交易中心（深圳交易集团有限公司</w:t>
      </w:r>
      <w:r>
        <w:rPr>
          <w:rFonts w:hint="eastAsia" w:ascii="宋体" w:hAnsi="宋体"/>
          <w:b/>
          <w:bCs/>
          <w:szCs w:val="21"/>
          <w:lang w:val="en-US" w:eastAsia="zh-CN"/>
        </w:rPr>
        <w:t>龙岗</w:t>
      </w:r>
      <w:r>
        <w:rPr>
          <w:rFonts w:hint="eastAsia" w:ascii="宋体" w:hAnsi="宋体"/>
          <w:b/>
          <w:bCs/>
          <w:szCs w:val="21"/>
        </w:rPr>
        <w:t>分公司）</w:t>
      </w:r>
      <w:r>
        <w:rPr>
          <w:rFonts w:hint="eastAsia" w:ascii="宋体" w:hAnsi="宋体"/>
          <w:b/>
          <w:bCs/>
          <w:szCs w:val="21"/>
          <w:lang w:val="en-US" w:eastAsia="zh-CN"/>
        </w:rPr>
        <w:t>1</w:t>
      </w:r>
      <w:r>
        <w:rPr>
          <w:rFonts w:hint="eastAsia" w:ascii="宋体" w:hAnsi="宋体"/>
          <w:b/>
          <w:bCs/>
          <w:szCs w:val="21"/>
        </w:rPr>
        <w:t>楼，质疑咨询电话：0755-</w:t>
      </w:r>
      <w:r>
        <w:rPr>
          <w:rFonts w:hint="eastAsia" w:ascii="宋体" w:hAnsi="宋体"/>
          <w:b/>
          <w:bCs/>
          <w:szCs w:val="21"/>
          <w:lang w:val="en-US" w:eastAsia="zh-CN"/>
        </w:rPr>
        <w:t>89552611</w:t>
      </w:r>
      <w:r>
        <w:rPr>
          <w:rFonts w:hint="eastAsia" w:ascii="宋体" w:hAnsi="宋体"/>
          <w:b/>
          <w:bCs/>
          <w:szCs w:val="21"/>
        </w:rPr>
        <w:t>。</w:t>
      </w:r>
    </w:p>
    <w:p>
      <w:pPr>
        <w:ind w:firstLine="420" w:firstLineChars="200"/>
        <w:rPr>
          <w:rFonts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ascii="宋体" w:hAnsi="宋体"/>
          <w:szCs w:val="21"/>
        </w:rPr>
      </w:pPr>
      <w:r>
        <w:rPr>
          <w:rFonts w:hint="eastAsia" w:ascii="宋体" w:hAnsi="宋体"/>
          <w:szCs w:val="21"/>
        </w:rPr>
        <w:t>供应商提交的质疑存在下列情形之一的，不予受理：</w:t>
      </w:r>
    </w:p>
    <w:p>
      <w:pPr>
        <w:ind w:firstLine="420" w:firstLineChars="200"/>
        <w:rPr>
          <w:rFonts w:ascii="宋体" w:hAnsi="宋体"/>
          <w:szCs w:val="21"/>
        </w:rPr>
      </w:pPr>
      <w:r>
        <w:rPr>
          <w:rFonts w:hint="eastAsia" w:ascii="宋体" w:hAnsi="宋体"/>
          <w:szCs w:val="21"/>
        </w:rPr>
        <w:t>（1）质疑主体不满足要求的；</w:t>
      </w:r>
    </w:p>
    <w:p>
      <w:pPr>
        <w:ind w:firstLine="420" w:firstLineChars="200"/>
        <w:rPr>
          <w:rFonts w:ascii="宋体" w:hAnsi="宋体"/>
          <w:szCs w:val="21"/>
        </w:rPr>
      </w:pPr>
      <w:r>
        <w:rPr>
          <w:rFonts w:hint="eastAsia" w:ascii="宋体" w:hAnsi="宋体"/>
          <w:szCs w:val="21"/>
        </w:rPr>
        <w:t>（2）供应商自身权益未受到损害的；</w:t>
      </w:r>
    </w:p>
    <w:p>
      <w:pPr>
        <w:ind w:firstLine="420" w:firstLineChars="200"/>
        <w:rPr>
          <w:rFonts w:ascii="宋体" w:hAnsi="宋体"/>
          <w:szCs w:val="21"/>
        </w:rPr>
      </w:pPr>
      <w:r>
        <w:rPr>
          <w:rFonts w:hint="eastAsia" w:ascii="宋体" w:hAnsi="宋体"/>
          <w:szCs w:val="21"/>
        </w:rPr>
        <w:t>（3）供应商未在法定质疑期限内提出质疑的；</w:t>
      </w:r>
    </w:p>
    <w:p>
      <w:pPr>
        <w:ind w:firstLine="420" w:firstLineChars="200"/>
        <w:rPr>
          <w:rFonts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ascii="宋体" w:hAnsi="宋体"/>
          <w:szCs w:val="21"/>
        </w:rPr>
      </w:pPr>
      <w:r>
        <w:rPr>
          <w:rFonts w:hint="eastAsia" w:ascii="宋体" w:hAnsi="宋体"/>
          <w:szCs w:val="21"/>
        </w:rPr>
        <w:t>（5）其他不符合受理条件情形的。</w:t>
      </w:r>
    </w:p>
    <w:p>
      <w:pPr>
        <w:ind w:firstLine="420" w:firstLineChars="200"/>
        <w:rPr>
          <w:rFonts w:ascii="宋体" w:hAnsi="宋体"/>
          <w:szCs w:val="21"/>
        </w:rPr>
      </w:pPr>
      <w:r>
        <w:rPr>
          <w:rFonts w:hint="eastAsia" w:ascii="宋体" w:hAnsi="宋体"/>
          <w:szCs w:val="21"/>
        </w:rPr>
        <w:t>质疑事项不予受理的，政府集中采购机构应当向供应商出具不符合质疑条件告知书。</w:t>
      </w:r>
    </w:p>
    <w:p>
      <w:pPr>
        <w:rPr>
          <w:rFonts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rPr>
          <w:rFonts w:ascii="宋体" w:hAnsi="宋体"/>
          <w:szCs w:val="21"/>
        </w:rPr>
      </w:pPr>
      <w:r>
        <w:rPr>
          <w:rFonts w:hint="eastAsia" w:ascii="宋体" w:hAnsi="宋体"/>
          <w:szCs w:val="21"/>
        </w:rPr>
        <w:t xml:space="preserve">    自收文之日起七个工作日内。</w:t>
      </w:r>
    </w:p>
    <w:p>
      <w:pPr>
        <w:rPr>
          <w:rFonts w:ascii="宋体" w:hAnsi="宋体"/>
          <w:szCs w:val="21"/>
        </w:rPr>
      </w:pPr>
      <w:r>
        <w:rPr>
          <w:rFonts w:hint="eastAsia" w:ascii="宋体" w:hAnsi="宋体"/>
          <w:szCs w:val="21"/>
        </w:rPr>
        <w:t xml:space="preserve">    52.8投诉</w:t>
      </w:r>
    </w:p>
    <w:p>
      <w:pPr>
        <w:rPr>
          <w:rFonts w:ascii="宋体" w:hAnsi="宋体"/>
          <w:szCs w:val="21"/>
        </w:rPr>
      </w:pPr>
      <w:r>
        <w:rPr>
          <w:rFonts w:hint="eastAsia" w:ascii="宋体" w:hAnsi="宋体"/>
          <w:szCs w:val="21"/>
        </w:rPr>
        <w:t xml:space="preserve">    对质疑答复不满意或者未在规定时间内答复的，提出质疑的供应商可以在答复期满后15个工作日内向同级财政部门投诉。</w:t>
      </w:r>
    </w:p>
    <w:p>
      <w:pPr>
        <w:rPr>
          <w:rFonts w:ascii="黑体" w:hAnsi="宋体" w:eastAsia="黑体"/>
          <w:sz w:val="24"/>
        </w:rPr>
      </w:pPr>
      <w:r>
        <w:rPr>
          <w:rFonts w:hint="eastAsia" w:ascii="黑体" w:hAnsi="宋体" w:eastAsia="黑体"/>
          <w:sz w:val="24"/>
        </w:rPr>
        <w:t>53. 质疑后续处理</w:t>
      </w:r>
    </w:p>
    <w:p>
      <w:pPr>
        <w:rPr>
          <w:rFonts w:ascii="宋体" w:hAnsi="宋体"/>
          <w:szCs w:val="21"/>
        </w:rPr>
      </w:pPr>
      <w:r>
        <w:rPr>
          <w:rFonts w:hint="eastAsia" w:ascii="宋体" w:hAnsi="宋体"/>
          <w:szCs w:val="21"/>
        </w:rPr>
        <w:t xml:space="preserve">    53.1供应商质疑不成立，或者成立但未对中标、成交结果构成影响的，继续开展采购活动。</w:t>
      </w:r>
    </w:p>
    <w:p>
      <w:pPr>
        <w:rPr>
          <w:rFonts w:ascii="宋体" w:hAnsi="宋体"/>
          <w:szCs w:val="21"/>
        </w:rP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jc w:val="center"/>
      </w:pPr>
      <w:r>
        <w:t>---- END ----</w:t>
      </w:r>
    </w:p>
    <w:bookmarkEnd w:id="96"/>
    <w:p/>
    <w:p>
      <w:pPr>
        <w:ind w:firstLine="420" w:firstLineChars="200"/>
        <w:rPr>
          <w:rFonts w:ascii="宋体" w:hAnsi="宋体"/>
          <w:szCs w:val="21"/>
        </w:rPr>
      </w:pPr>
    </w:p>
    <w:sectPr>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DejaVu Sans"/>
    <w:panose1 w:val="020B0604020202020204"/>
    <w:charset w:val="80"/>
    <w:family w:val="swiss"/>
    <w:pitch w:val="default"/>
    <w:sig w:usb0="00000000" w:usb1="00000000" w:usb2="0000003F" w:usb3="00000000" w:csb0="003F01FF" w:csb1="00000000"/>
  </w:font>
  <w:font w:name="隶书">
    <w:altName w:val="方正隶书_GBK"/>
    <w:panose1 w:val="02010509060101010101"/>
    <w:charset w:val="86"/>
    <w:family w:val="modern"/>
    <w:pitch w:val="default"/>
    <w:sig w:usb0="00000000" w:usb1="00000000" w:usb2="00000000" w:usb3="00000000" w:csb0="00040000" w:csb1="00000000"/>
  </w:font>
  <w:font w:name="Verdana">
    <w:altName w:val="Ubuntu Light"/>
    <w:panose1 w:val="020B0604030504040204"/>
    <w:charset w:val="00"/>
    <w:family w:val="swiss"/>
    <w:pitch w:val="default"/>
    <w:sig w:usb0="00000000" w:usb1="00000000" w:usb2="00000010" w:usb3="00000000" w:csb0="2000019F" w:csb1="00000000"/>
  </w:font>
  <w:font w:name="仿宋_GB2312">
    <w:altName w:val="方正仿宋_GBK"/>
    <w:panose1 w:val="02010609030101010101"/>
    <w:charset w:val="86"/>
    <w:family w:val="modern"/>
    <w:pitch w:val="default"/>
    <w:sig w:usb0="00000000" w:usb1="00000000" w:usb2="00000000" w:usb3="00000000" w:csb0="00040000" w:csb1="00000000"/>
  </w:font>
  <w:font w:name="长城仿宋">
    <w:altName w:val="方正仿宋_GBK"/>
    <w:panose1 w:val="020B0604020202020204"/>
    <w:charset w:val="86"/>
    <w:family w:val="modern"/>
    <w:pitch w:val="default"/>
    <w:sig w:usb0="00000000" w:usb1="00000000" w:usb2="00000010" w:usb3="00000000" w:csb0="00040000" w:csb1="00000000"/>
  </w:font>
  <w:font w:name="Helvetica">
    <w:altName w:val="C059"/>
    <w:panose1 w:val="00000000000000000000"/>
    <w:charset w:val="00"/>
    <w:family w:val="auto"/>
    <w:pitch w:val="default"/>
    <w:sig w:usb0="00000000" w:usb1="00000000" w:usb2="00000000"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文鼎粗黑">
    <w:altName w:val="方正黑体_GBK"/>
    <w:panose1 w:val="020B0604020202020204"/>
    <w:charset w:val="86"/>
    <w:family w:val="modern"/>
    <w:pitch w:val="default"/>
    <w:sig w:usb0="00000000" w:usb1="00000000" w:usb2="00000010" w:usb3="00000000" w:csb0="00040000" w:csb1="00000000"/>
  </w:font>
  <w:font w:name="Arial (W1)">
    <w:altName w:val="DejaVu Sans"/>
    <w:panose1 w:val="020B0604020202020204"/>
    <w:charset w:val="00"/>
    <w:family w:val="swiss"/>
    <w:pitch w:val="default"/>
    <w:sig w:usb0="00000000" w:usb1="00000000" w:usb2="00000009" w:usb3="00000000" w:csb0="000001FF" w:csb1="00000000"/>
  </w:font>
  <w:font w:name="Cambria">
    <w:altName w:val="FreeSerif"/>
    <w:panose1 w:val="02040503050406030204"/>
    <w:charset w:val="00"/>
    <w:family w:val="roman"/>
    <w:pitch w:val="default"/>
    <w:sig w:usb0="00000000" w:usb1="00000000" w:usb2="02000000" w:usb3="00000000" w:csb0="2000019F" w:csb1="00000000"/>
  </w:font>
  <w:font w:name="ˎ̥">
    <w:altName w:val="Liberation Sans"/>
    <w:panose1 w:val="020B0604020202020204"/>
    <w:charset w:val="00"/>
    <w:family w:val="roman"/>
    <w:pitch w:val="default"/>
    <w:sig w:usb0="00000000" w:usb1="00000000" w:usb2="00000000" w:usb3="00000000" w:csb0="00000000" w:csb1="00000000"/>
  </w:font>
  <w:font w:name="??">
    <w:altName w:val="Noto Sans CJK HK Medium"/>
    <w:panose1 w:val="020B0604020202020204"/>
    <w:charset w:val="01"/>
    <w:family w:val="auto"/>
    <w:pitch w:val="default"/>
    <w:sig w:usb0="00000000" w:usb1="00000000" w:usb2="00000000" w:usb3="00000000" w:csb0="00040001" w:csb1="00000000"/>
  </w:font>
  <w:font w:name="汉仪细等线简">
    <w:altName w:val="Droid Sans Fallback"/>
    <w:panose1 w:val="020B0604020202020204"/>
    <w:charset w:val="86"/>
    <w:family w:val="modern"/>
    <w:pitch w:val="default"/>
    <w:sig w:usb0="00000000" w:usb1="00000000" w:usb2="00000012" w:usb3="00000000" w:csb0="00040000" w:csb1="00000000"/>
  </w:font>
  <w:font w:name="H Yb 2gj">
    <w:altName w:val="Droid Sans Fallback"/>
    <w:panose1 w:val="020B0604020202020204"/>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Liberation Sans">
    <w:panose1 w:val="020B0604020202020204"/>
    <w:charset w:val="00"/>
    <w:family w:val="auto"/>
    <w:pitch w:val="default"/>
    <w:sig w:usb0="A00002AF" w:usb1="500078FB" w:usb2="00000000" w:usb3="00000000" w:csb0="6000009F" w:csb1="DFD70000"/>
  </w:font>
  <w:font w:name="Droid Sans Fallback">
    <w:panose1 w:val="020B0502000000000001"/>
    <w:charset w:val="86"/>
    <w:family w:val="auto"/>
    <w:pitch w:val="default"/>
    <w:sig w:usb0="910002FF" w:usb1="2BDFFCFB" w:usb2="00000036" w:usb3="00000000" w:csb0="203F01FF" w:csb1="D7FF0000"/>
  </w:font>
  <w:font w:name="Noto Sans CJK HK Medium">
    <w:panose1 w:val="020B0600000000000000"/>
    <w:charset w:val="88"/>
    <w:family w:val="auto"/>
    <w:pitch w:val="default"/>
    <w:sig w:usb0="30000083" w:usb1="2BDF3C10" w:usb2="00000016" w:usb3="00000000" w:csb0="603A0107" w:csb1="00000000"/>
  </w:font>
  <w:font w:name="FreeSerif">
    <w:panose1 w:val="02020603050405020304"/>
    <w:charset w:val="00"/>
    <w:family w:val="auto"/>
    <w:pitch w:val="default"/>
    <w:sig w:usb0="E59FAFFF" w:usb1="C200FDFF" w:usb2="43501B29" w:usb3="04000043" w:csb0="600101FF" w:csb1="FFFF0000"/>
  </w:font>
  <w:font w:name="C059">
    <w:panose1 w:val="00000500000000000000"/>
    <w:charset w:val="00"/>
    <w:family w:val="auto"/>
    <w:pitch w:val="default"/>
    <w:sig w:usb0="00000287" w:usb1="00000800" w:usb2="00000000" w:usb3="00000000" w:csb0="6000009F" w:csb1="00000000"/>
  </w:font>
  <w:font w:name="Ubuntu Light">
    <w:panose1 w:val="020B0604030602030204"/>
    <w:charset w:val="00"/>
    <w:family w:val="auto"/>
    <w:pitch w:val="default"/>
    <w:sig w:usb0="E00002FF" w:usb1="5000205B" w:usb2="00000000" w:usb3="00000000" w:csb0="2000009F" w:csb1="56010000"/>
  </w:font>
  <w:font w:name="方正隶书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t xml:space="preserve">- </w:t>
    </w:r>
    <w:r>
      <w:fldChar w:fldCharType="begin"/>
    </w:r>
    <w:r>
      <w:instrText xml:space="preserve"> PAGE </w:instrText>
    </w:r>
    <w:r>
      <w:fldChar w:fldCharType="separate"/>
    </w:r>
    <w:r>
      <w:t>29</w:t>
    </w:r>
    <w:r>
      <w:fldChar w:fldCharType="end"/>
    </w:r>
    <w:r>
      <w:t xml:space="preserve"> -</w:t>
    </w:r>
  </w:p>
  <w:p>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7"/>
      </w:rPr>
    </w:pPr>
    <w:r>
      <w:rPr>
        <w:rStyle w:val="47"/>
      </w:rPr>
      <w:fldChar w:fldCharType="begin"/>
    </w:r>
    <w:r>
      <w:rPr>
        <w:rStyle w:val="47"/>
      </w:rPr>
      <w:instrText xml:space="preserve">PAGE  </w:instrText>
    </w:r>
    <w:r>
      <w:rPr>
        <w:rStyle w:val="47"/>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02A6DD"/>
    <w:multiLevelType w:val="singleLevel"/>
    <w:tmpl w:val="A702A6DD"/>
    <w:lvl w:ilvl="0" w:tentative="0">
      <w:start w:val="1"/>
      <w:numFmt w:val="decimal"/>
      <w:suff w:val="nothing"/>
      <w:lvlText w:val="%1、"/>
      <w:lvlJc w:val="left"/>
    </w:lvl>
  </w:abstractNum>
  <w:abstractNum w:abstractNumId="1">
    <w:nsid w:val="AE3904F8"/>
    <w:multiLevelType w:val="singleLevel"/>
    <w:tmpl w:val="AE3904F8"/>
    <w:lvl w:ilvl="0" w:tentative="0">
      <w:start w:val="1"/>
      <w:numFmt w:val="decimal"/>
      <w:suff w:val="nothing"/>
      <w:lvlText w:val="（%1）"/>
      <w:lvlJc w:val="left"/>
    </w:lvl>
  </w:abstractNum>
  <w:abstractNum w:abstractNumId="2">
    <w:nsid w:val="B4F30691"/>
    <w:multiLevelType w:val="singleLevel"/>
    <w:tmpl w:val="B4F30691"/>
    <w:lvl w:ilvl="0" w:tentative="0">
      <w:start w:val="3"/>
      <w:numFmt w:val="decimal"/>
      <w:suff w:val="nothing"/>
      <w:lvlText w:val="（%1）"/>
      <w:lvlJc w:val="left"/>
    </w:lvl>
  </w:abstractNum>
  <w:abstractNum w:abstractNumId="3">
    <w:nsid w:val="B9358C2E"/>
    <w:multiLevelType w:val="singleLevel"/>
    <w:tmpl w:val="B9358C2E"/>
    <w:lvl w:ilvl="0" w:tentative="0">
      <w:start w:val="2"/>
      <w:numFmt w:val="decimal"/>
      <w:suff w:val="nothing"/>
      <w:lvlText w:val="%1、"/>
      <w:lvlJc w:val="left"/>
    </w:lvl>
  </w:abstractNum>
  <w:abstractNum w:abstractNumId="4">
    <w:nsid w:val="E52626C2"/>
    <w:multiLevelType w:val="singleLevel"/>
    <w:tmpl w:val="E52626C2"/>
    <w:lvl w:ilvl="0" w:tentative="0">
      <w:start w:val="1"/>
      <w:numFmt w:val="decimal"/>
      <w:suff w:val="nothing"/>
      <w:lvlText w:val="（%1）"/>
      <w:lvlJc w:val="left"/>
    </w:lvl>
  </w:abstractNum>
  <w:abstractNum w:abstractNumId="5">
    <w:nsid w:val="FFFFFF7C"/>
    <w:multiLevelType w:val="singleLevel"/>
    <w:tmpl w:val="FFFFFF7C"/>
    <w:lvl w:ilvl="0" w:tentative="0">
      <w:start w:val="1"/>
      <w:numFmt w:val="decimal"/>
      <w:pStyle w:val="57"/>
      <w:lvlText w:val="%1."/>
      <w:lvlJc w:val="left"/>
      <w:pPr>
        <w:tabs>
          <w:tab w:val="left" w:pos="2040"/>
        </w:tabs>
        <w:ind w:left="2040" w:leftChars="800" w:hanging="360" w:hangingChars="200"/>
      </w:pPr>
    </w:lvl>
  </w:abstractNum>
  <w:abstractNum w:abstractNumId="6">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7">
    <w:nsid w:val="06D7FAE2"/>
    <w:multiLevelType w:val="singleLevel"/>
    <w:tmpl w:val="06D7FAE2"/>
    <w:lvl w:ilvl="0" w:tentative="0">
      <w:start w:val="1"/>
      <w:numFmt w:val="decimal"/>
      <w:suff w:val="nothing"/>
      <w:lvlText w:val="（%1）"/>
      <w:lvlJc w:val="left"/>
    </w:lvl>
  </w:abstractNum>
  <w:abstractNum w:abstractNumId="8">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2503483"/>
    <w:multiLevelType w:val="multilevel"/>
    <w:tmpl w:val="12503483"/>
    <w:lvl w:ilvl="0" w:tentative="0">
      <w:start w:val="1"/>
      <w:numFmt w:val="bullet"/>
      <w:pStyle w:val="105"/>
      <w:lvlText w:val=""/>
      <w:lvlJc w:val="left"/>
      <w:pPr>
        <w:tabs>
          <w:tab w:val="left" w:pos="420"/>
        </w:tabs>
        <w:ind w:left="420" w:hanging="420"/>
      </w:pPr>
      <w:rPr>
        <w:rFonts w:hint="default" w:ascii="Wingdings" w:hAnsi="Wingdings"/>
      </w:rPr>
    </w:lvl>
    <w:lvl w:ilvl="1" w:tentative="0">
      <w:start w:val="1"/>
      <w:numFmt w:val="bullet"/>
      <w:pStyle w:val="104"/>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160D20D0"/>
    <w:multiLevelType w:val="multilevel"/>
    <w:tmpl w:val="160D20D0"/>
    <w:lvl w:ilvl="0" w:tentative="0">
      <w:start w:val="1"/>
      <w:numFmt w:val="bullet"/>
      <w:pStyle w:val="73"/>
      <w:lvlText w:val=""/>
      <w:lvlJc w:val="left"/>
      <w:pPr>
        <w:tabs>
          <w:tab w:val="left" w:pos="840"/>
        </w:tabs>
        <w:ind w:left="840" w:hanging="420"/>
      </w:pPr>
      <w:rPr>
        <w:rFonts w:hint="default" w:ascii="Wingdings" w:hAnsi="Wingdings"/>
      </w:rPr>
    </w:lvl>
    <w:lvl w:ilvl="1" w:tentative="0">
      <w:start w:val="1"/>
      <w:numFmt w:val="bullet"/>
      <w:pStyle w:val="74"/>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1">
    <w:nsid w:val="2F395B7B"/>
    <w:multiLevelType w:val="multilevel"/>
    <w:tmpl w:val="2F395B7B"/>
    <w:lvl w:ilvl="0" w:tentative="0">
      <w:start w:val="1"/>
      <w:numFmt w:val="bullet"/>
      <w:pStyle w:val="165"/>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2">
    <w:nsid w:val="47764581"/>
    <w:multiLevelType w:val="multilevel"/>
    <w:tmpl w:val="47764581"/>
    <w:lvl w:ilvl="0" w:tentative="0">
      <w:start w:val="1"/>
      <w:numFmt w:val="decimal"/>
      <w:lvlText w:val="（%1）"/>
      <w:lvlJc w:val="left"/>
      <w:pPr>
        <w:ind w:left="860" w:hanging="440"/>
      </w:pPr>
      <w:rPr>
        <w:rFonts w:hint="eastAsia"/>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3">
    <w:nsid w:val="7AEF7716"/>
    <w:multiLevelType w:val="multilevel"/>
    <w:tmpl w:val="7AEF7716"/>
    <w:lvl w:ilvl="0" w:tentative="0">
      <w:start w:val="1"/>
      <w:numFmt w:val="chineseCountingThousand"/>
      <w:pStyle w:val="118"/>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6"/>
  </w:num>
  <w:num w:numId="2">
    <w:abstractNumId w:val="5"/>
  </w:num>
  <w:num w:numId="3">
    <w:abstractNumId w:val="10"/>
  </w:num>
  <w:num w:numId="4">
    <w:abstractNumId w:val="9"/>
  </w:num>
  <w:num w:numId="5">
    <w:abstractNumId w:val="13"/>
  </w:num>
  <w:num w:numId="6">
    <w:abstractNumId w:val="11"/>
  </w:num>
  <w:num w:numId="7">
    <w:abstractNumId w:val="7"/>
  </w:num>
  <w:num w:numId="8">
    <w:abstractNumId w:val="1"/>
  </w:num>
  <w:num w:numId="9">
    <w:abstractNumId w:val="4"/>
  </w:num>
  <w:num w:numId="10">
    <w:abstractNumId w:val="2"/>
  </w:num>
  <w:num w:numId="11">
    <w:abstractNumId w:val="12"/>
  </w:num>
  <w:num w:numId="12">
    <w:abstractNumId w:val="0"/>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hZWU1MjBmMTExOTQ3MjdkYzdiNjNmMWNhOTQxNGIifQ=="/>
    <w:docVar w:name="KSO_WPS_MARK_KEY" w:val="6b998454-020b-41f4-ae86-dd56a9042ffb"/>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1EA6"/>
    <w:rsid w:val="00012B21"/>
    <w:rsid w:val="0001300F"/>
    <w:rsid w:val="00013262"/>
    <w:rsid w:val="0001480D"/>
    <w:rsid w:val="00014A5C"/>
    <w:rsid w:val="00015388"/>
    <w:rsid w:val="00015BDD"/>
    <w:rsid w:val="00015C88"/>
    <w:rsid w:val="00016D97"/>
    <w:rsid w:val="0001716B"/>
    <w:rsid w:val="00017F81"/>
    <w:rsid w:val="00020691"/>
    <w:rsid w:val="000211EA"/>
    <w:rsid w:val="000234B2"/>
    <w:rsid w:val="00025AE4"/>
    <w:rsid w:val="0002684B"/>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CD1"/>
    <w:rsid w:val="00036A2B"/>
    <w:rsid w:val="000377D2"/>
    <w:rsid w:val="00040D3C"/>
    <w:rsid w:val="00040E5A"/>
    <w:rsid w:val="00042897"/>
    <w:rsid w:val="00042C84"/>
    <w:rsid w:val="00043739"/>
    <w:rsid w:val="00043A89"/>
    <w:rsid w:val="00045739"/>
    <w:rsid w:val="00046D30"/>
    <w:rsid w:val="000510B6"/>
    <w:rsid w:val="00051133"/>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335B"/>
    <w:rsid w:val="00063C25"/>
    <w:rsid w:val="00064231"/>
    <w:rsid w:val="00064892"/>
    <w:rsid w:val="00064C7A"/>
    <w:rsid w:val="00066026"/>
    <w:rsid w:val="000661FF"/>
    <w:rsid w:val="00066537"/>
    <w:rsid w:val="0006660A"/>
    <w:rsid w:val="0006670C"/>
    <w:rsid w:val="00067960"/>
    <w:rsid w:val="0007003A"/>
    <w:rsid w:val="00070210"/>
    <w:rsid w:val="000707BF"/>
    <w:rsid w:val="0007277D"/>
    <w:rsid w:val="000734CD"/>
    <w:rsid w:val="00074403"/>
    <w:rsid w:val="00074CF0"/>
    <w:rsid w:val="000750DC"/>
    <w:rsid w:val="0007583C"/>
    <w:rsid w:val="00076057"/>
    <w:rsid w:val="000770EC"/>
    <w:rsid w:val="00081E95"/>
    <w:rsid w:val="00082667"/>
    <w:rsid w:val="00082AD2"/>
    <w:rsid w:val="00083DC6"/>
    <w:rsid w:val="000840D4"/>
    <w:rsid w:val="00084857"/>
    <w:rsid w:val="00084F26"/>
    <w:rsid w:val="0008503C"/>
    <w:rsid w:val="000850AF"/>
    <w:rsid w:val="000852EB"/>
    <w:rsid w:val="00086539"/>
    <w:rsid w:val="000869D8"/>
    <w:rsid w:val="00086CA6"/>
    <w:rsid w:val="00090213"/>
    <w:rsid w:val="000903AC"/>
    <w:rsid w:val="00092FC7"/>
    <w:rsid w:val="00093133"/>
    <w:rsid w:val="0009395E"/>
    <w:rsid w:val="00094603"/>
    <w:rsid w:val="000954D5"/>
    <w:rsid w:val="00095723"/>
    <w:rsid w:val="0009618D"/>
    <w:rsid w:val="0009709B"/>
    <w:rsid w:val="000975E3"/>
    <w:rsid w:val="00097DDA"/>
    <w:rsid w:val="000A1DD1"/>
    <w:rsid w:val="000A21A5"/>
    <w:rsid w:val="000A30BA"/>
    <w:rsid w:val="000A3908"/>
    <w:rsid w:val="000A4C29"/>
    <w:rsid w:val="000A5EA4"/>
    <w:rsid w:val="000A6E2B"/>
    <w:rsid w:val="000A79D3"/>
    <w:rsid w:val="000B05E2"/>
    <w:rsid w:val="000B0C99"/>
    <w:rsid w:val="000B0F8B"/>
    <w:rsid w:val="000B2213"/>
    <w:rsid w:val="000B2568"/>
    <w:rsid w:val="000B41BB"/>
    <w:rsid w:val="000B5357"/>
    <w:rsid w:val="000B5853"/>
    <w:rsid w:val="000B597F"/>
    <w:rsid w:val="000B634D"/>
    <w:rsid w:val="000B7465"/>
    <w:rsid w:val="000C14CB"/>
    <w:rsid w:val="000C18BC"/>
    <w:rsid w:val="000C1EE4"/>
    <w:rsid w:val="000C1FF9"/>
    <w:rsid w:val="000C21C4"/>
    <w:rsid w:val="000C4151"/>
    <w:rsid w:val="000C4425"/>
    <w:rsid w:val="000C4B12"/>
    <w:rsid w:val="000C4FCB"/>
    <w:rsid w:val="000C5EA0"/>
    <w:rsid w:val="000C5FA7"/>
    <w:rsid w:val="000C7E71"/>
    <w:rsid w:val="000D16AA"/>
    <w:rsid w:val="000D1A7D"/>
    <w:rsid w:val="000D2309"/>
    <w:rsid w:val="000D2CCA"/>
    <w:rsid w:val="000D366B"/>
    <w:rsid w:val="000D38F9"/>
    <w:rsid w:val="000D5D6B"/>
    <w:rsid w:val="000D62C8"/>
    <w:rsid w:val="000D7A20"/>
    <w:rsid w:val="000E0BFC"/>
    <w:rsid w:val="000E161C"/>
    <w:rsid w:val="000E2130"/>
    <w:rsid w:val="000E266E"/>
    <w:rsid w:val="000E2B61"/>
    <w:rsid w:val="000E470B"/>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425"/>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1A5"/>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2FD3"/>
    <w:rsid w:val="00133A61"/>
    <w:rsid w:val="001341E8"/>
    <w:rsid w:val="001362BD"/>
    <w:rsid w:val="0013673A"/>
    <w:rsid w:val="00137F86"/>
    <w:rsid w:val="001410EB"/>
    <w:rsid w:val="00141B41"/>
    <w:rsid w:val="00143554"/>
    <w:rsid w:val="00143653"/>
    <w:rsid w:val="00143934"/>
    <w:rsid w:val="00143B3A"/>
    <w:rsid w:val="00143E43"/>
    <w:rsid w:val="00143FFC"/>
    <w:rsid w:val="001453B3"/>
    <w:rsid w:val="00146ABB"/>
    <w:rsid w:val="00147338"/>
    <w:rsid w:val="00147A48"/>
    <w:rsid w:val="00150143"/>
    <w:rsid w:val="001509AB"/>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1A7A"/>
    <w:rsid w:val="0018261B"/>
    <w:rsid w:val="001834A7"/>
    <w:rsid w:val="0018373B"/>
    <w:rsid w:val="00183B40"/>
    <w:rsid w:val="00183C79"/>
    <w:rsid w:val="00183C8B"/>
    <w:rsid w:val="00183E75"/>
    <w:rsid w:val="001845CF"/>
    <w:rsid w:val="00185A98"/>
    <w:rsid w:val="001865BB"/>
    <w:rsid w:val="00187518"/>
    <w:rsid w:val="00187743"/>
    <w:rsid w:val="00187CEC"/>
    <w:rsid w:val="0019096C"/>
    <w:rsid w:val="00191EA7"/>
    <w:rsid w:val="00192164"/>
    <w:rsid w:val="00193EB7"/>
    <w:rsid w:val="00194ACA"/>
    <w:rsid w:val="00194C98"/>
    <w:rsid w:val="00194FB7"/>
    <w:rsid w:val="00196B4E"/>
    <w:rsid w:val="001975A1"/>
    <w:rsid w:val="001A027A"/>
    <w:rsid w:val="001A08E4"/>
    <w:rsid w:val="001A0D2C"/>
    <w:rsid w:val="001A11D8"/>
    <w:rsid w:val="001A12B5"/>
    <w:rsid w:val="001A174B"/>
    <w:rsid w:val="001A1C72"/>
    <w:rsid w:val="001A2976"/>
    <w:rsid w:val="001A3980"/>
    <w:rsid w:val="001A422B"/>
    <w:rsid w:val="001A440A"/>
    <w:rsid w:val="001A47C6"/>
    <w:rsid w:val="001A4A55"/>
    <w:rsid w:val="001A5C6F"/>
    <w:rsid w:val="001A6A4F"/>
    <w:rsid w:val="001A76B7"/>
    <w:rsid w:val="001B015C"/>
    <w:rsid w:val="001B1339"/>
    <w:rsid w:val="001B1B58"/>
    <w:rsid w:val="001B1F55"/>
    <w:rsid w:val="001B2049"/>
    <w:rsid w:val="001B2934"/>
    <w:rsid w:val="001B4A37"/>
    <w:rsid w:val="001B4BB2"/>
    <w:rsid w:val="001B6FAD"/>
    <w:rsid w:val="001C04B2"/>
    <w:rsid w:val="001C1FDE"/>
    <w:rsid w:val="001C2063"/>
    <w:rsid w:val="001C21E1"/>
    <w:rsid w:val="001C3426"/>
    <w:rsid w:val="001C4768"/>
    <w:rsid w:val="001C5839"/>
    <w:rsid w:val="001C6431"/>
    <w:rsid w:val="001C6AF6"/>
    <w:rsid w:val="001C7129"/>
    <w:rsid w:val="001C77E1"/>
    <w:rsid w:val="001C7ADA"/>
    <w:rsid w:val="001D0FD3"/>
    <w:rsid w:val="001D121D"/>
    <w:rsid w:val="001D1C29"/>
    <w:rsid w:val="001D3543"/>
    <w:rsid w:val="001D35FD"/>
    <w:rsid w:val="001D3B85"/>
    <w:rsid w:val="001D3DF1"/>
    <w:rsid w:val="001D4151"/>
    <w:rsid w:val="001D4BB9"/>
    <w:rsid w:val="001D501B"/>
    <w:rsid w:val="001D58E5"/>
    <w:rsid w:val="001D5EAE"/>
    <w:rsid w:val="001E07AA"/>
    <w:rsid w:val="001E0FAB"/>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41B9"/>
    <w:rsid w:val="001F4BE8"/>
    <w:rsid w:val="001F4EB8"/>
    <w:rsid w:val="001F560A"/>
    <w:rsid w:val="001F6318"/>
    <w:rsid w:val="001F65B1"/>
    <w:rsid w:val="001F6B83"/>
    <w:rsid w:val="001F6F6A"/>
    <w:rsid w:val="001F7595"/>
    <w:rsid w:val="001F7EF6"/>
    <w:rsid w:val="001F7FE7"/>
    <w:rsid w:val="002000B8"/>
    <w:rsid w:val="00200B4C"/>
    <w:rsid w:val="0020303B"/>
    <w:rsid w:val="00203267"/>
    <w:rsid w:val="00203897"/>
    <w:rsid w:val="0020391D"/>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67D"/>
    <w:rsid w:val="002166A1"/>
    <w:rsid w:val="002166A6"/>
    <w:rsid w:val="00216BB6"/>
    <w:rsid w:val="0022048B"/>
    <w:rsid w:val="0022175C"/>
    <w:rsid w:val="00221D76"/>
    <w:rsid w:val="00222261"/>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4711"/>
    <w:rsid w:val="00244AE4"/>
    <w:rsid w:val="00244D37"/>
    <w:rsid w:val="00245EBE"/>
    <w:rsid w:val="00246C63"/>
    <w:rsid w:val="002472C1"/>
    <w:rsid w:val="002473F4"/>
    <w:rsid w:val="00250600"/>
    <w:rsid w:val="002506E1"/>
    <w:rsid w:val="00250F42"/>
    <w:rsid w:val="00252934"/>
    <w:rsid w:val="00252EBA"/>
    <w:rsid w:val="0025361A"/>
    <w:rsid w:val="002545EF"/>
    <w:rsid w:val="00254B44"/>
    <w:rsid w:val="00254E99"/>
    <w:rsid w:val="00255B9B"/>
    <w:rsid w:val="002562E9"/>
    <w:rsid w:val="00256596"/>
    <w:rsid w:val="0026027A"/>
    <w:rsid w:val="00260533"/>
    <w:rsid w:val="002605CE"/>
    <w:rsid w:val="00261367"/>
    <w:rsid w:val="00261A54"/>
    <w:rsid w:val="00261C21"/>
    <w:rsid w:val="00261D37"/>
    <w:rsid w:val="00262D6B"/>
    <w:rsid w:val="00262ED0"/>
    <w:rsid w:val="00263607"/>
    <w:rsid w:val="002638EE"/>
    <w:rsid w:val="00264965"/>
    <w:rsid w:val="002656E1"/>
    <w:rsid w:val="00265CFF"/>
    <w:rsid w:val="002662AC"/>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3488"/>
    <w:rsid w:val="002835B7"/>
    <w:rsid w:val="0028361E"/>
    <w:rsid w:val="00284B7C"/>
    <w:rsid w:val="00284C1F"/>
    <w:rsid w:val="002851AF"/>
    <w:rsid w:val="00286129"/>
    <w:rsid w:val="00287195"/>
    <w:rsid w:val="0028787B"/>
    <w:rsid w:val="00287E1B"/>
    <w:rsid w:val="00290263"/>
    <w:rsid w:val="002908A7"/>
    <w:rsid w:val="00291768"/>
    <w:rsid w:val="00291796"/>
    <w:rsid w:val="00292C52"/>
    <w:rsid w:val="00292F66"/>
    <w:rsid w:val="0029315D"/>
    <w:rsid w:val="00293A33"/>
    <w:rsid w:val="0029449E"/>
    <w:rsid w:val="0029488D"/>
    <w:rsid w:val="00294E82"/>
    <w:rsid w:val="002951FD"/>
    <w:rsid w:val="0029530C"/>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B0660"/>
    <w:rsid w:val="002B1286"/>
    <w:rsid w:val="002B18D6"/>
    <w:rsid w:val="002B1B98"/>
    <w:rsid w:val="002B22D4"/>
    <w:rsid w:val="002B3259"/>
    <w:rsid w:val="002B3984"/>
    <w:rsid w:val="002B4595"/>
    <w:rsid w:val="002B45EE"/>
    <w:rsid w:val="002B4BF3"/>
    <w:rsid w:val="002B55C8"/>
    <w:rsid w:val="002B5E4B"/>
    <w:rsid w:val="002B660D"/>
    <w:rsid w:val="002B7969"/>
    <w:rsid w:val="002C0031"/>
    <w:rsid w:val="002C0485"/>
    <w:rsid w:val="002C0762"/>
    <w:rsid w:val="002C0C86"/>
    <w:rsid w:val="002C1397"/>
    <w:rsid w:val="002C257A"/>
    <w:rsid w:val="002C2BEC"/>
    <w:rsid w:val="002C30C0"/>
    <w:rsid w:val="002C4F4B"/>
    <w:rsid w:val="002C6EC0"/>
    <w:rsid w:val="002C7A58"/>
    <w:rsid w:val="002D0356"/>
    <w:rsid w:val="002D07C0"/>
    <w:rsid w:val="002D0F98"/>
    <w:rsid w:val="002D1DFB"/>
    <w:rsid w:val="002D45BF"/>
    <w:rsid w:val="002D4A85"/>
    <w:rsid w:val="002D4B65"/>
    <w:rsid w:val="002D6162"/>
    <w:rsid w:val="002D64DF"/>
    <w:rsid w:val="002D71EF"/>
    <w:rsid w:val="002E00F3"/>
    <w:rsid w:val="002E242E"/>
    <w:rsid w:val="002E255F"/>
    <w:rsid w:val="002E2CED"/>
    <w:rsid w:val="002E2FEC"/>
    <w:rsid w:val="002E38DB"/>
    <w:rsid w:val="002E4AB1"/>
    <w:rsid w:val="002E4F8A"/>
    <w:rsid w:val="002E505D"/>
    <w:rsid w:val="002E73B8"/>
    <w:rsid w:val="002F0823"/>
    <w:rsid w:val="002F0F0F"/>
    <w:rsid w:val="002F113B"/>
    <w:rsid w:val="002F2471"/>
    <w:rsid w:val="002F2B7A"/>
    <w:rsid w:val="002F3105"/>
    <w:rsid w:val="002F4864"/>
    <w:rsid w:val="002F5E6C"/>
    <w:rsid w:val="002F6AFD"/>
    <w:rsid w:val="002F6DD7"/>
    <w:rsid w:val="002F72FF"/>
    <w:rsid w:val="002F7987"/>
    <w:rsid w:val="002F79D4"/>
    <w:rsid w:val="003005C9"/>
    <w:rsid w:val="00300BF3"/>
    <w:rsid w:val="0030143F"/>
    <w:rsid w:val="00301BCD"/>
    <w:rsid w:val="003024C7"/>
    <w:rsid w:val="00303636"/>
    <w:rsid w:val="00303ACF"/>
    <w:rsid w:val="0030463E"/>
    <w:rsid w:val="003047AB"/>
    <w:rsid w:val="00304ED6"/>
    <w:rsid w:val="0030661C"/>
    <w:rsid w:val="00306D5D"/>
    <w:rsid w:val="00306FF4"/>
    <w:rsid w:val="003074C6"/>
    <w:rsid w:val="00307A08"/>
    <w:rsid w:val="0031060A"/>
    <w:rsid w:val="00310EE1"/>
    <w:rsid w:val="003122B0"/>
    <w:rsid w:val="00312390"/>
    <w:rsid w:val="003138EB"/>
    <w:rsid w:val="003139DD"/>
    <w:rsid w:val="0031450D"/>
    <w:rsid w:val="00315880"/>
    <w:rsid w:val="00315A06"/>
    <w:rsid w:val="0031678B"/>
    <w:rsid w:val="0031683C"/>
    <w:rsid w:val="00317101"/>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15FB"/>
    <w:rsid w:val="003318A6"/>
    <w:rsid w:val="00331D51"/>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B62"/>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082"/>
    <w:rsid w:val="00360494"/>
    <w:rsid w:val="00360C00"/>
    <w:rsid w:val="00360E7E"/>
    <w:rsid w:val="00361935"/>
    <w:rsid w:val="003626AE"/>
    <w:rsid w:val="003632AA"/>
    <w:rsid w:val="0036508D"/>
    <w:rsid w:val="003651C8"/>
    <w:rsid w:val="0036548D"/>
    <w:rsid w:val="003660AE"/>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FA4"/>
    <w:rsid w:val="003756C6"/>
    <w:rsid w:val="00375EFF"/>
    <w:rsid w:val="00376E35"/>
    <w:rsid w:val="003773E4"/>
    <w:rsid w:val="00377F6C"/>
    <w:rsid w:val="00380094"/>
    <w:rsid w:val="00380256"/>
    <w:rsid w:val="0038165D"/>
    <w:rsid w:val="00381812"/>
    <w:rsid w:val="00383071"/>
    <w:rsid w:val="00383BBC"/>
    <w:rsid w:val="0038418D"/>
    <w:rsid w:val="003849DF"/>
    <w:rsid w:val="00385444"/>
    <w:rsid w:val="00385717"/>
    <w:rsid w:val="00385C8D"/>
    <w:rsid w:val="00385F39"/>
    <w:rsid w:val="00386070"/>
    <w:rsid w:val="003900A5"/>
    <w:rsid w:val="00390941"/>
    <w:rsid w:val="003917AD"/>
    <w:rsid w:val="00391FAB"/>
    <w:rsid w:val="00392539"/>
    <w:rsid w:val="00392677"/>
    <w:rsid w:val="00393431"/>
    <w:rsid w:val="00393633"/>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298"/>
    <w:rsid w:val="003A3304"/>
    <w:rsid w:val="003A3551"/>
    <w:rsid w:val="003A38F0"/>
    <w:rsid w:val="003A443D"/>
    <w:rsid w:val="003A4708"/>
    <w:rsid w:val="003A4BAB"/>
    <w:rsid w:val="003A6A5A"/>
    <w:rsid w:val="003A72E9"/>
    <w:rsid w:val="003B06AD"/>
    <w:rsid w:val="003B06B9"/>
    <w:rsid w:val="003B0979"/>
    <w:rsid w:val="003B15E9"/>
    <w:rsid w:val="003B175A"/>
    <w:rsid w:val="003B3231"/>
    <w:rsid w:val="003B357A"/>
    <w:rsid w:val="003B4714"/>
    <w:rsid w:val="003B499C"/>
    <w:rsid w:val="003B4CCD"/>
    <w:rsid w:val="003B53D4"/>
    <w:rsid w:val="003B7298"/>
    <w:rsid w:val="003C0036"/>
    <w:rsid w:val="003C0FF8"/>
    <w:rsid w:val="003C43DA"/>
    <w:rsid w:val="003C4FD5"/>
    <w:rsid w:val="003C5585"/>
    <w:rsid w:val="003C57DD"/>
    <w:rsid w:val="003C582B"/>
    <w:rsid w:val="003C614D"/>
    <w:rsid w:val="003C77E9"/>
    <w:rsid w:val="003D152F"/>
    <w:rsid w:val="003D19EE"/>
    <w:rsid w:val="003D2333"/>
    <w:rsid w:val="003D2374"/>
    <w:rsid w:val="003D2B3A"/>
    <w:rsid w:val="003D3241"/>
    <w:rsid w:val="003D4804"/>
    <w:rsid w:val="003D5413"/>
    <w:rsid w:val="003D73E4"/>
    <w:rsid w:val="003D7685"/>
    <w:rsid w:val="003D7E9A"/>
    <w:rsid w:val="003E0366"/>
    <w:rsid w:val="003E100C"/>
    <w:rsid w:val="003E1678"/>
    <w:rsid w:val="003E2FFE"/>
    <w:rsid w:val="003E37AA"/>
    <w:rsid w:val="003E37BB"/>
    <w:rsid w:val="003E3871"/>
    <w:rsid w:val="003E411A"/>
    <w:rsid w:val="003E4310"/>
    <w:rsid w:val="003E47DE"/>
    <w:rsid w:val="003E4FFA"/>
    <w:rsid w:val="003E6E11"/>
    <w:rsid w:val="003E7BA8"/>
    <w:rsid w:val="003F0536"/>
    <w:rsid w:val="003F10D3"/>
    <w:rsid w:val="003F1548"/>
    <w:rsid w:val="003F2B3D"/>
    <w:rsid w:val="003F2EDF"/>
    <w:rsid w:val="003F3105"/>
    <w:rsid w:val="003F3BBA"/>
    <w:rsid w:val="003F3C44"/>
    <w:rsid w:val="003F4172"/>
    <w:rsid w:val="003F4249"/>
    <w:rsid w:val="003F4E3B"/>
    <w:rsid w:val="003F5086"/>
    <w:rsid w:val="003F5108"/>
    <w:rsid w:val="003F5D2C"/>
    <w:rsid w:val="003F64BC"/>
    <w:rsid w:val="003F6CAF"/>
    <w:rsid w:val="003F7679"/>
    <w:rsid w:val="004001D3"/>
    <w:rsid w:val="00400C13"/>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96"/>
    <w:rsid w:val="00411B37"/>
    <w:rsid w:val="004125ED"/>
    <w:rsid w:val="00412B4D"/>
    <w:rsid w:val="00413B39"/>
    <w:rsid w:val="00413D4D"/>
    <w:rsid w:val="0041450E"/>
    <w:rsid w:val="0041456E"/>
    <w:rsid w:val="00414BE5"/>
    <w:rsid w:val="00415370"/>
    <w:rsid w:val="00415781"/>
    <w:rsid w:val="00416485"/>
    <w:rsid w:val="00416F40"/>
    <w:rsid w:val="00417769"/>
    <w:rsid w:val="00417F0D"/>
    <w:rsid w:val="00421795"/>
    <w:rsid w:val="00421EF2"/>
    <w:rsid w:val="00422668"/>
    <w:rsid w:val="00424CE6"/>
    <w:rsid w:val="004252CD"/>
    <w:rsid w:val="0042602D"/>
    <w:rsid w:val="00427004"/>
    <w:rsid w:val="0042772E"/>
    <w:rsid w:val="00430CF3"/>
    <w:rsid w:val="00431AC1"/>
    <w:rsid w:val="00431DE1"/>
    <w:rsid w:val="004329C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FA3"/>
    <w:rsid w:val="00446553"/>
    <w:rsid w:val="004466DA"/>
    <w:rsid w:val="00446A92"/>
    <w:rsid w:val="00446CEB"/>
    <w:rsid w:val="00447664"/>
    <w:rsid w:val="004501B4"/>
    <w:rsid w:val="0045082F"/>
    <w:rsid w:val="00450C00"/>
    <w:rsid w:val="0045135E"/>
    <w:rsid w:val="004522E5"/>
    <w:rsid w:val="00452434"/>
    <w:rsid w:val="00452C53"/>
    <w:rsid w:val="004539C7"/>
    <w:rsid w:val="00453F8A"/>
    <w:rsid w:val="00454597"/>
    <w:rsid w:val="004548E6"/>
    <w:rsid w:val="0045543A"/>
    <w:rsid w:val="00455880"/>
    <w:rsid w:val="00455D1D"/>
    <w:rsid w:val="004561F9"/>
    <w:rsid w:val="0045637C"/>
    <w:rsid w:val="004569A3"/>
    <w:rsid w:val="00456A7F"/>
    <w:rsid w:val="004578ED"/>
    <w:rsid w:val="004611B6"/>
    <w:rsid w:val="00461997"/>
    <w:rsid w:val="00463F8B"/>
    <w:rsid w:val="004649AD"/>
    <w:rsid w:val="004650E7"/>
    <w:rsid w:val="0046687B"/>
    <w:rsid w:val="004674FB"/>
    <w:rsid w:val="00470418"/>
    <w:rsid w:val="004704DA"/>
    <w:rsid w:val="004704EA"/>
    <w:rsid w:val="0047056A"/>
    <w:rsid w:val="0047071D"/>
    <w:rsid w:val="00471464"/>
    <w:rsid w:val="004727C4"/>
    <w:rsid w:val="00473579"/>
    <w:rsid w:val="00474E5A"/>
    <w:rsid w:val="004754AE"/>
    <w:rsid w:val="0047558F"/>
    <w:rsid w:val="0047561A"/>
    <w:rsid w:val="00475FD5"/>
    <w:rsid w:val="0047770B"/>
    <w:rsid w:val="00477AFC"/>
    <w:rsid w:val="004812F4"/>
    <w:rsid w:val="0048231B"/>
    <w:rsid w:val="00482BD9"/>
    <w:rsid w:val="004838D4"/>
    <w:rsid w:val="004845AC"/>
    <w:rsid w:val="00484C31"/>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56A"/>
    <w:rsid w:val="004A2B7A"/>
    <w:rsid w:val="004A3EB3"/>
    <w:rsid w:val="004A4377"/>
    <w:rsid w:val="004A4A51"/>
    <w:rsid w:val="004A57EB"/>
    <w:rsid w:val="004A5824"/>
    <w:rsid w:val="004A59D3"/>
    <w:rsid w:val="004A6D7C"/>
    <w:rsid w:val="004A6F11"/>
    <w:rsid w:val="004A74DD"/>
    <w:rsid w:val="004A7855"/>
    <w:rsid w:val="004B00D1"/>
    <w:rsid w:val="004B0B57"/>
    <w:rsid w:val="004B1278"/>
    <w:rsid w:val="004B1CAB"/>
    <w:rsid w:val="004B2FF9"/>
    <w:rsid w:val="004B3506"/>
    <w:rsid w:val="004B36ED"/>
    <w:rsid w:val="004B3D73"/>
    <w:rsid w:val="004B40DB"/>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1240"/>
    <w:rsid w:val="004D133B"/>
    <w:rsid w:val="004D49EE"/>
    <w:rsid w:val="004D4AE0"/>
    <w:rsid w:val="004D4C0B"/>
    <w:rsid w:val="004D512D"/>
    <w:rsid w:val="004D5685"/>
    <w:rsid w:val="004D6042"/>
    <w:rsid w:val="004D62C0"/>
    <w:rsid w:val="004D69FC"/>
    <w:rsid w:val="004D77BD"/>
    <w:rsid w:val="004D77DE"/>
    <w:rsid w:val="004D7BF4"/>
    <w:rsid w:val="004D7C92"/>
    <w:rsid w:val="004E0D46"/>
    <w:rsid w:val="004E295C"/>
    <w:rsid w:val="004E38B2"/>
    <w:rsid w:val="004E3936"/>
    <w:rsid w:val="004E4277"/>
    <w:rsid w:val="004E490B"/>
    <w:rsid w:val="004E57F7"/>
    <w:rsid w:val="004E5D9C"/>
    <w:rsid w:val="004E6707"/>
    <w:rsid w:val="004E6985"/>
    <w:rsid w:val="004E6B8E"/>
    <w:rsid w:val="004F0543"/>
    <w:rsid w:val="004F126D"/>
    <w:rsid w:val="004F2385"/>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405F"/>
    <w:rsid w:val="0051444F"/>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4853"/>
    <w:rsid w:val="00544CA5"/>
    <w:rsid w:val="005450E2"/>
    <w:rsid w:val="00545B19"/>
    <w:rsid w:val="005470DD"/>
    <w:rsid w:val="005476CE"/>
    <w:rsid w:val="0055035F"/>
    <w:rsid w:val="005507FD"/>
    <w:rsid w:val="005511C0"/>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1923"/>
    <w:rsid w:val="005622F8"/>
    <w:rsid w:val="0056310A"/>
    <w:rsid w:val="00563236"/>
    <w:rsid w:val="0056336F"/>
    <w:rsid w:val="005636C6"/>
    <w:rsid w:val="00565366"/>
    <w:rsid w:val="00565AF7"/>
    <w:rsid w:val="0057046F"/>
    <w:rsid w:val="00570C34"/>
    <w:rsid w:val="00571020"/>
    <w:rsid w:val="0057189C"/>
    <w:rsid w:val="00571BD2"/>
    <w:rsid w:val="00571CD7"/>
    <w:rsid w:val="00571D59"/>
    <w:rsid w:val="00572E3E"/>
    <w:rsid w:val="005732E0"/>
    <w:rsid w:val="005738F7"/>
    <w:rsid w:val="0057420B"/>
    <w:rsid w:val="005756C1"/>
    <w:rsid w:val="0057593B"/>
    <w:rsid w:val="005761CB"/>
    <w:rsid w:val="0057799B"/>
    <w:rsid w:val="00580280"/>
    <w:rsid w:val="00580B9E"/>
    <w:rsid w:val="0058135A"/>
    <w:rsid w:val="00583358"/>
    <w:rsid w:val="005839BF"/>
    <w:rsid w:val="00584058"/>
    <w:rsid w:val="005844A5"/>
    <w:rsid w:val="005846B4"/>
    <w:rsid w:val="005850E5"/>
    <w:rsid w:val="005851E0"/>
    <w:rsid w:val="00585571"/>
    <w:rsid w:val="005856F9"/>
    <w:rsid w:val="00585B91"/>
    <w:rsid w:val="00586BF1"/>
    <w:rsid w:val="00587DC4"/>
    <w:rsid w:val="005903E4"/>
    <w:rsid w:val="005907D5"/>
    <w:rsid w:val="00590941"/>
    <w:rsid w:val="005913EE"/>
    <w:rsid w:val="00592461"/>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C14"/>
    <w:rsid w:val="005A7C48"/>
    <w:rsid w:val="005A7DBE"/>
    <w:rsid w:val="005A7E1A"/>
    <w:rsid w:val="005B0476"/>
    <w:rsid w:val="005B1482"/>
    <w:rsid w:val="005B152C"/>
    <w:rsid w:val="005B1C64"/>
    <w:rsid w:val="005B1DE8"/>
    <w:rsid w:val="005B2590"/>
    <w:rsid w:val="005B25BC"/>
    <w:rsid w:val="005B2807"/>
    <w:rsid w:val="005B3606"/>
    <w:rsid w:val="005B3BFF"/>
    <w:rsid w:val="005B3E08"/>
    <w:rsid w:val="005B49B6"/>
    <w:rsid w:val="005B56EE"/>
    <w:rsid w:val="005B672C"/>
    <w:rsid w:val="005B747D"/>
    <w:rsid w:val="005B7733"/>
    <w:rsid w:val="005B7A22"/>
    <w:rsid w:val="005C0602"/>
    <w:rsid w:val="005C0D5D"/>
    <w:rsid w:val="005C0D70"/>
    <w:rsid w:val="005C191A"/>
    <w:rsid w:val="005C2AA9"/>
    <w:rsid w:val="005C330D"/>
    <w:rsid w:val="005C40C7"/>
    <w:rsid w:val="005C4114"/>
    <w:rsid w:val="005C4B98"/>
    <w:rsid w:val="005C4EFF"/>
    <w:rsid w:val="005C4F43"/>
    <w:rsid w:val="005D0B55"/>
    <w:rsid w:val="005D160D"/>
    <w:rsid w:val="005D2D62"/>
    <w:rsid w:val="005D356C"/>
    <w:rsid w:val="005D4A04"/>
    <w:rsid w:val="005D4CF7"/>
    <w:rsid w:val="005D5347"/>
    <w:rsid w:val="005D5CC5"/>
    <w:rsid w:val="005D5FE6"/>
    <w:rsid w:val="005D61EA"/>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5573"/>
    <w:rsid w:val="005F5D1D"/>
    <w:rsid w:val="005F60C9"/>
    <w:rsid w:val="005F64C6"/>
    <w:rsid w:val="005F6F05"/>
    <w:rsid w:val="006008F1"/>
    <w:rsid w:val="00601714"/>
    <w:rsid w:val="00601735"/>
    <w:rsid w:val="00602BD2"/>
    <w:rsid w:val="00604980"/>
    <w:rsid w:val="00605BDB"/>
    <w:rsid w:val="0060614D"/>
    <w:rsid w:val="0061005A"/>
    <w:rsid w:val="006101C5"/>
    <w:rsid w:val="00610871"/>
    <w:rsid w:val="00610E48"/>
    <w:rsid w:val="0061160D"/>
    <w:rsid w:val="0061286C"/>
    <w:rsid w:val="00612E83"/>
    <w:rsid w:val="00613C47"/>
    <w:rsid w:val="00615086"/>
    <w:rsid w:val="00615B0A"/>
    <w:rsid w:val="00616201"/>
    <w:rsid w:val="00616225"/>
    <w:rsid w:val="00616917"/>
    <w:rsid w:val="0061705E"/>
    <w:rsid w:val="00617A8B"/>
    <w:rsid w:val="00621904"/>
    <w:rsid w:val="00622248"/>
    <w:rsid w:val="00622FEA"/>
    <w:rsid w:val="00623CDF"/>
    <w:rsid w:val="00623DB1"/>
    <w:rsid w:val="006245F3"/>
    <w:rsid w:val="00624DBE"/>
    <w:rsid w:val="00625450"/>
    <w:rsid w:val="0062624F"/>
    <w:rsid w:val="006319C1"/>
    <w:rsid w:val="006319CA"/>
    <w:rsid w:val="00632D91"/>
    <w:rsid w:val="00633B3E"/>
    <w:rsid w:val="00634B64"/>
    <w:rsid w:val="00634EC0"/>
    <w:rsid w:val="006351C3"/>
    <w:rsid w:val="0063627F"/>
    <w:rsid w:val="0063642A"/>
    <w:rsid w:val="006376C4"/>
    <w:rsid w:val="006403E7"/>
    <w:rsid w:val="00642D72"/>
    <w:rsid w:val="006443CB"/>
    <w:rsid w:val="006448B8"/>
    <w:rsid w:val="00644F80"/>
    <w:rsid w:val="00645874"/>
    <w:rsid w:val="006458E5"/>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A5A"/>
    <w:rsid w:val="0066335C"/>
    <w:rsid w:val="006636D0"/>
    <w:rsid w:val="00663834"/>
    <w:rsid w:val="006647D7"/>
    <w:rsid w:val="00664F1B"/>
    <w:rsid w:val="006653D7"/>
    <w:rsid w:val="00665BFF"/>
    <w:rsid w:val="00666313"/>
    <w:rsid w:val="006665BA"/>
    <w:rsid w:val="00666A4F"/>
    <w:rsid w:val="00666B7F"/>
    <w:rsid w:val="00666DEC"/>
    <w:rsid w:val="00667477"/>
    <w:rsid w:val="006703D9"/>
    <w:rsid w:val="00670ADE"/>
    <w:rsid w:val="00672DFC"/>
    <w:rsid w:val="00672F5B"/>
    <w:rsid w:val="00673BD7"/>
    <w:rsid w:val="00673DEE"/>
    <w:rsid w:val="00674E69"/>
    <w:rsid w:val="00675A33"/>
    <w:rsid w:val="0067602A"/>
    <w:rsid w:val="006763ED"/>
    <w:rsid w:val="00676433"/>
    <w:rsid w:val="006767FD"/>
    <w:rsid w:val="0067720F"/>
    <w:rsid w:val="0067738E"/>
    <w:rsid w:val="00677591"/>
    <w:rsid w:val="00677F23"/>
    <w:rsid w:val="00680936"/>
    <w:rsid w:val="00680BBE"/>
    <w:rsid w:val="00680D8C"/>
    <w:rsid w:val="00680D99"/>
    <w:rsid w:val="006821B2"/>
    <w:rsid w:val="00682725"/>
    <w:rsid w:val="00682A1B"/>
    <w:rsid w:val="00682D73"/>
    <w:rsid w:val="00682ED3"/>
    <w:rsid w:val="006846E8"/>
    <w:rsid w:val="0068541E"/>
    <w:rsid w:val="00685E9D"/>
    <w:rsid w:val="00685EBD"/>
    <w:rsid w:val="0068605C"/>
    <w:rsid w:val="006861C3"/>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A01FB"/>
    <w:rsid w:val="006A07DF"/>
    <w:rsid w:val="006A1093"/>
    <w:rsid w:val="006A1D3D"/>
    <w:rsid w:val="006A2150"/>
    <w:rsid w:val="006A2216"/>
    <w:rsid w:val="006A241D"/>
    <w:rsid w:val="006A3288"/>
    <w:rsid w:val="006A43E6"/>
    <w:rsid w:val="006A4AEE"/>
    <w:rsid w:val="006A526F"/>
    <w:rsid w:val="006A70BE"/>
    <w:rsid w:val="006A7934"/>
    <w:rsid w:val="006B0001"/>
    <w:rsid w:val="006B04AF"/>
    <w:rsid w:val="006B059F"/>
    <w:rsid w:val="006B0A56"/>
    <w:rsid w:val="006B2048"/>
    <w:rsid w:val="006B20A6"/>
    <w:rsid w:val="006B32D5"/>
    <w:rsid w:val="006B342E"/>
    <w:rsid w:val="006B3812"/>
    <w:rsid w:val="006B3B80"/>
    <w:rsid w:val="006B6870"/>
    <w:rsid w:val="006B6F32"/>
    <w:rsid w:val="006B7130"/>
    <w:rsid w:val="006B73CC"/>
    <w:rsid w:val="006B7695"/>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6"/>
    <w:rsid w:val="006D1D3F"/>
    <w:rsid w:val="006D253B"/>
    <w:rsid w:val="006D325A"/>
    <w:rsid w:val="006D407B"/>
    <w:rsid w:val="006D4242"/>
    <w:rsid w:val="006D44E6"/>
    <w:rsid w:val="006D45F0"/>
    <w:rsid w:val="006D4C8F"/>
    <w:rsid w:val="006D52A0"/>
    <w:rsid w:val="006D57CB"/>
    <w:rsid w:val="006D5819"/>
    <w:rsid w:val="006D5E6F"/>
    <w:rsid w:val="006D693F"/>
    <w:rsid w:val="006D6CDD"/>
    <w:rsid w:val="006D7604"/>
    <w:rsid w:val="006D765E"/>
    <w:rsid w:val="006E03D1"/>
    <w:rsid w:val="006E0455"/>
    <w:rsid w:val="006E150D"/>
    <w:rsid w:val="006E3289"/>
    <w:rsid w:val="006E33E4"/>
    <w:rsid w:val="006E4238"/>
    <w:rsid w:val="006E5F01"/>
    <w:rsid w:val="006E5F88"/>
    <w:rsid w:val="006E7404"/>
    <w:rsid w:val="006E7B97"/>
    <w:rsid w:val="006F1DE7"/>
    <w:rsid w:val="006F1EA3"/>
    <w:rsid w:val="006F2627"/>
    <w:rsid w:val="006F2BF8"/>
    <w:rsid w:val="006F3568"/>
    <w:rsid w:val="006F38FE"/>
    <w:rsid w:val="006F40AD"/>
    <w:rsid w:val="006F4A5F"/>
    <w:rsid w:val="006F4D7B"/>
    <w:rsid w:val="006F6360"/>
    <w:rsid w:val="006F6436"/>
    <w:rsid w:val="006F65C5"/>
    <w:rsid w:val="006F687A"/>
    <w:rsid w:val="006F68EF"/>
    <w:rsid w:val="006F6D38"/>
    <w:rsid w:val="006F6D4C"/>
    <w:rsid w:val="006F6E67"/>
    <w:rsid w:val="006F7157"/>
    <w:rsid w:val="006F78E0"/>
    <w:rsid w:val="00702B1B"/>
    <w:rsid w:val="00702ED6"/>
    <w:rsid w:val="007032B3"/>
    <w:rsid w:val="00704164"/>
    <w:rsid w:val="007044BF"/>
    <w:rsid w:val="00706A58"/>
    <w:rsid w:val="00707517"/>
    <w:rsid w:val="007078ED"/>
    <w:rsid w:val="00710187"/>
    <w:rsid w:val="007110E1"/>
    <w:rsid w:val="00711B18"/>
    <w:rsid w:val="00714394"/>
    <w:rsid w:val="00714ED6"/>
    <w:rsid w:val="007151B7"/>
    <w:rsid w:val="00715E8D"/>
    <w:rsid w:val="00716D8A"/>
    <w:rsid w:val="00717854"/>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34510"/>
    <w:rsid w:val="00734887"/>
    <w:rsid w:val="007365B6"/>
    <w:rsid w:val="007373C8"/>
    <w:rsid w:val="007401E2"/>
    <w:rsid w:val="00740205"/>
    <w:rsid w:val="00740D67"/>
    <w:rsid w:val="007411E5"/>
    <w:rsid w:val="00741605"/>
    <w:rsid w:val="00742AD3"/>
    <w:rsid w:val="00742F72"/>
    <w:rsid w:val="007436F2"/>
    <w:rsid w:val="0074436D"/>
    <w:rsid w:val="00744627"/>
    <w:rsid w:val="007446DA"/>
    <w:rsid w:val="007462C2"/>
    <w:rsid w:val="00746772"/>
    <w:rsid w:val="00746951"/>
    <w:rsid w:val="00746F65"/>
    <w:rsid w:val="007472C3"/>
    <w:rsid w:val="0074791E"/>
    <w:rsid w:val="0075028E"/>
    <w:rsid w:val="00750948"/>
    <w:rsid w:val="0075115D"/>
    <w:rsid w:val="00751A33"/>
    <w:rsid w:val="00751F77"/>
    <w:rsid w:val="00753890"/>
    <w:rsid w:val="007555DF"/>
    <w:rsid w:val="007569DC"/>
    <w:rsid w:val="0075711E"/>
    <w:rsid w:val="007579F2"/>
    <w:rsid w:val="007602CB"/>
    <w:rsid w:val="00761434"/>
    <w:rsid w:val="00761FD5"/>
    <w:rsid w:val="007620C9"/>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79A"/>
    <w:rsid w:val="007871FE"/>
    <w:rsid w:val="007902AD"/>
    <w:rsid w:val="00790606"/>
    <w:rsid w:val="007908ED"/>
    <w:rsid w:val="00790F74"/>
    <w:rsid w:val="007912E8"/>
    <w:rsid w:val="00792288"/>
    <w:rsid w:val="00792447"/>
    <w:rsid w:val="007928C6"/>
    <w:rsid w:val="007929C0"/>
    <w:rsid w:val="00794F7C"/>
    <w:rsid w:val="007951F4"/>
    <w:rsid w:val="0079694C"/>
    <w:rsid w:val="00797AF9"/>
    <w:rsid w:val="00797FBD"/>
    <w:rsid w:val="007A0187"/>
    <w:rsid w:val="007A19AC"/>
    <w:rsid w:val="007A2640"/>
    <w:rsid w:val="007A268F"/>
    <w:rsid w:val="007A4A53"/>
    <w:rsid w:val="007A4C93"/>
    <w:rsid w:val="007A4E17"/>
    <w:rsid w:val="007A5AC6"/>
    <w:rsid w:val="007A6A01"/>
    <w:rsid w:val="007A7D0A"/>
    <w:rsid w:val="007A7F6D"/>
    <w:rsid w:val="007B0799"/>
    <w:rsid w:val="007B0FBD"/>
    <w:rsid w:val="007B1BAF"/>
    <w:rsid w:val="007B2393"/>
    <w:rsid w:val="007B2FE8"/>
    <w:rsid w:val="007B30DB"/>
    <w:rsid w:val="007B35F7"/>
    <w:rsid w:val="007B4DD5"/>
    <w:rsid w:val="007B4F72"/>
    <w:rsid w:val="007B5148"/>
    <w:rsid w:val="007B5A16"/>
    <w:rsid w:val="007B660D"/>
    <w:rsid w:val="007B7219"/>
    <w:rsid w:val="007C03FE"/>
    <w:rsid w:val="007C0E04"/>
    <w:rsid w:val="007C17D3"/>
    <w:rsid w:val="007C1E98"/>
    <w:rsid w:val="007C1FA2"/>
    <w:rsid w:val="007C2827"/>
    <w:rsid w:val="007C3A26"/>
    <w:rsid w:val="007C4032"/>
    <w:rsid w:val="007C4CE1"/>
    <w:rsid w:val="007C537A"/>
    <w:rsid w:val="007C57D1"/>
    <w:rsid w:val="007C6B3E"/>
    <w:rsid w:val="007C6F13"/>
    <w:rsid w:val="007C7130"/>
    <w:rsid w:val="007C74E5"/>
    <w:rsid w:val="007C7DAB"/>
    <w:rsid w:val="007C7F57"/>
    <w:rsid w:val="007D0348"/>
    <w:rsid w:val="007D0E43"/>
    <w:rsid w:val="007D13E7"/>
    <w:rsid w:val="007D153B"/>
    <w:rsid w:val="007D1E37"/>
    <w:rsid w:val="007D2256"/>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D90"/>
    <w:rsid w:val="007F3D9B"/>
    <w:rsid w:val="007F3F6F"/>
    <w:rsid w:val="007F48A9"/>
    <w:rsid w:val="007F4A1F"/>
    <w:rsid w:val="007F4E28"/>
    <w:rsid w:val="007F4E6E"/>
    <w:rsid w:val="007F4F82"/>
    <w:rsid w:val="007F6D96"/>
    <w:rsid w:val="007F7CFA"/>
    <w:rsid w:val="00801D7A"/>
    <w:rsid w:val="008020F2"/>
    <w:rsid w:val="00802462"/>
    <w:rsid w:val="008036FC"/>
    <w:rsid w:val="00803F74"/>
    <w:rsid w:val="00804653"/>
    <w:rsid w:val="00804C48"/>
    <w:rsid w:val="0080505A"/>
    <w:rsid w:val="00805478"/>
    <w:rsid w:val="00806639"/>
    <w:rsid w:val="00806A84"/>
    <w:rsid w:val="008073A4"/>
    <w:rsid w:val="00807C6C"/>
    <w:rsid w:val="00807C7A"/>
    <w:rsid w:val="008115ED"/>
    <w:rsid w:val="00811A42"/>
    <w:rsid w:val="0081254B"/>
    <w:rsid w:val="008132BB"/>
    <w:rsid w:val="0081340B"/>
    <w:rsid w:val="00813788"/>
    <w:rsid w:val="00813F40"/>
    <w:rsid w:val="00814DDA"/>
    <w:rsid w:val="00814FED"/>
    <w:rsid w:val="00815289"/>
    <w:rsid w:val="00815822"/>
    <w:rsid w:val="00815B93"/>
    <w:rsid w:val="00815BA2"/>
    <w:rsid w:val="00816585"/>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6F4C"/>
    <w:rsid w:val="00831573"/>
    <w:rsid w:val="00833C51"/>
    <w:rsid w:val="008349A6"/>
    <w:rsid w:val="00835271"/>
    <w:rsid w:val="00835679"/>
    <w:rsid w:val="008360DF"/>
    <w:rsid w:val="0083731C"/>
    <w:rsid w:val="008377DA"/>
    <w:rsid w:val="00837BD7"/>
    <w:rsid w:val="00840591"/>
    <w:rsid w:val="00841F21"/>
    <w:rsid w:val="00842991"/>
    <w:rsid w:val="008429B0"/>
    <w:rsid w:val="00843900"/>
    <w:rsid w:val="00844C5B"/>
    <w:rsid w:val="0084581F"/>
    <w:rsid w:val="00845898"/>
    <w:rsid w:val="00845A15"/>
    <w:rsid w:val="0084632F"/>
    <w:rsid w:val="008474B4"/>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1C1"/>
    <w:rsid w:val="00876C1B"/>
    <w:rsid w:val="00876E70"/>
    <w:rsid w:val="008804E1"/>
    <w:rsid w:val="00880E30"/>
    <w:rsid w:val="008815B6"/>
    <w:rsid w:val="008818F6"/>
    <w:rsid w:val="00881D45"/>
    <w:rsid w:val="008829F8"/>
    <w:rsid w:val="0088398E"/>
    <w:rsid w:val="00885182"/>
    <w:rsid w:val="0088647E"/>
    <w:rsid w:val="00887E02"/>
    <w:rsid w:val="00890382"/>
    <w:rsid w:val="0089046A"/>
    <w:rsid w:val="00891106"/>
    <w:rsid w:val="00892833"/>
    <w:rsid w:val="00893479"/>
    <w:rsid w:val="0089375D"/>
    <w:rsid w:val="008943CB"/>
    <w:rsid w:val="008946B9"/>
    <w:rsid w:val="008960A2"/>
    <w:rsid w:val="008979BC"/>
    <w:rsid w:val="008A056E"/>
    <w:rsid w:val="008A0882"/>
    <w:rsid w:val="008A10C1"/>
    <w:rsid w:val="008A181A"/>
    <w:rsid w:val="008A1C47"/>
    <w:rsid w:val="008A2289"/>
    <w:rsid w:val="008A3766"/>
    <w:rsid w:val="008A4F66"/>
    <w:rsid w:val="008A5290"/>
    <w:rsid w:val="008A593A"/>
    <w:rsid w:val="008A6A60"/>
    <w:rsid w:val="008A6C5A"/>
    <w:rsid w:val="008A6CCA"/>
    <w:rsid w:val="008A6DC9"/>
    <w:rsid w:val="008B1B85"/>
    <w:rsid w:val="008B1B8C"/>
    <w:rsid w:val="008B25B1"/>
    <w:rsid w:val="008B2C59"/>
    <w:rsid w:val="008B2DF3"/>
    <w:rsid w:val="008B353B"/>
    <w:rsid w:val="008B376A"/>
    <w:rsid w:val="008B444E"/>
    <w:rsid w:val="008B569F"/>
    <w:rsid w:val="008B7220"/>
    <w:rsid w:val="008C0669"/>
    <w:rsid w:val="008C08A5"/>
    <w:rsid w:val="008C1DD7"/>
    <w:rsid w:val="008C26FA"/>
    <w:rsid w:val="008C36BB"/>
    <w:rsid w:val="008C4566"/>
    <w:rsid w:val="008C46B6"/>
    <w:rsid w:val="008C46C3"/>
    <w:rsid w:val="008C522A"/>
    <w:rsid w:val="008C5E71"/>
    <w:rsid w:val="008C64E3"/>
    <w:rsid w:val="008C6A8B"/>
    <w:rsid w:val="008C77F7"/>
    <w:rsid w:val="008D00EA"/>
    <w:rsid w:val="008D0D1E"/>
    <w:rsid w:val="008D1175"/>
    <w:rsid w:val="008D13C7"/>
    <w:rsid w:val="008D1627"/>
    <w:rsid w:val="008D1DA0"/>
    <w:rsid w:val="008D284E"/>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2A60"/>
    <w:rsid w:val="008F310D"/>
    <w:rsid w:val="008F3888"/>
    <w:rsid w:val="008F3A90"/>
    <w:rsid w:val="008F3B22"/>
    <w:rsid w:val="008F43C7"/>
    <w:rsid w:val="008F4823"/>
    <w:rsid w:val="008F551B"/>
    <w:rsid w:val="008F606D"/>
    <w:rsid w:val="008F6597"/>
    <w:rsid w:val="008F7150"/>
    <w:rsid w:val="008F71CC"/>
    <w:rsid w:val="008F721C"/>
    <w:rsid w:val="008F757D"/>
    <w:rsid w:val="00900662"/>
    <w:rsid w:val="0090082A"/>
    <w:rsid w:val="00901308"/>
    <w:rsid w:val="00901953"/>
    <w:rsid w:val="00901DF8"/>
    <w:rsid w:val="00902166"/>
    <w:rsid w:val="00902A0C"/>
    <w:rsid w:val="009040A1"/>
    <w:rsid w:val="009043AA"/>
    <w:rsid w:val="0090473B"/>
    <w:rsid w:val="0090487F"/>
    <w:rsid w:val="00905282"/>
    <w:rsid w:val="0090549F"/>
    <w:rsid w:val="00905908"/>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33CE"/>
    <w:rsid w:val="00923C3F"/>
    <w:rsid w:val="00924853"/>
    <w:rsid w:val="009252E0"/>
    <w:rsid w:val="00925501"/>
    <w:rsid w:val="00926982"/>
    <w:rsid w:val="00926B5A"/>
    <w:rsid w:val="00926D4C"/>
    <w:rsid w:val="009270C4"/>
    <w:rsid w:val="009301FC"/>
    <w:rsid w:val="00931743"/>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2120"/>
    <w:rsid w:val="009425F7"/>
    <w:rsid w:val="00943827"/>
    <w:rsid w:val="00943BC0"/>
    <w:rsid w:val="00944BF0"/>
    <w:rsid w:val="00946136"/>
    <w:rsid w:val="00946CD9"/>
    <w:rsid w:val="00947046"/>
    <w:rsid w:val="00947A00"/>
    <w:rsid w:val="009505F4"/>
    <w:rsid w:val="00951216"/>
    <w:rsid w:val="0095279B"/>
    <w:rsid w:val="0095316C"/>
    <w:rsid w:val="00954282"/>
    <w:rsid w:val="00954427"/>
    <w:rsid w:val="009545B9"/>
    <w:rsid w:val="009564ED"/>
    <w:rsid w:val="00956CA2"/>
    <w:rsid w:val="00960385"/>
    <w:rsid w:val="0096079B"/>
    <w:rsid w:val="00960CA9"/>
    <w:rsid w:val="0096218D"/>
    <w:rsid w:val="00964509"/>
    <w:rsid w:val="00964525"/>
    <w:rsid w:val="0096501B"/>
    <w:rsid w:val="0096662B"/>
    <w:rsid w:val="009666AF"/>
    <w:rsid w:val="00967180"/>
    <w:rsid w:val="0096797D"/>
    <w:rsid w:val="00967B7F"/>
    <w:rsid w:val="00970704"/>
    <w:rsid w:val="00970B65"/>
    <w:rsid w:val="00971127"/>
    <w:rsid w:val="0097119E"/>
    <w:rsid w:val="00971EB0"/>
    <w:rsid w:val="0097272C"/>
    <w:rsid w:val="009734B8"/>
    <w:rsid w:val="00973514"/>
    <w:rsid w:val="009741E7"/>
    <w:rsid w:val="00975C75"/>
    <w:rsid w:val="00977506"/>
    <w:rsid w:val="00980CFF"/>
    <w:rsid w:val="0098177A"/>
    <w:rsid w:val="00982633"/>
    <w:rsid w:val="00983583"/>
    <w:rsid w:val="00983EFD"/>
    <w:rsid w:val="009855B0"/>
    <w:rsid w:val="009859A8"/>
    <w:rsid w:val="00985A7D"/>
    <w:rsid w:val="00986257"/>
    <w:rsid w:val="00986299"/>
    <w:rsid w:val="0098658A"/>
    <w:rsid w:val="00986861"/>
    <w:rsid w:val="00987CBC"/>
    <w:rsid w:val="00990E34"/>
    <w:rsid w:val="00991EB0"/>
    <w:rsid w:val="0099212B"/>
    <w:rsid w:val="0099245F"/>
    <w:rsid w:val="009928FA"/>
    <w:rsid w:val="009937B4"/>
    <w:rsid w:val="00994B5F"/>
    <w:rsid w:val="00995768"/>
    <w:rsid w:val="00996326"/>
    <w:rsid w:val="00996B7D"/>
    <w:rsid w:val="00996F95"/>
    <w:rsid w:val="00997745"/>
    <w:rsid w:val="00997EA5"/>
    <w:rsid w:val="009A07D5"/>
    <w:rsid w:val="009A1303"/>
    <w:rsid w:val="009A1BC9"/>
    <w:rsid w:val="009A1FE7"/>
    <w:rsid w:val="009A2967"/>
    <w:rsid w:val="009A36B7"/>
    <w:rsid w:val="009A3720"/>
    <w:rsid w:val="009A42CF"/>
    <w:rsid w:val="009A44E8"/>
    <w:rsid w:val="009A4A49"/>
    <w:rsid w:val="009A581E"/>
    <w:rsid w:val="009A679E"/>
    <w:rsid w:val="009B0460"/>
    <w:rsid w:val="009B13AF"/>
    <w:rsid w:val="009B1DA5"/>
    <w:rsid w:val="009B1E1D"/>
    <w:rsid w:val="009B2602"/>
    <w:rsid w:val="009B28FD"/>
    <w:rsid w:val="009B2AD6"/>
    <w:rsid w:val="009B3172"/>
    <w:rsid w:val="009B4575"/>
    <w:rsid w:val="009B461D"/>
    <w:rsid w:val="009B5594"/>
    <w:rsid w:val="009B59ED"/>
    <w:rsid w:val="009B6EE8"/>
    <w:rsid w:val="009B729E"/>
    <w:rsid w:val="009B7498"/>
    <w:rsid w:val="009C264B"/>
    <w:rsid w:val="009C34F1"/>
    <w:rsid w:val="009C381A"/>
    <w:rsid w:val="009C3B80"/>
    <w:rsid w:val="009C3D84"/>
    <w:rsid w:val="009C48C6"/>
    <w:rsid w:val="009C5D76"/>
    <w:rsid w:val="009C5DFB"/>
    <w:rsid w:val="009C5FDE"/>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D790D"/>
    <w:rsid w:val="009E04BB"/>
    <w:rsid w:val="009E0525"/>
    <w:rsid w:val="009E05A9"/>
    <w:rsid w:val="009E1370"/>
    <w:rsid w:val="009E20A6"/>
    <w:rsid w:val="009E233F"/>
    <w:rsid w:val="009E2F30"/>
    <w:rsid w:val="009E323A"/>
    <w:rsid w:val="009E328B"/>
    <w:rsid w:val="009E4130"/>
    <w:rsid w:val="009E6122"/>
    <w:rsid w:val="009E6DD0"/>
    <w:rsid w:val="009E6DEE"/>
    <w:rsid w:val="009E6E87"/>
    <w:rsid w:val="009E700C"/>
    <w:rsid w:val="009E7F79"/>
    <w:rsid w:val="009F082A"/>
    <w:rsid w:val="009F0BD9"/>
    <w:rsid w:val="009F12B4"/>
    <w:rsid w:val="009F33FA"/>
    <w:rsid w:val="009F347C"/>
    <w:rsid w:val="009F391E"/>
    <w:rsid w:val="009F4D19"/>
    <w:rsid w:val="009F54D7"/>
    <w:rsid w:val="009F6619"/>
    <w:rsid w:val="009F68FF"/>
    <w:rsid w:val="009F6FEE"/>
    <w:rsid w:val="009F768E"/>
    <w:rsid w:val="009F7F88"/>
    <w:rsid w:val="00A00E77"/>
    <w:rsid w:val="00A01A4C"/>
    <w:rsid w:val="00A01C1F"/>
    <w:rsid w:val="00A01C98"/>
    <w:rsid w:val="00A04B6F"/>
    <w:rsid w:val="00A054CB"/>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E5D"/>
    <w:rsid w:val="00A276A6"/>
    <w:rsid w:val="00A276FF"/>
    <w:rsid w:val="00A30C82"/>
    <w:rsid w:val="00A31A01"/>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350C"/>
    <w:rsid w:val="00A43644"/>
    <w:rsid w:val="00A4383B"/>
    <w:rsid w:val="00A44BB6"/>
    <w:rsid w:val="00A45734"/>
    <w:rsid w:val="00A45B90"/>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757"/>
    <w:rsid w:val="00A639E0"/>
    <w:rsid w:val="00A63D89"/>
    <w:rsid w:val="00A64393"/>
    <w:rsid w:val="00A6526E"/>
    <w:rsid w:val="00A65A73"/>
    <w:rsid w:val="00A65DA4"/>
    <w:rsid w:val="00A66E04"/>
    <w:rsid w:val="00A67194"/>
    <w:rsid w:val="00A671B3"/>
    <w:rsid w:val="00A676F1"/>
    <w:rsid w:val="00A67968"/>
    <w:rsid w:val="00A7040E"/>
    <w:rsid w:val="00A70D5A"/>
    <w:rsid w:val="00A734F2"/>
    <w:rsid w:val="00A73DEE"/>
    <w:rsid w:val="00A74678"/>
    <w:rsid w:val="00A75AEA"/>
    <w:rsid w:val="00A75EA3"/>
    <w:rsid w:val="00A76063"/>
    <w:rsid w:val="00A767EB"/>
    <w:rsid w:val="00A771BF"/>
    <w:rsid w:val="00A77299"/>
    <w:rsid w:val="00A8039E"/>
    <w:rsid w:val="00A803C1"/>
    <w:rsid w:val="00A805F1"/>
    <w:rsid w:val="00A815B6"/>
    <w:rsid w:val="00A81953"/>
    <w:rsid w:val="00A827C9"/>
    <w:rsid w:val="00A83BF3"/>
    <w:rsid w:val="00A85B31"/>
    <w:rsid w:val="00A860FD"/>
    <w:rsid w:val="00A861F3"/>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A16"/>
    <w:rsid w:val="00A97B61"/>
    <w:rsid w:val="00A97C2E"/>
    <w:rsid w:val="00A97CE3"/>
    <w:rsid w:val="00A97E0C"/>
    <w:rsid w:val="00AA01DA"/>
    <w:rsid w:val="00AA11BA"/>
    <w:rsid w:val="00AA182B"/>
    <w:rsid w:val="00AA2394"/>
    <w:rsid w:val="00AA2D62"/>
    <w:rsid w:val="00AA2E2C"/>
    <w:rsid w:val="00AA2E90"/>
    <w:rsid w:val="00AA3077"/>
    <w:rsid w:val="00AA375B"/>
    <w:rsid w:val="00AA38AF"/>
    <w:rsid w:val="00AA41DE"/>
    <w:rsid w:val="00AA450C"/>
    <w:rsid w:val="00AA4B62"/>
    <w:rsid w:val="00AA571A"/>
    <w:rsid w:val="00AA5EB3"/>
    <w:rsid w:val="00AA5F1A"/>
    <w:rsid w:val="00AA6916"/>
    <w:rsid w:val="00AB022F"/>
    <w:rsid w:val="00AB110E"/>
    <w:rsid w:val="00AB11CF"/>
    <w:rsid w:val="00AB1287"/>
    <w:rsid w:val="00AB1CE8"/>
    <w:rsid w:val="00AB2470"/>
    <w:rsid w:val="00AB3FCD"/>
    <w:rsid w:val="00AB4506"/>
    <w:rsid w:val="00AB5190"/>
    <w:rsid w:val="00AB5513"/>
    <w:rsid w:val="00AB6DFC"/>
    <w:rsid w:val="00AB6E0F"/>
    <w:rsid w:val="00AB7354"/>
    <w:rsid w:val="00AB75DD"/>
    <w:rsid w:val="00AB7C46"/>
    <w:rsid w:val="00AC071C"/>
    <w:rsid w:val="00AC2076"/>
    <w:rsid w:val="00AC3637"/>
    <w:rsid w:val="00AC3D4F"/>
    <w:rsid w:val="00AC3DB7"/>
    <w:rsid w:val="00AC4699"/>
    <w:rsid w:val="00AC57CD"/>
    <w:rsid w:val="00AC59DF"/>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330"/>
    <w:rsid w:val="00AE27D6"/>
    <w:rsid w:val="00AE55BC"/>
    <w:rsid w:val="00AE5751"/>
    <w:rsid w:val="00AE5A99"/>
    <w:rsid w:val="00AE62E7"/>
    <w:rsid w:val="00AE686D"/>
    <w:rsid w:val="00AE6B27"/>
    <w:rsid w:val="00AE77AC"/>
    <w:rsid w:val="00AF0DC0"/>
    <w:rsid w:val="00AF0F96"/>
    <w:rsid w:val="00AF17E4"/>
    <w:rsid w:val="00AF21D7"/>
    <w:rsid w:val="00AF282C"/>
    <w:rsid w:val="00AF28EB"/>
    <w:rsid w:val="00AF31BA"/>
    <w:rsid w:val="00AF36B6"/>
    <w:rsid w:val="00AF4803"/>
    <w:rsid w:val="00AF4D10"/>
    <w:rsid w:val="00AF58CB"/>
    <w:rsid w:val="00AF7217"/>
    <w:rsid w:val="00AF726F"/>
    <w:rsid w:val="00AF783F"/>
    <w:rsid w:val="00B00506"/>
    <w:rsid w:val="00B00673"/>
    <w:rsid w:val="00B00ED5"/>
    <w:rsid w:val="00B02315"/>
    <w:rsid w:val="00B02BF0"/>
    <w:rsid w:val="00B034DD"/>
    <w:rsid w:val="00B03AB4"/>
    <w:rsid w:val="00B04C3C"/>
    <w:rsid w:val="00B05B91"/>
    <w:rsid w:val="00B06ED4"/>
    <w:rsid w:val="00B077CC"/>
    <w:rsid w:val="00B07A28"/>
    <w:rsid w:val="00B1123F"/>
    <w:rsid w:val="00B13397"/>
    <w:rsid w:val="00B1400D"/>
    <w:rsid w:val="00B144AA"/>
    <w:rsid w:val="00B147C9"/>
    <w:rsid w:val="00B15BB2"/>
    <w:rsid w:val="00B1666B"/>
    <w:rsid w:val="00B16EBE"/>
    <w:rsid w:val="00B20655"/>
    <w:rsid w:val="00B21443"/>
    <w:rsid w:val="00B21D0E"/>
    <w:rsid w:val="00B22C57"/>
    <w:rsid w:val="00B23C76"/>
    <w:rsid w:val="00B23EEE"/>
    <w:rsid w:val="00B25E1E"/>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6B6"/>
    <w:rsid w:val="00B42C20"/>
    <w:rsid w:val="00B43AD9"/>
    <w:rsid w:val="00B443D5"/>
    <w:rsid w:val="00B44482"/>
    <w:rsid w:val="00B45012"/>
    <w:rsid w:val="00B450D9"/>
    <w:rsid w:val="00B45D36"/>
    <w:rsid w:val="00B46FF2"/>
    <w:rsid w:val="00B539EB"/>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3D1E"/>
    <w:rsid w:val="00B74530"/>
    <w:rsid w:val="00B74E4D"/>
    <w:rsid w:val="00B75D3F"/>
    <w:rsid w:val="00B75D4C"/>
    <w:rsid w:val="00B76F2C"/>
    <w:rsid w:val="00B774EE"/>
    <w:rsid w:val="00B77723"/>
    <w:rsid w:val="00B77863"/>
    <w:rsid w:val="00B80008"/>
    <w:rsid w:val="00B801AC"/>
    <w:rsid w:val="00B809E2"/>
    <w:rsid w:val="00B815D3"/>
    <w:rsid w:val="00B8270D"/>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BE5"/>
    <w:rsid w:val="00B9556B"/>
    <w:rsid w:val="00B96069"/>
    <w:rsid w:val="00B968F3"/>
    <w:rsid w:val="00BA0A76"/>
    <w:rsid w:val="00BA11A9"/>
    <w:rsid w:val="00BA30C2"/>
    <w:rsid w:val="00BA31C6"/>
    <w:rsid w:val="00BA4B0A"/>
    <w:rsid w:val="00BA699B"/>
    <w:rsid w:val="00BA76AB"/>
    <w:rsid w:val="00BB0225"/>
    <w:rsid w:val="00BB0423"/>
    <w:rsid w:val="00BB0F8B"/>
    <w:rsid w:val="00BB1D73"/>
    <w:rsid w:val="00BB2CE4"/>
    <w:rsid w:val="00BB3C27"/>
    <w:rsid w:val="00BB4008"/>
    <w:rsid w:val="00BB42D2"/>
    <w:rsid w:val="00BB5449"/>
    <w:rsid w:val="00BB5C00"/>
    <w:rsid w:val="00BB6ECF"/>
    <w:rsid w:val="00BB74B3"/>
    <w:rsid w:val="00BB777A"/>
    <w:rsid w:val="00BB797F"/>
    <w:rsid w:val="00BB7E0B"/>
    <w:rsid w:val="00BC06FE"/>
    <w:rsid w:val="00BC1221"/>
    <w:rsid w:val="00BC1765"/>
    <w:rsid w:val="00BC1FD6"/>
    <w:rsid w:val="00BC25D7"/>
    <w:rsid w:val="00BC320C"/>
    <w:rsid w:val="00BC43C2"/>
    <w:rsid w:val="00BC464D"/>
    <w:rsid w:val="00BC4883"/>
    <w:rsid w:val="00BC5454"/>
    <w:rsid w:val="00BC5F7F"/>
    <w:rsid w:val="00BC72BA"/>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A5B"/>
    <w:rsid w:val="00BE5B7C"/>
    <w:rsid w:val="00BE61C4"/>
    <w:rsid w:val="00BE72FD"/>
    <w:rsid w:val="00BE733C"/>
    <w:rsid w:val="00BE73D4"/>
    <w:rsid w:val="00BE791F"/>
    <w:rsid w:val="00BE7AF2"/>
    <w:rsid w:val="00BF1CAC"/>
    <w:rsid w:val="00BF1EF8"/>
    <w:rsid w:val="00BF25A9"/>
    <w:rsid w:val="00BF2DE5"/>
    <w:rsid w:val="00BF39B7"/>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E0"/>
    <w:rsid w:val="00C071C7"/>
    <w:rsid w:val="00C0773D"/>
    <w:rsid w:val="00C1025D"/>
    <w:rsid w:val="00C110C7"/>
    <w:rsid w:val="00C11733"/>
    <w:rsid w:val="00C1192D"/>
    <w:rsid w:val="00C12CC1"/>
    <w:rsid w:val="00C12D93"/>
    <w:rsid w:val="00C12EE2"/>
    <w:rsid w:val="00C13103"/>
    <w:rsid w:val="00C139DE"/>
    <w:rsid w:val="00C13B55"/>
    <w:rsid w:val="00C13CB8"/>
    <w:rsid w:val="00C14CD4"/>
    <w:rsid w:val="00C151CE"/>
    <w:rsid w:val="00C15BBB"/>
    <w:rsid w:val="00C16439"/>
    <w:rsid w:val="00C2092E"/>
    <w:rsid w:val="00C20F37"/>
    <w:rsid w:val="00C211AE"/>
    <w:rsid w:val="00C213FD"/>
    <w:rsid w:val="00C21C42"/>
    <w:rsid w:val="00C23520"/>
    <w:rsid w:val="00C23FE1"/>
    <w:rsid w:val="00C24AE3"/>
    <w:rsid w:val="00C25082"/>
    <w:rsid w:val="00C2570A"/>
    <w:rsid w:val="00C25B91"/>
    <w:rsid w:val="00C265D4"/>
    <w:rsid w:val="00C26DC6"/>
    <w:rsid w:val="00C27447"/>
    <w:rsid w:val="00C275FC"/>
    <w:rsid w:val="00C2772B"/>
    <w:rsid w:val="00C30615"/>
    <w:rsid w:val="00C30715"/>
    <w:rsid w:val="00C30D84"/>
    <w:rsid w:val="00C3131B"/>
    <w:rsid w:val="00C317A7"/>
    <w:rsid w:val="00C33383"/>
    <w:rsid w:val="00C33614"/>
    <w:rsid w:val="00C33AEC"/>
    <w:rsid w:val="00C35493"/>
    <w:rsid w:val="00C35C8E"/>
    <w:rsid w:val="00C361E9"/>
    <w:rsid w:val="00C3671E"/>
    <w:rsid w:val="00C36B1D"/>
    <w:rsid w:val="00C3742C"/>
    <w:rsid w:val="00C410D2"/>
    <w:rsid w:val="00C41363"/>
    <w:rsid w:val="00C42209"/>
    <w:rsid w:val="00C429D5"/>
    <w:rsid w:val="00C42A78"/>
    <w:rsid w:val="00C42DC9"/>
    <w:rsid w:val="00C437D6"/>
    <w:rsid w:val="00C45897"/>
    <w:rsid w:val="00C4601D"/>
    <w:rsid w:val="00C470F6"/>
    <w:rsid w:val="00C47B1C"/>
    <w:rsid w:val="00C504EF"/>
    <w:rsid w:val="00C509D2"/>
    <w:rsid w:val="00C51CCA"/>
    <w:rsid w:val="00C53131"/>
    <w:rsid w:val="00C54473"/>
    <w:rsid w:val="00C55945"/>
    <w:rsid w:val="00C55D94"/>
    <w:rsid w:val="00C55DCB"/>
    <w:rsid w:val="00C55F50"/>
    <w:rsid w:val="00C55FBB"/>
    <w:rsid w:val="00C57582"/>
    <w:rsid w:val="00C608EF"/>
    <w:rsid w:val="00C60E9C"/>
    <w:rsid w:val="00C612BB"/>
    <w:rsid w:val="00C612BF"/>
    <w:rsid w:val="00C61338"/>
    <w:rsid w:val="00C6207E"/>
    <w:rsid w:val="00C6324D"/>
    <w:rsid w:val="00C64773"/>
    <w:rsid w:val="00C64FAE"/>
    <w:rsid w:val="00C653CC"/>
    <w:rsid w:val="00C66344"/>
    <w:rsid w:val="00C66EDC"/>
    <w:rsid w:val="00C674F7"/>
    <w:rsid w:val="00C67D05"/>
    <w:rsid w:val="00C714EE"/>
    <w:rsid w:val="00C71D4C"/>
    <w:rsid w:val="00C731E1"/>
    <w:rsid w:val="00C7335A"/>
    <w:rsid w:val="00C741A7"/>
    <w:rsid w:val="00C745D7"/>
    <w:rsid w:val="00C74F7C"/>
    <w:rsid w:val="00C75F87"/>
    <w:rsid w:val="00C7702A"/>
    <w:rsid w:val="00C773C8"/>
    <w:rsid w:val="00C806B8"/>
    <w:rsid w:val="00C80A25"/>
    <w:rsid w:val="00C80E5E"/>
    <w:rsid w:val="00C82930"/>
    <w:rsid w:val="00C82C9E"/>
    <w:rsid w:val="00C83945"/>
    <w:rsid w:val="00C841BF"/>
    <w:rsid w:val="00C84BF3"/>
    <w:rsid w:val="00C8531E"/>
    <w:rsid w:val="00C85560"/>
    <w:rsid w:val="00C85A50"/>
    <w:rsid w:val="00C85B6C"/>
    <w:rsid w:val="00C85ECE"/>
    <w:rsid w:val="00C85F1C"/>
    <w:rsid w:val="00C86BFE"/>
    <w:rsid w:val="00C86D8A"/>
    <w:rsid w:val="00C86FF3"/>
    <w:rsid w:val="00C87E2F"/>
    <w:rsid w:val="00C900B0"/>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E2F"/>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34A5"/>
    <w:rsid w:val="00CD42CF"/>
    <w:rsid w:val="00CD4BF8"/>
    <w:rsid w:val="00CD52CD"/>
    <w:rsid w:val="00CD58F5"/>
    <w:rsid w:val="00CD644F"/>
    <w:rsid w:val="00CD6525"/>
    <w:rsid w:val="00CD652E"/>
    <w:rsid w:val="00CD68DD"/>
    <w:rsid w:val="00CD6A0A"/>
    <w:rsid w:val="00CD6EF2"/>
    <w:rsid w:val="00CD786B"/>
    <w:rsid w:val="00CD7B8B"/>
    <w:rsid w:val="00CE01F8"/>
    <w:rsid w:val="00CE08BB"/>
    <w:rsid w:val="00CE24B9"/>
    <w:rsid w:val="00CE2ADD"/>
    <w:rsid w:val="00CE2B04"/>
    <w:rsid w:val="00CE2C27"/>
    <w:rsid w:val="00CE3E8B"/>
    <w:rsid w:val="00CE47DC"/>
    <w:rsid w:val="00CE5298"/>
    <w:rsid w:val="00CE5322"/>
    <w:rsid w:val="00CE58EB"/>
    <w:rsid w:val="00CE69E4"/>
    <w:rsid w:val="00CF0041"/>
    <w:rsid w:val="00CF02F9"/>
    <w:rsid w:val="00CF0D4B"/>
    <w:rsid w:val="00CF2605"/>
    <w:rsid w:val="00CF2804"/>
    <w:rsid w:val="00CF35B2"/>
    <w:rsid w:val="00CF38D4"/>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E2A"/>
    <w:rsid w:val="00D07EA6"/>
    <w:rsid w:val="00D11582"/>
    <w:rsid w:val="00D11666"/>
    <w:rsid w:val="00D11D07"/>
    <w:rsid w:val="00D124D3"/>
    <w:rsid w:val="00D138F2"/>
    <w:rsid w:val="00D1489F"/>
    <w:rsid w:val="00D1491B"/>
    <w:rsid w:val="00D159F8"/>
    <w:rsid w:val="00D15DD2"/>
    <w:rsid w:val="00D168B7"/>
    <w:rsid w:val="00D16E55"/>
    <w:rsid w:val="00D16ECF"/>
    <w:rsid w:val="00D17C04"/>
    <w:rsid w:val="00D17CFB"/>
    <w:rsid w:val="00D17E3E"/>
    <w:rsid w:val="00D2046D"/>
    <w:rsid w:val="00D21820"/>
    <w:rsid w:val="00D2255E"/>
    <w:rsid w:val="00D226B9"/>
    <w:rsid w:val="00D23437"/>
    <w:rsid w:val="00D2372E"/>
    <w:rsid w:val="00D2373E"/>
    <w:rsid w:val="00D239F4"/>
    <w:rsid w:val="00D2459A"/>
    <w:rsid w:val="00D248D9"/>
    <w:rsid w:val="00D24CD7"/>
    <w:rsid w:val="00D259E0"/>
    <w:rsid w:val="00D27131"/>
    <w:rsid w:val="00D31AD0"/>
    <w:rsid w:val="00D31B9E"/>
    <w:rsid w:val="00D31BBD"/>
    <w:rsid w:val="00D32658"/>
    <w:rsid w:val="00D34E83"/>
    <w:rsid w:val="00D35189"/>
    <w:rsid w:val="00D352D0"/>
    <w:rsid w:val="00D3701D"/>
    <w:rsid w:val="00D37354"/>
    <w:rsid w:val="00D404B1"/>
    <w:rsid w:val="00D40C33"/>
    <w:rsid w:val="00D4104F"/>
    <w:rsid w:val="00D4313E"/>
    <w:rsid w:val="00D43988"/>
    <w:rsid w:val="00D4707E"/>
    <w:rsid w:val="00D47238"/>
    <w:rsid w:val="00D4762C"/>
    <w:rsid w:val="00D47867"/>
    <w:rsid w:val="00D47EAF"/>
    <w:rsid w:val="00D50B2A"/>
    <w:rsid w:val="00D5132A"/>
    <w:rsid w:val="00D51517"/>
    <w:rsid w:val="00D52D7F"/>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54F8"/>
    <w:rsid w:val="00D66697"/>
    <w:rsid w:val="00D676B3"/>
    <w:rsid w:val="00D6787A"/>
    <w:rsid w:val="00D67ACA"/>
    <w:rsid w:val="00D67F69"/>
    <w:rsid w:val="00D71103"/>
    <w:rsid w:val="00D71213"/>
    <w:rsid w:val="00D713E4"/>
    <w:rsid w:val="00D72FAD"/>
    <w:rsid w:val="00D7314F"/>
    <w:rsid w:val="00D73259"/>
    <w:rsid w:val="00D738C0"/>
    <w:rsid w:val="00D73AF1"/>
    <w:rsid w:val="00D73E64"/>
    <w:rsid w:val="00D74504"/>
    <w:rsid w:val="00D74639"/>
    <w:rsid w:val="00D74926"/>
    <w:rsid w:val="00D74E38"/>
    <w:rsid w:val="00D75449"/>
    <w:rsid w:val="00D770D5"/>
    <w:rsid w:val="00D809B7"/>
    <w:rsid w:val="00D812A9"/>
    <w:rsid w:val="00D813B0"/>
    <w:rsid w:val="00D8141C"/>
    <w:rsid w:val="00D81A57"/>
    <w:rsid w:val="00D82664"/>
    <w:rsid w:val="00D8269A"/>
    <w:rsid w:val="00D82962"/>
    <w:rsid w:val="00D82A4C"/>
    <w:rsid w:val="00D83A65"/>
    <w:rsid w:val="00D846CF"/>
    <w:rsid w:val="00D85683"/>
    <w:rsid w:val="00D86320"/>
    <w:rsid w:val="00D86D21"/>
    <w:rsid w:val="00D86D72"/>
    <w:rsid w:val="00D8772B"/>
    <w:rsid w:val="00D90114"/>
    <w:rsid w:val="00D90679"/>
    <w:rsid w:val="00D90F8A"/>
    <w:rsid w:val="00D91621"/>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87B"/>
    <w:rsid w:val="00D97BA1"/>
    <w:rsid w:val="00D97F28"/>
    <w:rsid w:val="00DA09FC"/>
    <w:rsid w:val="00DA28A7"/>
    <w:rsid w:val="00DA2BB0"/>
    <w:rsid w:val="00DA2BCC"/>
    <w:rsid w:val="00DA2FCA"/>
    <w:rsid w:val="00DA348E"/>
    <w:rsid w:val="00DA373A"/>
    <w:rsid w:val="00DA5162"/>
    <w:rsid w:val="00DA59D2"/>
    <w:rsid w:val="00DA5A9C"/>
    <w:rsid w:val="00DA5F60"/>
    <w:rsid w:val="00DA6E9D"/>
    <w:rsid w:val="00DA6FF3"/>
    <w:rsid w:val="00DB1595"/>
    <w:rsid w:val="00DB297D"/>
    <w:rsid w:val="00DB2B7E"/>
    <w:rsid w:val="00DB2BA7"/>
    <w:rsid w:val="00DB2F6C"/>
    <w:rsid w:val="00DB345D"/>
    <w:rsid w:val="00DB53A2"/>
    <w:rsid w:val="00DB5719"/>
    <w:rsid w:val="00DB624E"/>
    <w:rsid w:val="00DB7C6B"/>
    <w:rsid w:val="00DC02EA"/>
    <w:rsid w:val="00DC0860"/>
    <w:rsid w:val="00DC1309"/>
    <w:rsid w:val="00DC16F9"/>
    <w:rsid w:val="00DC1CA6"/>
    <w:rsid w:val="00DC20CF"/>
    <w:rsid w:val="00DC27E3"/>
    <w:rsid w:val="00DC3472"/>
    <w:rsid w:val="00DC4B44"/>
    <w:rsid w:val="00DC5C38"/>
    <w:rsid w:val="00DC5C39"/>
    <w:rsid w:val="00DC61A3"/>
    <w:rsid w:val="00DC6EB6"/>
    <w:rsid w:val="00DC7E69"/>
    <w:rsid w:val="00DD0467"/>
    <w:rsid w:val="00DD15EF"/>
    <w:rsid w:val="00DD1738"/>
    <w:rsid w:val="00DD190E"/>
    <w:rsid w:val="00DD2547"/>
    <w:rsid w:val="00DD3316"/>
    <w:rsid w:val="00DD3E02"/>
    <w:rsid w:val="00DD5654"/>
    <w:rsid w:val="00DD594C"/>
    <w:rsid w:val="00DD5E57"/>
    <w:rsid w:val="00DD5F57"/>
    <w:rsid w:val="00DD60E3"/>
    <w:rsid w:val="00DD7F9B"/>
    <w:rsid w:val="00DE3385"/>
    <w:rsid w:val="00DE3503"/>
    <w:rsid w:val="00DE3CA1"/>
    <w:rsid w:val="00DE4007"/>
    <w:rsid w:val="00DE4638"/>
    <w:rsid w:val="00DE4651"/>
    <w:rsid w:val="00DE534A"/>
    <w:rsid w:val="00DE55FD"/>
    <w:rsid w:val="00DE7265"/>
    <w:rsid w:val="00DE7525"/>
    <w:rsid w:val="00DF2247"/>
    <w:rsid w:val="00DF2353"/>
    <w:rsid w:val="00DF3AB2"/>
    <w:rsid w:val="00DF5784"/>
    <w:rsid w:val="00DF58B8"/>
    <w:rsid w:val="00DF5FF8"/>
    <w:rsid w:val="00DF6EE5"/>
    <w:rsid w:val="00E0077B"/>
    <w:rsid w:val="00E00898"/>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125E"/>
    <w:rsid w:val="00E41E22"/>
    <w:rsid w:val="00E4239D"/>
    <w:rsid w:val="00E429A0"/>
    <w:rsid w:val="00E42D39"/>
    <w:rsid w:val="00E4337B"/>
    <w:rsid w:val="00E44CD4"/>
    <w:rsid w:val="00E45B91"/>
    <w:rsid w:val="00E46804"/>
    <w:rsid w:val="00E46C57"/>
    <w:rsid w:val="00E470BF"/>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F49"/>
    <w:rsid w:val="00E67F4F"/>
    <w:rsid w:val="00E721A9"/>
    <w:rsid w:val="00E72ABF"/>
    <w:rsid w:val="00E73549"/>
    <w:rsid w:val="00E74861"/>
    <w:rsid w:val="00E748DD"/>
    <w:rsid w:val="00E74EC9"/>
    <w:rsid w:val="00E750A5"/>
    <w:rsid w:val="00E75733"/>
    <w:rsid w:val="00E75A9D"/>
    <w:rsid w:val="00E76B19"/>
    <w:rsid w:val="00E80CF7"/>
    <w:rsid w:val="00E81B8E"/>
    <w:rsid w:val="00E81ED7"/>
    <w:rsid w:val="00E82FC0"/>
    <w:rsid w:val="00E8369B"/>
    <w:rsid w:val="00E8377F"/>
    <w:rsid w:val="00E83850"/>
    <w:rsid w:val="00E85244"/>
    <w:rsid w:val="00E86159"/>
    <w:rsid w:val="00E86741"/>
    <w:rsid w:val="00E87AE4"/>
    <w:rsid w:val="00E90C1F"/>
    <w:rsid w:val="00E9124A"/>
    <w:rsid w:val="00E91A8F"/>
    <w:rsid w:val="00E9222C"/>
    <w:rsid w:val="00E92AA5"/>
    <w:rsid w:val="00E9314A"/>
    <w:rsid w:val="00E9558B"/>
    <w:rsid w:val="00E95D1B"/>
    <w:rsid w:val="00E9735C"/>
    <w:rsid w:val="00EA234B"/>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AF"/>
    <w:rsid w:val="00EB57BD"/>
    <w:rsid w:val="00EB623E"/>
    <w:rsid w:val="00EB6502"/>
    <w:rsid w:val="00EB7D9C"/>
    <w:rsid w:val="00EC1076"/>
    <w:rsid w:val="00EC1406"/>
    <w:rsid w:val="00EC1526"/>
    <w:rsid w:val="00EC16C0"/>
    <w:rsid w:val="00EC23F3"/>
    <w:rsid w:val="00EC2677"/>
    <w:rsid w:val="00EC2AB5"/>
    <w:rsid w:val="00EC36F2"/>
    <w:rsid w:val="00EC46CC"/>
    <w:rsid w:val="00EC4856"/>
    <w:rsid w:val="00EC4B79"/>
    <w:rsid w:val="00EC4F33"/>
    <w:rsid w:val="00EC5115"/>
    <w:rsid w:val="00EC7E82"/>
    <w:rsid w:val="00EC7E91"/>
    <w:rsid w:val="00ED0B81"/>
    <w:rsid w:val="00ED166B"/>
    <w:rsid w:val="00ED1A64"/>
    <w:rsid w:val="00ED28DD"/>
    <w:rsid w:val="00ED2E31"/>
    <w:rsid w:val="00ED3133"/>
    <w:rsid w:val="00ED35A0"/>
    <w:rsid w:val="00ED43A6"/>
    <w:rsid w:val="00ED69B3"/>
    <w:rsid w:val="00ED6FB9"/>
    <w:rsid w:val="00ED7371"/>
    <w:rsid w:val="00ED7E2F"/>
    <w:rsid w:val="00ED7EA8"/>
    <w:rsid w:val="00EE02A3"/>
    <w:rsid w:val="00EE0650"/>
    <w:rsid w:val="00EE1313"/>
    <w:rsid w:val="00EE1F82"/>
    <w:rsid w:val="00EE2126"/>
    <w:rsid w:val="00EE3363"/>
    <w:rsid w:val="00EE4C7E"/>
    <w:rsid w:val="00EE556D"/>
    <w:rsid w:val="00EE6184"/>
    <w:rsid w:val="00EE641E"/>
    <w:rsid w:val="00EE789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7063"/>
    <w:rsid w:val="00F11635"/>
    <w:rsid w:val="00F12D86"/>
    <w:rsid w:val="00F131AA"/>
    <w:rsid w:val="00F131FD"/>
    <w:rsid w:val="00F1350B"/>
    <w:rsid w:val="00F13B05"/>
    <w:rsid w:val="00F13B5A"/>
    <w:rsid w:val="00F13EA5"/>
    <w:rsid w:val="00F13EED"/>
    <w:rsid w:val="00F14263"/>
    <w:rsid w:val="00F15AF2"/>
    <w:rsid w:val="00F1673D"/>
    <w:rsid w:val="00F21290"/>
    <w:rsid w:val="00F220D3"/>
    <w:rsid w:val="00F2299F"/>
    <w:rsid w:val="00F231F0"/>
    <w:rsid w:val="00F24787"/>
    <w:rsid w:val="00F24D39"/>
    <w:rsid w:val="00F251E2"/>
    <w:rsid w:val="00F2586D"/>
    <w:rsid w:val="00F259A5"/>
    <w:rsid w:val="00F25EF1"/>
    <w:rsid w:val="00F263E5"/>
    <w:rsid w:val="00F275D2"/>
    <w:rsid w:val="00F301E0"/>
    <w:rsid w:val="00F307CC"/>
    <w:rsid w:val="00F30BBA"/>
    <w:rsid w:val="00F31630"/>
    <w:rsid w:val="00F31A8F"/>
    <w:rsid w:val="00F320C0"/>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1AE"/>
    <w:rsid w:val="00F5421D"/>
    <w:rsid w:val="00F55022"/>
    <w:rsid w:val="00F55184"/>
    <w:rsid w:val="00F560C9"/>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48E"/>
    <w:rsid w:val="00F70909"/>
    <w:rsid w:val="00F70D66"/>
    <w:rsid w:val="00F7114B"/>
    <w:rsid w:val="00F714BE"/>
    <w:rsid w:val="00F721EF"/>
    <w:rsid w:val="00F72AAF"/>
    <w:rsid w:val="00F72AC2"/>
    <w:rsid w:val="00F72EA6"/>
    <w:rsid w:val="00F72F17"/>
    <w:rsid w:val="00F73923"/>
    <w:rsid w:val="00F73D91"/>
    <w:rsid w:val="00F74168"/>
    <w:rsid w:val="00F742F1"/>
    <w:rsid w:val="00F7470C"/>
    <w:rsid w:val="00F74942"/>
    <w:rsid w:val="00F76037"/>
    <w:rsid w:val="00F76171"/>
    <w:rsid w:val="00F761E0"/>
    <w:rsid w:val="00F76832"/>
    <w:rsid w:val="00F76B53"/>
    <w:rsid w:val="00F7761D"/>
    <w:rsid w:val="00F77724"/>
    <w:rsid w:val="00F77839"/>
    <w:rsid w:val="00F77AF3"/>
    <w:rsid w:val="00F77CE6"/>
    <w:rsid w:val="00F77DD1"/>
    <w:rsid w:val="00F77E8E"/>
    <w:rsid w:val="00F8023F"/>
    <w:rsid w:val="00F82021"/>
    <w:rsid w:val="00F82080"/>
    <w:rsid w:val="00F82566"/>
    <w:rsid w:val="00F82A7B"/>
    <w:rsid w:val="00F8476C"/>
    <w:rsid w:val="00F850A1"/>
    <w:rsid w:val="00F855B8"/>
    <w:rsid w:val="00F85CBD"/>
    <w:rsid w:val="00F86B84"/>
    <w:rsid w:val="00F905B8"/>
    <w:rsid w:val="00F91164"/>
    <w:rsid w:val="00F91D47"/>
    <w:rsid w:val="00F92B0F"/>
    <w:rsid w:val="00F9354E"/>
    <w:rsid w:val="00F941FC"/>
    <w:rsid w:val="00F96D24"/>
    <w:rsid w:val="00F97093"/>
    <w:rsid w:val="00F97FF3"/>
    <w:rsid w:val="00FA0091"/>
    <w:rsid w:val="00FA0426"/>
    <w:rsid w:val="00FA1AA9"/>
    <w:rsid w:val="00FA2C8B"/>
    <w:rsid w:val="00FA2CE3"/>
    <w:rsid w:val="00FA3E0C"/>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6970"/>
    <w:rsid w:val="00FC072E"/>
    <w:rsid w:val="00FC3497"/>
    <w:rsid w:val="00FC4323"/>
    <w:rsid w:val="00FC51AE"/>
    <w:rsid w:val="00FC550A"/>
    <w:rsid w:val="00FC551E"/>
    <w:rsid w:val="00FC5790"/>
    <w:rsid w:val="00FC6275"/>
    <w:rsid w:val="00FD039F"/>
    <w:rsid w:val="00FD053B"/>
    <w:rsid w:val="00FD0AF0"/>
    <w:rsid w:val="00FD1234"/>
    <w:rsid w:val="00FD18F3"/>
    <w:rsid w:val="00FD194F"/>
    <w:rsid w:val="00FD1995"/>
    <w:rsid w:val="00FD2333"/>
    <w:rsid w:val="00FD25E1"/>
    <w:rsid w:val="00FD31B5"/>
    <w:rsid w:val="00FD5688"/>
    <w:rsid w:val="00FD5725"/>
    <w:rsid w:val="00FD5E1C"/>
    <w:rsid w:val="00FD5F36"/>
    <w:rsid w:val="00FD7F6B"/>
    <w:rsid w:val="00FE0948"/>
    <w:rsid w:val="00FE0E33"/>
    <w:rsid w:val="00FE1880"/>
    <w:rsid w:val="00FE2B7B"/>
    <w:rsid w:val="00FE3256"/>
    <w:rsid w:val="00FE3B9B"/>
    <w:rsid w:val="00FE3F8E"/>
    <w:rsid w:val="00FE47ED"/>
    <w:rsid w:val="00FE5101"/>
    <w:rsid w:val="00FE61DC"/>
    <w:rsid w:val="00FE67D0"/>
    <w:rsid w:val="00FE689B"/>
    <w:rsid w:val="00FE79CE"/>
    <w:rsid w:val="00FF02D0"/>
    <w:rsid w:val="00FF081E"/>
    <w:rsid w:val="00FF1406"/>
    <w:rsid w:val="00FF145C"/>
    <w:rsid w:val="00FF26EE"/>
    <w:rsid w:val="00FF28EC"/>
    <w:rsid w:val="00FF47A3"/>
    <w:rsid w:val="00FF4B3F"/>
    <w:rsid w:val="00FF4B43"/>
    <w:rsid w:val="00FF574F"/>
    <w:rsid w:val="00FF6146"/>
    <w:rsid w:val="00FF7956"/>
    <w:rsid w:val="018F4DD0"/>
    <w:rsid w:val="02034A18"/>
    <w:rsid w:val="02A37291"/>
    <w:rsid w:val="03613039"/>
    <w:rsid w:val="036202D4"/>
    <w:rsid w:val="038A236C"/>
    <w:rsid w:val="03D07714"/>
    <w:rsid w:val="04B94B88"/>
    <w:rsid w:val="05262D76"/>
    <w:rsid w:val="056F462F"/>
    <w:rsid w:val="059004AD"/>
    <w:rsid w:val="06270849"/>
    <w:rsid w:val="06552DE0"/>
    <w:rsid w:val="067D4F9E"/>
    <w:rsid w:val="06D71535"/>
    <w:rsid w:val="07515FD1"/>
    <w:rsid w:val="07991A83"/>
    <w:rsid w:val="079943F9"/>
    <w:rsid w:val="087B2F8F"/>
    <w:rsid w:val="08CA370B"/>
    <w:rsid w:val="095C2505"/>
    <w:rsid w:val="09F07824"/>
    <w:rsid w:val="09F3727C"/>
    <w:rsid w:val="0A0932C7"/>
    <w:rsid w:val="0A506477"/>
    <w:rsid w:val="0A8A4C86"/>
    <w:rsid w:val="0B577887"/>
    <w:rsid w:val="0BF43322"/>
    <w:rsid w:val="0C8D726E"/>
    <w:rsid w:val="0CE05750"/>
    <w:rsid w:val="0D1077DD"/>
    <w:rsid w:val="0EA162F1"/>
    <w:rsid w:val="0F1748FB"/>
    <w:rsid w:val="0F4F55B5"/>
    <w:rsid w:val="0F523385"/>
    <w:rsid w:val="10907D14"/>
    <w:rsid w:val="110658A6"/>
    <w:rsid w:val="114A387E"/>
    <w:rsid w:val="11A5684D"/>
    <w:rsid w:val="120E7E09"/>
    <w:rsid w:val="123D4E07"/>
    <w:rsid w:val="12562AA0"/>
    <w:rsid w:val="128C51F9"/>
    <w:rsid w:val="13CD48D2"/>
    <w:rsid w:val="1478143A"/>
    <w:rsid w:val="14A365ED"/>
    <w:rsid w:val="15080C4C"/>
    <w:rsid w:val="15525935"/>
    <w:rsid w:val="156B7273"/>
    <w:rsid w:val="159B504D"/>
    <w:rsid w:val="167F40D4"/>
    <w:rsid w:val="169B65A7"/>
    <w:rsid w:val="16CB4F50"/>
    <w:rsid w:val="17853B61"/>
    <w:rsid w:val="17A710C7"/>
    <w:rsid w:val="17CB121D"/>
    <w:rsid w:val="183A1C0C"/>
    <w:rsid w:val="18B310B8"/>
    <w:rsid w:val="199E5A21"/>
    <w:rsid w:val="19D2715C"/>
    <w:rsid w:val="1B942A09"/>
    <w:rsid w:val="1BB61013"/>
    <w:rsid w:val="1BCE272A"/>
    <w:rsid w:val="1BDF7E16"/>
    <w:rsid w:val="1C4C11C0"/>
    <w:rsid w:val="1D035455"/>
    <w:rsid w:val="1D2B1804"/>
    <w:rsid w:val="1D2D465B"/>
    <w:rsid w:val="1E3950C5"/>
    <w:rsid w:val="1E4808ED"/>
    <w:rsid w:val="20867A77"/>
    <w:rsid w:val="20913CBA"/>
    <w:rsid w:val="20DB5404"/>
    <w:rsid w:val="20F37029"/>
    <w:rsid w:val="210118AD"/>
    <w:rsid w:val="21344CA3"/>
    <w:rsid w:val="228D428C"/>
    <w:rsid w:val="230D5DAF"/>
    <w:rsid w:val="2470072B"/>
    <w:rsid w:val="2470573C"/>
    <w:rsid w:val="25B12A01"/>
    <w:rsid w:val="25C31279"/>
    <w:rsid w:val="26101C34"/>
    <w:rsid w:val="26606D66"/>
    <w:rsid w:val="26DE5BEE"/>
    <w:rsid w:val="27034AD1"/>
    <w:rsid w:val="280C250B"/>
    <w:rsid w:val="28CF69C0"/>
    <w:rsid w:val="28DD6E23"/>
    <w:rsid w:val="29F7610D"/>
    <w:rsid w:val="2A4F0167"/>
    <w:rsid w:val="2ADE7026"/>
    <w:rsid w:val="2CD72000"/>
    <w:rsid w:val="2CDD21EA"/>
    <w:rsid w:val="2D8206C8"/>
    <w:rsid w:val="2D846B6C"/>
    <w:rsid w:val="2D984D48"/>
    <w:rsid w:val="2EEC40A0"/>
    <w:rsid w:val="2FD74BE1"/>
    <w:rsid w:val="307410C2"/>
    <w:rsid w:val="308D0856"/>
    <w:rsid w:val="31121EF5"/>
    <w:rsid w:val="31232B7B"/>
    <w:rsid w:val="31EF7704"/>
    <w:rsid w:val="33305B83"/>
    <w:rsid w:val="338B6C3E"/>
    <w:rsid w:val="35AF558A"/>
    <w:rsid w:val="39667278"/>
    <w:rsid w:val="39E14173"/>
    <w:rsid w:val="3A660185"/>
    <w:rsid w:val="3BDD4E74"/>
    <w:rsid w:val="3C7E4EDD"/>
    <w:rsid w:val="3D303E99"/>
    <w:rsid w:val="3E824310"/>
    <w:rsid w:val="3EB53DB8"/>
    <w:rsid w:val="3F2415CF"/>
    <w:rsid w:val="405C2C22"/>
    <w:rsid w:val="40B97C69"/>
    <w:rsid w:val="41103AB3"/>
    <w:rsid w:val="411A2A57"/>
    <w:rsid w:val="414549F8"/>
    <w:rsid w:val="4185067D"/>
    <w:rsid w:val="41A2641C"/>
    <w:rsid w:val="42026032"/>
    <w:rsid w:val="42576B28"/>
    <w:rsid w:val="426828AB"/>
    <w:rsid w:val="42A11473"/>
    <w:rsid w:val="42D24149"/>
    <w:rsid w:val="42E51F94"/>
    <w:rsid w:val="434C27BB"/>
    <w:rsid w:val="44502E5B"/>
    <w:rsid w:val="44C558EE"/>
    <w:rsid w:val="453E0749"/>
    <w:rsid w:val="45E17242"/>
    <w:rsid w:val="46CF4FC2"/>
    <w:rsid w:val="46EC288D"/>
    <w:rsid w:val="477F19A8"/>
    <w:rsid w:val="47B6656B"/>
    <w:rsid w:val="48C170B3"/>
    <w:rsid w:val="49574862"/>
    <w:rsid w:val="49FE433C"/>
    <w:rsid w:val="4A5406A2"/>
    <w:rsid w:val="4AC519F6"/>
    <w:rsid w:val="4B110B90"/>
    <w:rsid w:val="4BD959BA"/>
    <w:rsid w:val="4BE616E3"/>
    <w:rsid w:val="4D4B1098"/>
    <w:rsid w:val="4D624570"/>
    <w:rsid w:val="4E2B7F63"/>
    <w:rsid w:val="4E444B87"/>
    <w:rsid w:val="4FB34218"/>
    <w:rsid w:val="504A6302"/>
    <w:rsid w:val="508E0BDF"/>
    <w:rsid w:val="512A74B8"/>
    <w:rsid w:val="51E054FD"/>
    <w:rsid w:val="53083749"/>
    <w:rsid w:val="5355411C"/>
    <w:rsid w:val="53590226"/>
    <w:rsid w:val="539F20DD"/>
    <w:rsid w:val="545618E4"/>
    <w:rsid w:val="546716B6"/>
    <w:rsid w:val="54803EF9"/>
    <w:rsid w:val="55FD133D"/>
    <w:rsid w:val="561244DD"/>
    <w:rsid w:val="562B3B54"/>
    <w:rsid w:val="563A27AE"/>
    <w:rsid w:val="56BD644F"/>
    <w:rsid w:val="56F15429"/>
    <w:rsid w:val="573F362D"/>
    <w:rsid w:val="57752C31"/>
    <w:rsid w:val="5879650B"/>
    <w:rsid w:val="58B205DA"/>
    <w:rsid w:val="59562254"/>
    <w:rsid w:val="5AA23067"/>
    <w:rsid w:val="5AB92201"/>
    <w:rsid w:val="5B543336"/>
    <w:rsid w:val="5B847B74"/>
    <w:rsid w:val="5BDF2D3B"/>
    <w:rsid w:val="5C7026BF"/>
    <w:rsid w:val="5CED3FF9"/>
    <w:rsid w:val="5D4476FB"/>
    <w:rsid w:val="5E8B3C4B"/>
    <w:rsid w:val="5EAA1115"/>
    <w:rsid w:val="5ED8763C"/>
    <w:rsid w:val="5F771986"/>
    <w:rsid w:val="5F83392C"/>
    <w:rsid w:val="5F8D1439"/>
    <w:rsid w:val="5FC96642"/>
    <w:rsid w:val="60032513"/>
    <w:rsid w:val="601574AE"/>
    <w:rsid w:val="60257F58"/>
    <w:rsid w:val="60681728"/>
    <w:rsid w:val="61250170"/>
    <w:rsid w:val="614B2DC9"/>
    <w:rsid w:val="616D6171"/>
    <w:rsid w:val="62111B39"/>
    <w:rsid w:val="628F4A24"/>
    <w:rsid w:val="634925E3"/>
    <w:rsid w:val="65735661"/>
    <w:rsid w:val="664960F3"/>
    <w:rsid w:val="665E5750"/>
    <w:rsid w:val="666D6BA9"/>
    <w:rsid w:val="668D4017"/>
    <w:rsid w:val="66DC2EB8"/>
    <w:rsid w:val="678877B3"/>
    <w:rsid w:val="67E1648C"/>
    <w:rsid w:val="68965FEA"/>
    <w:rsid w:val="68DA5D31"/>
    <w:rsid w:val="69A9410F"/>
    <w:rsid w:val="6B100175"/>
    <w:rsid w:val="6D0E2679"/>
    <w:rsid w:val="6D4621DE"/>
    <w:rsid w:val="6DE55656"/>
    <w:rsid w:val="6E261BA7"/>
    <w:rsid w:val="6E660432"/>
    <w:rsid w:val="6E681C31"/>
    <w:rsid w:val="6E8D3E82"/>
    <w:rsid w:val="6ED7625C"/>
    <w:rsid w:val="6F135292"/>
    <w:rsid w:val="701B088F"/>
    <w:rsid w:val="70722A64"/>
    <w:rsid w:val="70F50EBA"/>
    <w:rsid w:val="71266569"/>
    <w:rsid w:val="717C6A58"/>
    <w:rsid w:val="71D60130"/>
    <w:rsid w:val="721D0945"/>
    <w:rsid w:val="73FA5E27"/>
    <w:rsid w:val="741E4FC3"/>
    <w:rsid w:val="7447637A"/>
    <w:rsid w:val="74B006F5"/>
    <w:rsid w:val="74BF341C"/>
    <w:rsid w:val="74C667AB"/>
    <w:rsid w:val="74C876B4"/>
    <w:rsid w:val="757440A2"/>
    <w:rsid w:val="75F73A2A"/>
    <w:rsid w:val="75FC7405"/>
    <w:rsid w:val="769958F2"/>
    <w:rsid w:val="76A553AD"/>
    <w:rsid w:val="76E96805"/>
    <w:rsid w:val="76EC60E0"/>
    <w:rsid w:val="770266B0"/>
    <w:rsid w:val="77BE5755"/>
    <w:rsid w:val="77E577FB"/>
    <w:rsid w:val="78174C2D"/>
    <w:rsid w:val="784576F8"/>
    <w:rsid w:val="78767A5E"/>
    <w:rsid w:val="793D0B51"/>
    <w:rsid w:val="798F0E81"/>
    <w:rsid w:val="7A5F2A48"/>
    <w:rsid w:val="7ACC3314"/>
    <w:rsid w:val="7B471C92"/>
    <w:rsid w:val="7BA663E8"/>
    <w:rsid w:val="7CFE3D1B"/>
    <w:rsid w:val="7D145FE3"/>
    <w:rsid w:val="7DEB27D3"/>
    <w:rsid w:val="7E816BC7"/>
    <w:rsid w:val="7EF402AF"/>
    <w:rsid w:val="7F2E3DC9"/>
    <w:rsid w:val="7FDB3837"/>
    <w:rsid w:val="7FF0375A"/>
    <w:rsid w:val="BAE7E038"/>
    <w:rsid w:val="DBBF467D"/>
    <w:rsid w:val="F23EA507"/>
    <w:rsid w:val="FBF7EDAF"/>
    <w:rsid w:val="FF7F46C6"/>
    <w:rsid w:val="FFFB64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4"/>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69"/>
    <w:qFormat/>
    <w:uiPriority w:val="0"/>
    <w:pPr>
      <w:adjustRightInd w:val="0"/>
      <w:jc w:val="center"/>
      <w:textAlignment w:val="baseline"/>
      <w:outlineLvl w:val="1"/>
    </w:pPr>
    <w:rPr>
      <w:kern w:val="0"/>
      <w:sz w:val="24"/>
      <w:szCs w:val="20"/>
    </w:rPr>
  </w:style>
  <w:style w:type="paragraph" w:styleId="4">
    <w:name w:val="heading 3"/>
    <w:basedOn w:val="5"/>
    <w:next w:val="1"/>
    <w:link w:val="53"/>
    <w:qFormat/>
    <w:uiPriority w:val="9"/>
    <w:pPr>
      <w:spacing w:before="260" w:after="260" w:line="240" w:lineRule="auto"/>
      <w:outlineLvl w:val="2"/>
    </w:pPr>
    <w:rPr>
      <w:rFonts w:ascii="宋体" w:hAnsi="宋体" w:eastAsia="宋体"/>
      <w:szCs w:val="32"/>
    </w:rPr>
  </w:style>
  <w:style w:type="paragraph" w:styleId="5">
    <w:name w:val="heading 4"/>
    <w:basedOn w:val="1"/>
    <w:next w:val="1"/>
    <w:link w:val="51"/>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78"/>
    <w:qFormat/>
    <w:uiPriority w:val="0"/>
    <w:pPr>
      <w:keepNext/>
      <w:keepLines/>
      <w:spacing w:before="280" w:after="290" w:line="376" w:lineRule="auto"/>
      <w:outlineLvl w:val="4"/>
    </w:pPr>
    <w:rPr>
      <w:b/>
      <w:sz w:val="28"/>
      <w:szCs w:val="20"/>
    </w:rPr>
  </w:style>
  <w:style w:type="paragraph" w:styleId="9">
    <w:name w:val="heading 6"/>
    <w:basedOn w:val="1"/>
    <w:next w:val="8"/>
    <w:link w:val="81"/>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82"/>
    <w:qFormat/>
    <w:uiPriority w:val="0"/>
    <w:pPr>
      <w:keepNext/>
      <w:keepLines/>
      <w:spacing w:before="240" w:after="64" w:line="320" w:lineRule="auto"/>
      <w:outlineLvl w:val="6"/>
    </w:pPr>
    <w:rPr>
      <w:b/>
      <w:sz w:val="24"/>
      <w:szCs w:val="20"/>
    </w:rPr>
  </w:style>
  <w:style w:type="paragraph" w:styleId="11">
    <w:name w:val="heading 8"/>
    <w:basedOn w:val="1"/>
    <w:next w:val="8"/>
    <w:link w:val="83"/>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84"/>
    <w:qFormat/>
    <w:uiPriority w:val="0"/>
    <w:pPr>
      <w:keepNext/>
      <w:keepLines/>
      <w:spacing w:before="240" w:after="64" w:line="320" w:lineRule="auto"/>
      <w:outlineLvl w:val="8"/>
    </w:pPr>
    <w:rPr>
      <w:rFonts w:ascii="Arial" w:hAnsi="Arial" w:eastAsia="黑体"/>
      <w:szCs w:val="20"/>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8">
    <w:name w:val="Normal Indent"/>
    <w:basedOn w:val="1"/>
    <w:link w:val="55"/>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semiHidden/>
    <w:qFormat/>
    <w:uiPriority w:val="0"/>
    <w:pPr>
      <w:shd w:val="clear" w:color="auto" w:fill="000080"/>
    </w:pPr>
  </w:style>
  <w:style w:type="paragraph" w:styleId="17">
    <w:name w:val="annotation text"/>
    <w:basedOn w:val="1"/>
    <w:link w:val="182"/>
    <w:qFormat/>
    <w:uiPriority w:val="99"/>
    <w:pPr>
      <w:autoSpaceDE w:val="0"/>
      <w:autoSpaceDN w:val="0"/>
      <w:adjustRightInd w:val="0"/>
      <w:jc w:val="left"/>
      <w:textAlignment w:val="baseline"/>
    </w:pPr>
    <w:rPr>
      <w:rFonts w:ascii="宋体"/>
      <w:kern w:val="0"/>
      <w:sz w:val="34"/>
      <w:szCs w:val="20"/>
    </w:rPr>
  </w:style>
  <w:style w:type="paragraph" w:styleId="18">
    <w:name w:val="Body Text 3"/>
    <w:basedOn w:val="1"/>
    <w:link w:val="96"/>
    <w:qFormat/>
    <w:uiPriority w:val="0"/>
    <w:pPr>
      <w:spacing w:after="120"/>
    </w:pPr>
    <w:rPr>
      <w:sz w:val="16"/>
      <w:szCs w:val="16"/>
    </w:rPr>
  </w:style>
  <w:style w:type="paragraph" w:styleId="19">
    <w:name w:val="Body Text"/>
    <w:basedOn w:val="1"/>
    <w:next w:val="1"/>
    <w:link w:val="90"/>
    <w:qFormat/>
    <w:uiPriority w:val="0"/>
    <w:pPr>
      <w:spacing w:line="360" w:lineRule="auto"/>
    </w:pPr>
    <w:rPr>
      <w:b/>
      <w:bCs/>
      <w:sz w:val="24"/>
    </w:rPr>
  </w:style>
  <w:style w:type="paragraph" w:styleId="20">
    <w:name w:val="Body Text Indent"/>
    <w:basedOn w:val="1"/>
    <w:link w:val="77"/>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88"/>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86"/>
    <w:qFormat/>
    <w:uiPriority w:val="0"/>
    <w:rPr>
      <w:rFonts w:ascii="宋体" w:hAnsi="Courier New"/>
      <w:sz w:val="32"/>
      <w:szCs w:val="20"/>
    </w:rPr>
  </w:style>
  <w:style w:type="paragraph" w:styleId="26">
    <w:name w:val="Body Text Indent 2"/>
    <w:basedOn w:val="1"/>
    <w:link w:val="91"/>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97"/>
    <w:semiHidden/>
    <w:qFormat/>
    <w:uiPriority w:val="99"/>
    <w:rPr>
      <w:sz w:val="18"/>
      <w:szCs w:val="18"/>
    </w:rPr>
  </w:style>
  <w:style w:type="paragraph" w:styleId="28">
    <w:name w:val="footer"/>
    <w:basedOn w:val="1"/>
    <w:link w:val="95"/>
    <w:qFormat/>
    <w:uiPriority w:val="0"/>
    <w:pPr>
      <w:tabs>
        <w:tab w:val="center" w:pos="4153"/>
        <w:tab w:val="right" w:pos="8306"/>
      </w:tabs>
      <w:snapToGrid w:val="0"/>
      <w:jc w:val="left"/>
    </w:pPr>
    <w:rPr>
      <w:sz w:val="18"/>
      <w:szCs w:val="18"/>
    </w:rPr>
  </w:style>
  <w:style w:type="paragraph" w:styleId="29">
    <w:name w:val="header"/>
    <w:basedOn w:val="1"/>
    <w:link w:val="92"/>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93"/>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Body Text 2"/>
    <w:basedOn w:val="1"/>
    <w:link w:val="94"/>
    <w:qFormat/>
    <w:uiPriority w:val="0"/>
    <w:pPr>
      <w:spacing w:line="360" w:lineRule="auto"/>
    </w:pPr>
    <w:rPr>
      <w:sz w:val="24"/>
    </w:rPr>
  </w:style>
  <w:style w:type="paragraph" w:styleId="37">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8">
    <w:name w:val="Normal (Web)"/>
    <w:basedOn w:val="1"/>
    <w:link w:val="188"/>
    <w:qFormat/>
    <w:uiPriority w:val="99"/>
    <w:rPr>
      <w:sz w:val="24"/>
    </w:rPr>
  </w:style>
  <w:style w:type="paragraph" w:styleId="39">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40">
    <w:name w:val="Title"/>
    <w:basedOn w:val="1"/>
    <w:link w:val="85"/>
    <w:qFormat/>
    <w:uiPriority w:val="0"/>
    <w:pPr>
      <w:spacing w:before="240" w:after="60"/>
      <w:jc w:val="center"/>
      <w:outlineLvl w:val="0"/>
    </w:pPr>
    <w:rPr>
      <w:rFonts w:ascii="Arial" w:hAnsi="Arial" w:eastAsia="隶书" w:cs="Arial"/>
      <w:b/>
      <w:bCs/>
      <w:sz w:val="32"/>
      <w:szCs w:val="32"/>
    </w:rPr>
  </w:style>
  <w:style w:type="paragraph" w:styleId="41">
    <w:name w:val="annotation subject"/>
    <w:basedOn w:val="17"/>
    <w:next w:val="17"/>
    <w:link w:val="183"/>
    <w:qFormat/>
    <w:uiPriority w:val="99"/>
    <w:pPr>
      <w:autoSpaceDE/>
      <w:autoSpaceDN/>
      <w:adjustRightInd/>
      <w:textAlignment w:val="auto"/>
    </w:pPr>
    <w:rPr>
      <w:rFonts w:ascii="Times New Roman"/>
      <w:b/>
      <w:bCs/>
      <w:kern w:val="2"/>
      <w:sz w:val="21"/>
      <w:szCs w:val="24"/>
    </w:rPr>
  </w:style>
  <w:style w:type="paragraph" w:styleId="42">
    <w:name w:val="Body Text First Indent"/>
    <w:basedOn w:val="19"/>
    <w:link w:val="128"/>
    <w:qFormat/>
    <w:uiPriority w:val="0"/>
    <w:pPr>
      <w:spacing w:after="120" w:line="240" w:lineRule="auto"/>
      <w:ind w:firstLine="420" w:firstLineChars="100"/>
    </w:pPr>
    <w:rPr>
      <w:sz w:val="21"/>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0"/>
    <w:rPr>
      <w:color w:val="0000FF"/>
      <w:u w:val="single"/>
    </w:rPr>
  </w:style>
  <w:style w:type="character" w:styleId="50">
    <w:name w:val="annotation reference"/>
    <w:basedOn w:val="45"/>
    <w:qFormat/>
    <w:uiPriority w:val="99"/>
    <w:rPr>
      <w:sz w:val="21"/>
      <w:szCs w:val="21"/>
    </w:rPr>
  </w:style>
  <w:style w:type="character" w:customStyle="1" w:styleId="51">
    <w:name w:val="标题 4 字符"/>
    <w:link w:val="5"/>
    <w:qFormat/>
    <w:uiPriority w:val="9"/>
    <w:rPr>
      <w:rFonts w:ascii="Arial" w:hAnsi="Arial" w:eastAsia="黑体"/>
      <w:b/>
      <w:bCs/>
      <w:kern w:val="2"/>
      <w:sz w:val="28"/>
      <w:szCs w:val="28"/>
      <w:lang w:val="en-US" w:eastAsia="zh-CN" w:bidi="ar-SA"/>
    </w:rPr>
  </w:style>
  <w:style w:type="paragraph" w:customStyle="1" w:styleId="52">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53">
    <w:name w:val="标题 3 字符"/>
    <w:link w:val="4"/>
    <w:qFormat/>
    <w:uiPriority w:val="9"/>
    <w:rPr>
      <w:rFonts w:ascii="宋体" w:hAnsi="宋体" w:eastAsia="宋体"/>
      <w:b/>
      <w:bCs/>
      <w:kern w:val="2"/>
      <w:sz w:val="28"/>
      <w:szCs w:val="32"/>
      <w:lang w:val="en-US" w:eastAsia="zh-CN" w:bidi="ar-SA"/>
    </w:rPr>
  </w:style>
  <w:style w:type="character" w:customStyle="1" w:styleId="54">
    <w:name w:val="标题 1 字符"/>
    <w:link w:val="3"/>
    <w:qFormat/>
    <w:uiPriority w:val="0"/>
    <w:rPr>
      <w:rFonts w:ascii="宋体" w:hAnsi="宋体" w:eastAsia="黑体"/>
      <w:b/>
      <w:bCs/>
      <w:kern w:val="44"/>
      <w:sz w:val="28"/>
      <w:szCs w:val="44"/>
      <w:lang w:val="en-US" w:eastAsia="zh-CN" w:bidi="ar-SA"/>
    </w:rPr>
  </w:style>
  <w:style w:type="character" w:customStyle="1" w:styleId="55">
    <w:name w:val="正文缩进 字符"/>
    <w:link w:val="8"/>
    <w:qFormat/>
    <w:uiPriority w:val="0"/>
    <w:rPr>
      <w:rFonts w:eastAsia="宋体"/>
      <w:kern w:val="2"/>
      <w:sz w:val="21"/>
      <w:lang w:val="en-US" w:eastAsia="zh-CN" w:bidi="ar-SA"/>
    </w:rPr>
  </w:style>
  <w:style w:type="character" w:customStyle="1" w:styleId="56">
    <w:name w:val="标题 3 Char"/>
    <w:qFormat/>
    <w:uiPriority w:val="0"/>
    <w:rPr>
      <w:rFonts w:ascii="黑体" w:eastAsia="黑体"/>
      <w:bCs/>
      <w:sz w:val="30"/>
    </w:rPr>
  </w:style>
  <w:style w:type="paragraph" w:customStyle="1" w:styleId="57">
    <w:name w:val="样式41"/>
    <w:basedOn w:val="1"/>
    <w:qFormat/>
    <w:uiPriority w:val="0"/>
    <w:pPr>
      <w:numPr>
        <w:ilvl w:val="0"/>
        <w:numId w:val="2"/>
      </w:numPr>
      <w:tabs>
        <w:tab w:val="left" w:pos="945"/>
      </w:tabs>
      <w:spacing w:line="360" w:lineRule="auto"/>
    </w:pPr>
    <w:rPr>
      <w:b/>
      <w:color w:val="000000"/>
      <w:sz w:val="24"/>
      <w:szCs w:val="20"/>
    </w:rPr>
  </w:style>
  <w:style w:type="paragraph" w:customStyle="1" w:styleId="58">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59">
    <w:name w:val="文档正文"/>
    <w:basedOn w:val="1"/>
    <w:qFormat/>
    <w:uiPriority w:val="0"/>
    <w:pPr>
      <w:adjustRightInd w:val="0"/>
      <w:spacing w:line="480" w:lineRule="atLeast"/>
      <w:ind w:firstLine="567" w:firstLineChars="200"/>
      <w:textAlignment w:val="baseline"/>
    </w:pPr>
    <w:rPr>
      <w:rFonts w:ascii="长城仿宋"/>
      <w:kern w:val="0"/>
      <w:szCs w:val="20"/>
    </w:rPr>
  </w:style>
  <w:style w:type="paragraph" w:customStyle="1" w:styleId="60">
    <w:name w:val="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1">
    <w:name w:val="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2">
    <w:name w:val="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3">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64">
    <w:name w:val="自定义正文"/>
    <w:basedOn w:val="1"/>
    <w:qFormat/>
    <w:uiPriority w:val="0"/>
    <w:pPr>
      <w:spacing w:afterLines="50"/>
      <w:ind w:left="600" w:leftChars="600"/>
    </w:pPr>
  </w:style>
  <w:style w:type="paragraph" w:customStyle="1" w:styleId="65">
    <w:name w:val="Char Char Char Char Char"/>
    <w:basedOn w:val="1"/>
    <w:qFormat/>
    <w:uiPriority w:val="0"/>
    <w:rPr>
      <w:rFonts w:ascii="Tahoma" w:hAnsi="Tahoma"/>
      <w:sz w:val="24"/>
      <w:szCs w:val="20"/>
    </w:rPr>
  </w:style>
  <w:style w:type="paragraph" w:customStyle="1" w:styleId="66">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67">
    <w:name w:val="Char Char"/>
    <w:basedOn w:val="1"/>
    <w:qFormat/>
    <w:uiPriority w:val="0"/>
    <w:rPr>
      <w:rFonts w:ascii="Tahoma" w:hAnsi="Tahoma"/>
      <w:sz w:val="24"/>
      <w:szCs w:val="20"/>
    </w:rPr>
  </w:style>
  <w:style w:type="paragraph" w:customStyle="1" w:styleId="68">
    <w:name w:val="È±Ê¡ÎÄ±¾"/>
    <w:basedOn w:val="1"/>
    <w:qFormat/>
    <w:uiPriority w:val="0"/>
    <w:pPr>
      <w:widowControl/>
      <w:overflowPunct w:val="0"/>
      <w:autoSpaceDE w:val="0"/>
      <w:autoSpaceDN w:val="0"/>
      <w:adjustRightInd w:val="0"/>
      <w:jc w:val="left"/>
      <w:textAlignment w:val="baseline"/>
    </w:pPr>
    <w:rPr>
      <w:kern w:val="0"/>
      <w:sz w:val="24"/>
      <w:szCs w:val="20"/>
    </w:rPr>
  </w:style>
  <w:style w:type="character" w:customStyle="1" w:styleId="69">
    <w:name w:val="标题 2 字符"/>
    <w:link w:val="6"/>
    <w:qFormat/>
    <w:uiPriority w:val="0"/>
    <w:rPr>
      <w:rFonts w:ascii="宋体" w:hAnsi="宋体" w:eastAsia="宋体"/>
      <w:b/>
      <w:bCs/>
      <w:sz w:val="24"/>
      <w:lang w:val="en-US" w:eastAsia="zh-CN" w:bidi="ar-SA"/>
    </w:rPr>
  </w:style>
  <w:style w:type="paragraph" w:customStyle="1" w:styleId="70">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styleId="71">
    <w:name w:val="List Paragraph"/>
    <w:basedOn w:val="1"/>
    <w:qFormat/>
    <w:uiPriority w:val="34"/>
    <w:pPr>
      <w:ind w:firstLine="420" w:firstLineChars="200"/>
    </w:pPr>
    <w:rPr>
      <w:rFonts w:ascii="Calibri" w:hAnsi="Calibri"/>
      <w:szCs w:val="22"/>
    </w:rPr>
  </w:style>
  <w:style w:type="paragraph" w:customStyle="1" w:styleId="72">
    <w:name w:val="USE 1"/>
    <w:basedOn w:val="1"/>
    <w:qFormat/>
    <w:uiPriority w:val="0"/>
    <w:pPr>
      <w:spacing w:line="200" w:lineRule="atLeast"/>
      <w:jc w:val="left"/>
    </w:pPr>
    <w:rPr>
      <w:rFonts w:ascii="宋体" w:hAnsi="宋体"/>
      <w:b/>
      <w:sz w:val="24"/>
      <w:szCs w:val="28"/>
    </w:rPr>
  </w:style>
  <w:style w:type="paragraph" w:customStyle="1" w:styleId="73">
    <w:name w:val="RFI text from 3rd Level"/>
    <w:basedOn w:val="1"/>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74">
    <w:name w:val="正文文字缩进项目"/>
    <w:basedOn w:val="20"/>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75">
    <w:name w:val="样式 标题 2 + 段前: 13 磅 段后: 13 磅 行距: 单倍行距"/>
    <w:basedOn w:val="6"/>
    <w:qFormat/>
    <w:uiPriority w:val="0"/>
    <w:pPr>
      <w:adjustRightInd/>
      <w:spacing w:before="0" w:after="0"/>
      <w:jc w:val="both"/>
      <w:textAlignment w:val="auto"/>
    </w:pPr>
    <w:rPr>
      <w:rFonts w:ascii="Cambria" w:hAnsi="Cambria" w:cs="宋体"/>
      <w:kern w:val="2"/>
      <w:sz w:val="32"/>
    </w:rPr>
  </w:style>
  <w:style w:type="character" w:customStyle="1" w:styleId="76">
    <w:name w:val="H4 Char2"/>
    <w:qFormat/>
    <w:uiPriority w:val="0"/>
    <w:rPr>
      <w:rFonts w:ascii="Arial" w:hAnsi="Arial" w:eastAsia="黑体"/>
      <w:b/>
      <w:bCs/>
      <w:kern w:val="2"/>
      <w:sz w:val="28"/>
      <w:szCs w:val="28"/>
      <w:lang w:val="en-US" w:eastAsia="zh-CN" w:bidi="ar-SA"/>
    </w:rPr>
  </w:style>
  <w:style w:type="character" w:customStyle="1" w:styleId="77">
    <w:name w:val="正文文本缩进 字符"/>
    <w:link w:val="20"/>
    <w:qFormat/>
    <w:uiPriority w:val="0"/>
    <w:rPr>
      <w:rFonts w:eastAsia="宋体"/>
      <w:kern w:val="2"/>
      <w:sz w:val="21"/>
      <w:szCs w:val="24"/>
      <w:lang w:val="en-US" w:eastAsia="zh-CN" w:bidi="ar-SA"/>
    </w:rPr>
  </w:style>
  <w:style w:type="character" w:customStyle="1" w:styleId="78">
    <w:name w:val="标题 5 字符"/>
    <w:link w:val="7"/>
    <w:qFormat/>
    <w:uiPriority w:val="0"/>
    <w:rPr>
      <w:rFonts w:eastAsia="宋体"/>
      <w:b/>
      <w:kern w:val="2"/>
      <w:sz w:val="28"/>
      <w:lang w:val="en-US" w:eastAsia="zh-CN" w:bidi="ar-SA"/>
    </w:rPr>
  </w:style>
  <w:style w:type="character" w:customStyle="1" w:styleId="79">
    <w:name w:val="第*章 Char"/>
    <w:qFormat/>
    <w:uiPriority w:val="0"/>
    <w:rPr>
      <w:rFonts w:ascii="Arial" w:hAnsi="Arial" w:eastAsia="黑体"/>
      <w:b/>
      <w:bCs/>
      <w:kern w:val="2"/>
      <w:sz w:val="32"/>
      <w:szCs w:val="32"/>
    </w:rPr>
  </w:style>
  <w:style w:type="character" w:customStyle="1" w:styleId="80">
    <w:name w:val="章标题1 Char"/>
    <w:qFormat/>
    <w:uiPriority w:val="0"/>
    <w:rPr>
      <w:rFonts w:eastAsia="宋体"/>
      <w:b/>
      <w:bCs/>
      <w:kern w:val="2"/>
      <w:sz w:val="32"/>
      <w:szCs w:val="32"/>
      <w:lang w:val="en-US" w:eastAsia="zh-CN" w:bidi="ar-SA"/>
    </w:rPr>
  </w:style>
  <w:style w:type="character" w:customStyle="1" w:styleId="81">
    <w:name w:val="标题 6 字符"/>
    <w:link w:val="9"/>
    <w:qFormat/>
    <w:uiPriority w:val="0"/>
    <w:rPr>
      <w:rFonts w:ascii="Arial" w:hAnsi="Arial" w:eastAsia="黑体"/>
      <w:b/>
      <w:kern w:val="2"/>
      <w:sz w:val="24"/>
      <w:lang w:val="en-US" w:eastAsia="zh-CN" w:bidi="ar-SA"/>
    </w:rPr>
  </w:style>
  <w:style w:type="character" w:customStyle="1" w:styleId="82">
    <w:name w:val="标题 7 字符"/>
    <w:link w:val="10"/>
    <w:qFormat/>
    <w:uiPriority w:val="0"/>
    <w:rPr>
      <w:rFonts w:eastAsia="宋体"/>
      <w:b/>
      <w:kern w:val="2"/>
      <w:sz w:val="24"/>
      <w:lang w:val="en-US" w:eastAsia="zh-CN" w:bidi="ar-SA"/>
    </w:rPr>
  </w:style>
  <w:style w:type="character" w:customStyle="1" w:styleId="83">
    <w:name w:val="标题 8 字符"/>
    <w:link w:val="11"/>
    <w:qFormat/>
    <w:uiPriority w:val="0"/>
    <w:rPr>
      <w:rFonts w:ascii="Arial" w:hAnsi="Arial" w:eastAsia="黑体"/>
      <w:kern w:val="2"/>
      <w:sz w:val="24"/>
      <w:lang w:val="en-US" w:eastAsia="zh-CN" w:bidi="ar-SA"/>
    </w:rPr>
  </w:style>
  <w:style w:type="character" w:customStyle="1" w:styleId="84">
    <w:name w:val="标题 9 字符"/>
    <w:link w:val="12"/>
    <w:qFormat/>
    <w:uiPriority w:val="0"/>
    <w:rPr>
      <w:rFonts w:ascii="Arial" w:hAnsi="Arial" w:eastAsia="黑体"/>
      <w:kern w:val="2"/>
      <w:sz w:val="21"/>
      <w:lang w:val="en-US" w:eastAsia="zh-CN" w:bidi="ar-SA"/>
    </w:rPr>
  </w:style>
  <w:style w:type="character" w:customStyle="1" w:styleId="85">
    <w:name w:val="标题 字符"/>
    <w:link w:val="40"/>
    <w:qFormat/>
    <w:uiPriority w:val="0"/>
    <w:rPr>
      <w:rFonts w:ascii="Arial" w:hAnsi="Arial" w:eastAsia="隶书" w:cs="Arial"/>
      <w:b/>
      <w:bCs/>
      <w:kern w:val="2"/>
      <w:sz w:val="32"/>
      <w:szCs w:val="32"/>
      <w:lang w:val="en-US" w:eastAsia="zh-CN" w:bidi="ar-SA"/>
    </w:rPr>
  </w:style>
  <w:style w:type="character" w:customStyle="1" w:styleId="86">
    <w:name w:val="日期 字符"/>
    <w:link w:val="25"/>
    <w:qFormat/>
    <w:uiPriority w:val="0"/>
    <w:rPr>
      <w:rFonts w:ascii="宋体" w:hAnsi="Courier New" w:eastAsia="宋体"/>
      <w:kern w:val="2"/>
      <w:sz w:val="32"/>
      <w:lang w:val="en-US" w:eastAsia="zh-CN" w:bidi="ar-SA"/>
    </w:rPr>
  </w:style>
  <w:style w:type="character" w:customStyle="1" w:styleId="87">
    <w:name w:val="HTML 预设格式 字符"/>
    <w:link w:val="37"/>
    <w:qFormat/>
    <w:uiPriority w:val="0"/>
    <w:rPr>
      <w:rFonts w:ascii="Arial Unicode MS" w:hAnsi="Arial Unicode MS" w:eastAsia="Arial Unicode MS"/>
      <w:color w:val="000000"/>
      <w:lang w:val="en-US" w:eastAsia="zh-CN" w:bidi="ar-SA"/>
    </w:rPr>
  </w:style>
  <w:style w:type="character" w:customStyle="1" w:styleId="88">
    <w:name w:val="纯文本 字符"/>
    <w:link w:val="23"/>
    <w:qFormat/>
    <w:uiPriority w:val="0"/>
    <w:rPr>
      <w:rFonts w:ascii="宋体" w:hAnsi="Courier New" w:eastAsia="宋体"/>
      <w:kern w:val="2"/>
      <w:sz w:val="21"/>
      <w:lang w:val="en-US" w:eastAsia="zh-CN" w:bidi="ar-SA"/>
    </w:rPr>
  </w:style>
  <w:style w:type="character" w:customStyle="1" w:styleId="89">
    <w:name w:val="正文文字首行缩进 Char"/>
    <w:qFormat/>
    <w:uiPriority w:val="0"/>
    <w:rPr>
      <w:kern w:val="2"/>
      <w:sz w:val="21"/>
      <w:szCs w:val="24"/>
    </w:rPr>
  </w:style>
  <w:style w:type="character" w:customStyle="1" w:styleId="90">
    <w:name w:val="正文文本 字符"/>
    <w:link w:val="19"/>
    <w:qFormat/>
    <w:uiPriority w:val="0"/>
    <w:rPr>
      <w:rFonts w:eastAsia="宋体"/>
      <w:b/>
      <w:bCs/>
      <w:kern w:val="2"/>
      <w:sz w:val="24"/>
      <w:szCs w:val="24"/>
      <w:lang w:val="en-US" w:eastAsia="zh-CN" w:bidi="ar-SA"/>
    </w:rPr>
  </w:style>
  <w:style w:type="character" w:customStyle="1" w:styleId="91">
    <w:name w:val="正文文本缩进 2 字符"/>
    <w:link w:val="26"/>
    <w:qFormat/>
    <w:uiPriority w:val="0"/>
    <w:rPr>
      <w:rFonts w:ascii="宋体" w:hAnsi="宋体" w:eastAsia="宋体"/>
      <w:kern w:val="2"/>
      <w:sz w:val="21"/>
      <w:szCs w:val="24"/>
      <w:lang w:val="en-US" w:eastAsia="zh-CN" w:bidi="ar-SA"/>
    </w:rPr>
  </w:style>
  <w:style w:type="character" w:customStyle="1" w:styleId="92">
    <w:name w:val="页眉 字符"/>
    <w:link w:val="29"/>
    <w:qFormat/>
    <w:uiPriority w:val="99"/>
    <w:rPr>
      <w:rFonts w:eastAsia="宋体"/>
      <w:kern w:val="2"/>
      <w:sz w:val="18"/>
      <w:szCs w:val="18"/>
      <w:lang w:val="en-US" w:eastAsia="zh-CN" w:bidi="ar-SA"/>
    </w:rPr>
  </w:style>
  <w:style w:type="character" w:customStyle="1" w:styleId="93">
    <w:name w:val="正文文本缩进 3 字符"/>
    <w:link w:val="33"/>
    <w:qFormat/>
    <w:uiPriority w:val="0"/>
    <w:rPr>
      <w:rFonts w:ascii="宋体" w:eastAsia="宋体"/>
      <w:b/>
      <w:bCs/>
      <w:kern w:val="2"/>
      <w:sz w:val="24"/>
      <w:szCs w:val="24"/>
      <w:lang w:val="en-US" w:eastAsia="zh-CN" w:bidi="ar-SA"/>
    </w:rPr>
  </w:style>
  <w:style w:type="character" w:customStyle="1" w:styleId="94">
    <w:name w:val="正文文本 2 字符"/>
    <w:link w:val="36"/>
    <w:qFormat/>
    <w:uiPriority w:val="0"/>
    <w:rPr>
      <w:rFonts w:eastAsia="宋体"/>
      <w:kern w:val="2"/>
      <w:sz w:val="24"/>
      <w:szCs w:val="24"/>
      <w:lang w:val="en-US" w:eastAsia="zh-CN" w:bidi="ar-SA"/>
    </w:rPr>
  </w:style>
  <w:style w:type="character" w:customStyle="1" w:styleId="95">
    <w:name w:val="页脚 字符"/>
    <w:link w:val="28"/>
    <w:qFormat/>
    <w:uiPriority w:val="0"/>
    <w:rPr>
      <w:rFonts w:eastAsia="宋体"/>
      <w:kern w:val="2"/>
      <w:sz w:val="18"/>
      <w:szCs w:val="18"/>
      <w:lang w:val="en-US" w:eastAsia="zh-CN" w:bidi="ar-SA"/>
    </w:rPr>
  </w:style>
  <w:style w:type="character" w:customStyle="1" w:styleId="96">
    <w:name w:val="正文文本 3 字符"/>
    <w:link w:val="18"/>
    <w:qFormat/>
    <w:uiPriority w:val="0"/>
    <w:rPr>
      <w:rFonts w:eastAsia="宋体"/>
      <w:kern w:val="2"/>
      <w:sz w:val="16"/>
      <w:szCs w:val="16"/>
      <w:lang w:val="en-US" w:eastAsia="zh-CN" w:bidi="ar-SA"/>
    </w:rPr>
  </w:style>
  <w:style w:type="character" w:customStyle="1" w:styleId="97">
    <w:name w:val="批注框文本 字符"/>
    <w:link w:val="27"/>
    <w:semiHidden/>
    <w:qFormat/>
    <w:uiPriority w:val="99"/>
    <w:rPr>
      <w:rFonts w:eastAsia="宋体"/>
      <w:kern w:val="2"/>
      <w:sz w:val="18"/>
      <w:szCs w:val="18"/>
      <w:lang w:val="en-US" w:eastAsia="zh-CN" w:bidi="ar-SA"/>
    </w:rPr>
  </w:style>
  <w:style w:type="paragraph" w:customStyle="1" w:styleId="98">
    <w:name w:val="样式1"/>
    <w:basedOn w:val="40"/>
    <w:qFormat/>
    <w:uiPriority w:val="0"/>
    <w:pPr>
      <w:spacing w:before="120" w:after="120"/>
    </w:pPr>
    <w:rPr>
      <w:rFonts w:eastAsia="黑体"/>
      <w:b w:val="0"/>
      <w:sz w:val="30"/>
      <w:szCs w:val="21"/>
    </w:rPr>
  </w:style>
  <w:style w:type="paragraph" w:customStyle="1" w:styleId="99">
    <w:name w:val="样式2"/>
    <w:basedOn w:val="40"/>
    <w:next w:val="98"/>
    <w:qFormat/>
    <w:uiPriority w:val="0"/>
    <w:pPr>
      <w:spacing w:before="120" w:after="120"/>
    </w:pPr>
    <w:rPr>
      <w:rFonts w:eastAsia="黑体"/>
      <w:b w:val="0"/>
      <w:sz w:val="30"/>
      <w:szCs w:val="30"/>
    </w:rPr>
  </w:style>
  <w:style w:type="character" w:customStyle="1" w:styleId="100">
    <w:name w:val="标题 3 Char Char"/>
    <w:qFormat/>
    <w:uiPriority w:val="0"/>
    <w:rPr>
      <w:rFonts w:eastAsia="宋体"/>
      <w:b/>
      <w:bCs/>
      <w:kern w:val="2"/>
      <w:sz w:val="32"/>
      <w:szCs w:val="32"/>
      <w:lang w:val="en-US" w:eastAsia="zh-CN" w:bidi="ar-SA"/>
    </w:rPr>
  </w:style>
  <w:style w:type="paragraph" w:customStyle="1" w:styleId="101">
    <w:name w:val="Char Char Char Char Char Char1 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02">
    <w:name w:val="cont"/>
    <w:basedOn w:val="1"/>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03">
    <w:name w:val="--规划正文"/>
    <w:basedOn w:val="1"/>
    <w:qFormat/>
    <w:uiPriority w:val="0"/>
    <w:pPr>
      <w:spacing w:line="360" w:lineRule="auto"/>
      <w:ind w:firstLine="200" w:firstLineChars="200"/>
    </w:pPr>
    <w:rPr>
      <w:szCs w:val="20"/>
    </w:rPr>
  </w:style>
  <w:style w:type="paragraph" w:customStyle="1" w:styleId="104">
    <w:name w:val="设计依据"/>
    <w:basedOn w:val="19"/>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05">
    <w:name w:val="方案要点"/>
    <w:basedOn w:val="1"/>
    <w:qFormat/>
    <w:uiPriority w:val="0"/>
    <w:pPr>
      <w:numPr>
        <w:ilvl w:val="0"/>
        <w:numId w:val="4"/>
      </w:numPr>
      <w:spacing w:line="360" w:lineRule="auto"/>
    </w:pPr>
    <w:rPr>
      <w:rFonts w:ascii="仿宋_GB2312" w:hAnsi="宋体" w:eastAsia="仿宋_GB2312"/>
      <w:color w:val="000000"/>
      <w:sz w:val="28"/>
      <w:szCs w:val="28"/>
    </w:rPr>
  </w:style>
  <w:style w:type="paragraph" w:customStyle="1" w:styleId="106">
    <w:name w:val="样式4"/>
    <w:basedOn w:val="1"/>
    <w:qFormat/>
    <w:uiPriority w:val="0"/>
    <w:pPr>
      <w:tabs>
        <w:tab w:val="left" w:pos="842"/>
      </w:tabs>
      <w:spacing w:line="360" w:lineRule="auto"/>
      <w:ind w:left="842" w:hanging="420"/>
    </w:pPr>
    <w:rPr>
      <w:sz w:val="24"/>
    </w:rPr>
  </w:style>
  <w:style w:type="paragraph" w:customStyle="1" w:styleId="107">
    <w:name w:val="文字"/>
    <w:basedOn w:val="1"/>
    <w:qFormat/>
    <w:uiPriority w:val="0"/>
    <w:pPr>
      <w:tabs>
        <w:tab w:val="left" w:pos="8520"/>
      </w:tabs>
      <w:spacing w:line="312" w:lineRule="auto"/>
      <w:ind w:right="-210" w:firstLine="556"/>
    </w:pPr>
    <w:rPr>
      <w:rFonts w:ascii="宋体"/>
      <w:sz w:val="28"/>
      <w:szCs w:val="20"/>
    </w:rPr>
  </w:style>
  <w:style w:type="paragraph" w:customStyle="1" w:styleId="108">
    <w:name w:val="--规划-表格-居左"/>
    <w:basedOn w:val="103"/>
    <w:qFormat/>
    <w:uiPriority w:val="0"/>
    <w:pPr>
      <w:spacing w:line="240" w:lineRule="auto"/>
      <w:ind w:firstLine="0" w:firstLineChars="0"/>
    </w:pPr>
    <w:rPr>
      <w:sz w:val="20"/>
    </w:rPr>
  </w:style>
  <w:style w:type="paragraph" w:customStyle="1" w:styleId="109">
    <w:name w:val="--规划-表格-居中"/>
    <w:basedOn w:val="103"/>
    <w:qFormat/>
    <w:uiPriority w:val="0"/>
    <w:pPr>
      <w:spacing w:line="240" w:lineRule="auto"/>
      <w:ind w:firstLine="0" w:firstLineChars="0"/>
      <w:jc w:val="center"/>
    </w:pPr>
    <w:rPr>
      <w:sz w:val="20"/>
    </w:rPr>
  </w:style>
  <w:style w:type="paragraph" w:customStyle="1" w:styleId="110">
    <w:name w:val="--编号内缩进"/>
    <w:basedOn w:val="1"/>
    <w:qFormat/>
    <w:uiPriority w:val="0"/>
    <w:pPr>
      <w:spacing w:line="360" w:lineRule="auto"/>
      <w:ind w:left="420" w:firstLine="200" w:firstLineChars="200"/>
    </w:pPr>
    <w:rPr>
      <w:szCs w:val="21"/>
    </w:rPr>
  </w:style>
  <w:style w:type="paragraph" w:customStyle="1" w:styleId="111">
    <w:name w:val="--规划-题注"/>
    <w:basedOn w:val="1"/>
    <w:next w:val="103"/>
    <w:qFormat/>
    <w:uiPriority w:val="0"/>
    <w:pPr>
      <w:spacing w:line="360" w:lineRule="auto"/>
      <w:jc w:val="center"/>
    </w:pPr>
    <w:rPr>
      <w:rFonts w:eastAsia="黑体"/>
    </w:rPr>
  </w:style>
  <w:style w:type="paragraph" w:customStyle="1" w:styleId="112">
    <w:name w:val="--规划-图和表"/>
    <w:next w:val="103"/>
    <w:qFormat/>
    <w:uiPriority w:val="0"/>
    <w:pPr>
      <w:jc w:val="center"/>
    </w:pPr>
    <w:rPr>
      <w:rFonts w:ascii="Times New Roman" w:hAnsi="Times New Roman" w:eastAsia="宋体" w:cs="Times New Roman"/>
      <w:kern w:val="2"/>
      <w:sz w:val="21"/>
      <w:lang w:val="en-US" w:eastAsia="zh-CN" w:bidi="ar-SA"/>
    </w:rPr>
  </w:style>
  <w:style w:type="paragraph" w:customStyle="1" w:styleId="113">
    <w:name w:val="--规划-小标题"/>
    <w:basedOn w:val="1"/>
    <w:next w:val="103"/>
    <w:qFormat/>
    <w:uiPriority w:val="0"/>
    <w:pPr>
      <w:keepNext/>
      <w:keepLines/>
      <w:spacing w:line="360" w:lineRule="auto"/>
      <w:outlineLvl w:val="4"/>
    </w:pPr>
    <w:rPr>
      <w:rFonts w:eastAsia="黑体"/>
    </w:rPr>
  </w:style>
  <w:style w:type="paragraph" w:customStyle="1" w:styleId="114">
    <w:name w:val="--规划正文 Char"/>
    <w:basedOn w:val="1"/>
    <w:qFormat/>
    <w:uiPriority w:val="0"/>
    <w:pPr>
      <w:spacing w:line="360" w:lineRule="auto"/>
      <w:ind w:firstLine="200" w:firstLineChars="200"/>
    </w:pPr>
    <w:rPr>
      <w:sz w:val="24"/>
    </w:rPr>
  </w:style>
  <w:style w:type="paragraph" w:customStyle="1" w:styleId="115">
    <w:name w:val="缺省文本"/>
    <w:basedOn w:val="1"/>
    <w:qFormat/>
    <w:uiPriority w:val="0"/>
    <w:pPr>
      <w:autoSpaceDE w:val="0"/>
      <w:autoSpaceDN w:val="0"/>
      <w:adjustRightInd w:val="0"/>
      <w:jc w:val="left"/>
    </w:pPr>
    <w:rPr>
      <w:kern w:val="0"/>
    </w:rPr>
  </w:style>
  <w:style w:type="paragraph" w:customStyle="1" w:styleId="116">
    <w:name w:val="封面文档标题"/>
    <w:basedOn w:val="1"/>
    <w:qFormat/>
    <w:uiPriority w:val="0"/>
    <w:pPr>
      <w:autoSpaceDE w:val="0"/>
      <w:autoSpaceDN w:val="0"/>
      <w:adjustRightInd w:val="0"/>
      <w:spacing w:line="360" w:lineRule="auto"/>
      <w:jc w:val="center"/>
    </w:pPr>
    <w:rPr>
      <w:rFonts w:ascii="Arial" w:hAnsi="Arial"/>
      <w:b/>
      <w:kern w:val="0"/>
      <w:sz w:val="56"/>
    </w:rPr>
  </w:style>
  <w:style w:type="character" w:customStyle="1" w:styleId="117">
    <w:name w:val="--规划正文 Char Char"/>
    <w:qFormat/>
    <w:uiPriority w:val="0"/>
    <w:rPr>
      <w:rFonts w:eastAsia="宋体"/>
      <w:kern w:val="2"/>
      <w:sz w:val="24"/>
      <w:szCs w:val="24"/>
      <w:lang w:val="en-US" w:eastAsia="zh-CN" w:bidi="ar-SA"/>
    </w:rPr>
  </w:style>
  <w:style w:type="paragraph" w:customStyle="1" w:styleId="118">
    <w:name w:val="样式3"/>
    <w:basedOn w:val="3"/>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19">
    <w:name w:val="--规划正文 Char1"/>
    <w:qFormat/>
    <w:uiPriority w:val="0"/>
    <w:rPr>
      <w:rFonts w:eastAsia="宋体"/>
      <w:kern w:val="2"/>
      <w:sz w:val="21"/>
      <w:lang w:val="en-US" w:eastAsia="zh-CN" w:bidi="ar-SA"/>
    </w:rPr>
  </w:style>
  <w:style w:type="paragraph" w:customStyle="1" w:styleId="120">
    <w:name w:val="word"/>
    <w:basedOn w:val="1"/>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1">
    <w:name w:val="列表项目"/>
    <w:basedOn w:val="1"/>
    <w:qFormat/>
    <w:uiPriority w:val="0"/>
    <w:pPr>
      <w:tabs>
        <w:tab w:val="left" w:pos="420"/>
        <w:tab w:val="left" w:pos="1080"/>
      </w:tabs>
      <w:spacing w:line="288" w:lineRule="auto"/>
      <w:ind w:left="1080" w:hanging="360"/>
    </w:pPr>
    <w:rPr>
      <w:sz w:val="24"/>
      <w:szCs w:val="20"/>
    </w:rPr>
  </w:style>
  <w:style w:type="character" w:customStyle="1" w:styleId="122">
    <w:name w:val="content1"/>
    <w:qFormat/>
    <w:uiPriority w:val="0"/>
    <w:rPr>
      <w:rFonts w:hint="default" w:ascii="??" w:hAnsi="??"/>
      <w:sz w:val="16"/>
      <w:szCs w:val="16"/>
      <w:u w:val="none"/>
    </w:rPr>
  </w:style>
  <w:style w:type="character" w:customStyle="1" w:styleId="123">
    <w:name w:val="unnamed4"/>
    <w:basedOn w:val="45"/>
    <w:qFormat/>
    <w:uiPriority w:val="0"/>
  </w:style>
  <w:style w:type="character" w:customStyle="1" w:styleId="124">
    <w:name w:val="font2"/>
    <w:basedOn w:val="45"/>
    <w:qFormat/>
    <w:uiPriority w:val="0"/>
  </w:style>
  <w:style w:type="character" w:customStyle="1" w:styleId="125">
    <w:name w:val="font41"/>
    <w:qFormat/>
    <w:uiPriority w:val="0"/>
    <w:rPr>
      <w:color w:val="000000"/>
      <w:spacing w:val="260"/>
      <w:sz w:val="18"/>
      <w:szCs w:val="18"/>
      <w:u w:val="none"/>
    </w:rPr>
  </w:style>
  <w:style w:type="paragraph" w:customStyle="1" w:styleId="126">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27">
    <w:name w:val="xl72"/>
    <w:basedOn w:val="1"/>
    <w:qFormat/>
    <w:uiPriority w:val="0"/>
    <w:pPr>
      <w:widowControl/>
      <w:spacing w:before="100" w:beforeAutospacing="1" w:after="100" w:afterAutospacing="1"/>
      <w:jc w:val="left"/>
    </w:pPr>
    <w:rPr>
      <w:rFonts w:ascii="宋体" w:hAnsi="宋体"/>
      <w:b/>
      <w:bCs/>
      <w:kern w:val="0"/>
      <w:sz w:val="28"/>
      <w:szCs w:val="28"/>
    </w:rPr>
  </w:style>
  <w:style w:type="character" w:customStyle="1" w:styleId="128">
    <w:name w:val="正文文本首行缩进 字符"/>
    <w:link w:val="42"/>
    <w:qFormat/>
    <w:uiPriority w:val="0"/>
    <w:rPr>
      <w:rFonts w:eastAsia="宋体"/>
      <w:b/>
      <w:bCs/>
      <w:kern w:val="2"/>
      <w:sz w:val="21"/>
      <w:szCs w:val="24"/>
      <w:lang w:val="en-US" w:eastAsia="zh-CN" w:bidi="ar-SA"/>
    </w:rPr>
  </w:style>
  <w:style w:type="paragraph" w:customStyle="1" w:styleId="129">
    <w:name w:val="正文(首行缩进) Char"/>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0">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1">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32">
    <w:name w:val="mode"/>
    <w:basedOn w:val="45"/>
    <w:qFormat/>
    <w:uiPriority w:val="0"/>
  </w:style>
  <w:style w:type="paragraph" w:customStyle="1" w:styleId="133">
    <w:name w:val="9"/>
    <w:basedOn w:val="1"/>
    <w:next w:val="8"/>
    <w:qFormat/>
    <w:uiPriority w:val="0"/>
    <w:pPr>
      <w:autoSpaceDE w:val="0"/>
      <w:autoSpaceDN w:val="0"/>
      <w:adjustRightInd w:val="0"/>
      <w:ind w:firstLine="420"/>
      <w:jc w:val="left"/>
      <w:textAlignment w:val="baseline"/>
    </w:pPr>
    <w:rPr>
      <w:rFonts w:ascii="宋体"/>
      <w:kern w:val="0"/>
      <w:sz w:val="34"/>
      <w:szCs w:val="20"/>
    </w:rPr>
  </w:style>
  <w:style w:type="character" w:customStyle="1" w:styleId="134">
    <w:name w:val="unnamed3"/>
    <w:basedOn w:val="45"/>
    <w:qFormat/>
    <w:uiPriority w:val="0"/>
  </w:style>
  <w:style w:type="paragraph" w:customStyle="1" w:styleId="135">
    <w:name w:val="8"/>
    <w:basedOn w:val="1"/>
    <w:next w:val="20"/>
    <w:qFormat/>
    <w:uiPriority w:val="0"/>
    <w:pPr>
      <w:spacing w:after="120"/>
      <w:ind w:left="420" w:leftChars="200"/>
    </w:pPr>
  </w:style>
  <w:style w:type="paragraph" w:customStyle="1" w:styleId="136">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37">
    <w:name w:val="00"/>
    <w:basedOn w:val="1"/>
    <w:qFormat/>
    <w:uiPriority w:val="0"/>
    <w:pPr>
      <w:autoSpaceDE w:val="0"/>
      <w:autoSpaceDN w:val="0"/>
      <w:adjustRightInd w:val="0"/>
      <w:jc w:val="left"/>
    </w:pPr>
    <w:rPr>
      <w:rFonts w:ascii="黑体" w:eastAsia="黑体"/>
      <w:b/>
      <w:bCs/>
      <w:kern w:val="0"/>
      <w:sz w:val="20"/>
      <w:szCs w:val="20"/>
    </w:rPr>
  </w:style>
  <w:style w:type="paragraph" w:customStyle="1" w:styleId="138">
    <w:name w:val="5"/>
    <w:basedOn w:val="1"/>
    <w:qFormat/>
    <w:uiPriority w:val="0"/>
    <w:pPr>
      <w:autoSpaceDE w:val="0"/>
      <w:autoSpaceDN w:val="0"/>
      <w:adjustRightInd w:val="0"/>
      <w:jc w:val="left"/>
    </w:pPr>
    <w:rPr>
      <w:rFonts w:ascii="宋体"/>
      <w:b/>
      <w:bCs/>
      <w:kern w:val="0"/>
      <w:sz w:val="18"/>
      <w:szCs w:val="18"/>
    </w:rPr>
  </w:style>
  <w:style w:type="paragraph" w:customStyle="1" w:styleId="139">
    <w:name w:val="6"/>
    <w:basedOn w:val="138"/>
    <w:qFormat/>
    <w:uiPriority w:val="0"/>
    <w:pPr>
      <w:spacing w:line="270" w:lineRule="atLeast"/>
      <w:jc w:val="both"/>
    </w:pPr>
    <w:rPr>
      <w:b w:val="0"/>
      <w:bCs w:val="0"/>
    </w:rPr>
  </w:style>
  <w:style w:type="paragraph" w:customStyle="1" w:styleId="140">
    <w:name w:val="产品描述"/>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1">
    <w:name w:val="姜文清定义的正文"/>
    <w:basedOn w:val="1"/>
    <w:qFormat/>
    <w:uiPriority w:val="0"/>
    <w:pPr>
      <w:spacing w:line="240" w:lineRule="atLeast"/>
      <w:ind w:firstLine="567"/>
    </w:pPr>
    <w:rPr>
      <w:szCs w:val="20"/>
    </w:rPr>
  </w:style>
  <w:style w:type="paragraph" w:customStyle="1" w:styleId="14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43">
    <w:name w:val="CM2"/>
    <w:basedOn w:val="142"/>
    <w:next w:val="142"/>
    <w:qFormat/>
    <w:uiPriority w:val="0"/>
    <w:pPr>
      <w:spacing w:line="200" w:lineRule="atLeast"/>
    </w:pPr>
    <w:rPr>
      <w:rFonts w:ascii="Arial" w:hAnsi="Arial" w:eastAsia="宋体" w:cs="Times New Roman"/>
      <w:color w:val="auto"/>
    </w:rPr>
  </w:style>
  <w:style w:type="paragraph" w:customStyle="1" w:styleId="144">
    <w:name w:val="Normal Paragraph"/>
    <w:basedOn w:val="1"/>
    <w:qFormat/>
    <w:uiPriority w:val="0"/>
    <w:pPr>
      <w:widowControl/>
      <w:spacing w:before="120" w:line="360" w:lineRule="auto"/>
      <w:ind w:firstLine="425"/>
    </w:pPr>
    <w:rPr>
      <w:kern w:val="0"/>
      <w:sz w:val="24"/>
    </w:rPr>
  </w:style>
  <w:style w:type="character" w:customStyle="1" w:styleId="145">
    <w:name w:val="blue"/>
    <w:basedOn w:val="45"/>
    <w:qFormat/>
    <w:uiPriority w:val="0"/>
  </w:style>
  <w:style w:type="paragraph" w:customStyle="1" w:styleId="146">
    <w:name w:val="blue1"/>
    <w:basedOn w:val="1"/>
    <w:qFormat/>
    <w:uiPriority w:val="0"/>
    <w:pPr>
      <w:widowControl/>
      <w:spacing w:before="100" w:beforeAutospacing="1" w:after="100" w:afterAutospacing="1"/>
      <w:jc w:val="left"/>
    </w:pPr>
    <w:rPr>
      <w:rFonts w:ascii="宋体" w:hAnsi="宋体" w:cs="宋体"/>
      <w:kern w:val="0"/>
      <w:sz w:val="24"/>
    </w:rPr>
  </w:style>
  <w:style w:type="character" w:customStyle="1" w:styleId="147">
    <w:name w:val="font"/>
    <w:basedOn w:val="45"/>
    <w:qFormat/>
    <w:uiPriority w:val="0"/>
  </w:style>
  <w:style w:type="character" w:customStyle="1" w:styleId="148">
    <w:name w:val="font11"/>
    <w:qFormat/>
    <w:uiPriority w:val="0"/>
    <w:rPr>
      <w:rFonts w:hint="default" w:ascii="ˎ̥" w:hAnsi="ˎ̥"/>
    </w:rPr>
  </w:style>
  <w:style w:type="paragraph" w:customStyle="1" w:styleId="149">
    <w:name w:val="a14"/>
    <w:basedOn w:val="1"/>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0">
    <w:name w:val="proddescription"/>
    <w:basedOn w:val="45"/>
    <w:qFormat/>
    <w:uiPriority w:val="0"/>
  </w:style>
  <w:style w:type="character" w:customStyle="1" w:styleId="151">
    <w:name w:val="prodheadlines"/>
    <w:basedOn w:val="45"/>
    <w:qFormat/>
    <w:uiPriority w:val="0"/>
  </w:style>
  <w:style w:type="character" w:customStyle="1" w:styleId="152">
    <w:name w:val="text"/>
    <w:basedOn w:val="45"/>
    <w:qFormat/>
    <w:uiPriority w:val="0"/>
  </w:style>
  <w:style w:type="paragraph" w:customStyle="1" w:styleId="153">
    <w:name w:val="text1"/>
    <w:basedOn w:val="1"/>
    <w:qFormat/>
    <w:uiPriority w:val="0"/>
    <w:pPr>
      <w:widowControl/>
      <w:spacing w:before="100" w:beforeAutospacing="1" w:after="100" w:afterAutospacing="1"/>
      <w:jc w:val="left"/>
    </w:pPr>
    <w:rPr>
      <w:rFonts w:ascii="宋体" w:hAnsi="宋体" w:cs="宋体"/>
      <w:kern w:val="0"/>
      <w:sz w:val="24"/>
    </w:rPr>
  </w:style>
  <w:style w:type="paragraph" w:customStyle="1" w:styleId="154">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55">
    <w:name w:val="z-窗体底端1"/>
    <w:basedOn w:val="1"/>
    <w:next w:val="1"/>
    <w:hidden/>
    <w:qFormat/>
    <w:uiPriority w:val="0"/>
    <w:pPr>
      <w:widowControl/>
      <w:pBdr>
        <w:top w:val="single" w:color="auto" w:sz="6" w:space="1"/>
      </w:pBdr>
      <w:jc w:val="center"/>
    </w:pPr>
    <w:rPr>
      <w:rFonts w:ascii="Arial" w:hAnsi="Arial" w:cs="Arial"/>
      <w:vanish/>
      <w:kern w:val="0"/>
      <w:sz w:val="16"/>
      <w:szCs w:val="16"/>
    </w:rPr>
  </w:style>
  <w:style w:type="paragraph" w:customStyle="1" w:styleId="156">
    <w:name w:val="正文样式"/>
    <w:basedOn w:val="1"/>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57">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58">
    <w:name w:val="段落正文"/>
    <w:basedOn w:val="23"/>
    <w:qFormat/>
    <w:uiPriority w:val="0"/>
    <w:pPr>
      <w:ind w:firstLine="560" w:firstLineChars="200"/>
    </w:pPr>
    <w:rPr>
      <w:sz w:val="28"/>
    </w:rPr>
  </w:style>
  <w:style w:type="character" w:customStyle="1" w:styleId="159">
    <w:name w:val="gray6"/>
    <w:basedOn w:val="45"/>
    <w:qFormat/>
    <w:uiPriority w:val="0"/>
  </w:style>
  <w:style w:type="character" w:customStyle="1" w:styleId="160">
    <w:name w:val="style9"/>
    <w:basedOn w:val="45"/>
    <w:qFormat/>
    <w:uiPriority w:val="0"/>
  </w:style>
  <w:style w:type="paragraph" w:customStyle="1" w:styleId="161">
    <w:name w:val="2册标题4"/>
    <w:basedOn w:val="1"/>
    <w:next w:val="1"/>
    <w:qFormat/>
    <w:uiPriority w:val="0"/>
    <w:pPr>
      <w:spacing w:beforeLines="50" w:afterLines="50" w:line="300" w:lineRule="auto"/>
      <w:ind w:left="420" w:leftChars="200"/>
      <w:outlineLvl w:val="3"/>
    </w:pPr>
    <w:rPr>
      <w:rFonts w:ascii="Arial" w:hAnsi="Arial" w:eastAsia="幼圆" w:cs="Arial"/>
      <w:b/>
      <w:sz w:val="24"/>
    </w:rPr>
  </w:style>
  <w:style w:type="character" w:customStyle="1" w:styleId="162">
    <w:name w:val="grame"/>
    <w:basedOn w:val="45"/>
    <w:qFormat/>
    <w:uiPriority w:val="0"/>
  </w:style>
  <w:style w:type="paragraph" w:customStyle="1" w:styleId="163">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64">
    <w:name w:val="Char1"/>
    <w:basedOn w:val="1"/>
    <w:qFormat/>
    <w:uiPriority w:val="0"/>
    <w:pPr>
      <w:jc w:val="left"/>
    </w:pPr>
    <w:rPr>
      <w:rFonts w:ascii="Tahoma" w:hAnsi="Tahoma"/>
      <w:sz w:val="24"/>
      <w:szCs w:val="20"/>
    </w:rPr>
  </w:style>
  <w:style w:type="paragraph" w:customStyle="1" w:styleId="165">
    <w:name w:val="编号1"/>
    <w:basedOn w:val="1"/>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66">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67">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6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9">
    <w:name w:val="font6"/>
    <w:basedOn w:val="1"/>
    <w:qFormat/>
    <w:uiPriority w:val="0"/>
    <w:pPr>
      <w:widowControl/>
      <w:spacing w:before="100" w:beforeAutospacing="1" w:after="100" w:afterAutospacing="1"/>
      <w:jc w:val="left"/>
    </w:pPr>
    <w:rPr>
      <w:kern w:val="0"/>
      <w:sz w:val="24"/>
    </w:rPr>
  </w:style>
  <w:style w:type="paragraph" w:customStyle="1" w:styleId="17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72">
    <w:name w:val="表格字"/>
    <w:basedOn w:val="1"/>
    <w:qFormat/>
    <w:uiPriority w:val="0"/>
    <w:pPr>
      <w:adjustRightInd w:val="0"/>
      <w:jc w:val="center"/>
    </w:pPr>
    <w:rPr>
      <w:rFonts w:ascii="宋体"/>
      <w:sz w:val="24"/>
      <w:szCs w:val="20"/>
    </w:rPr>
  </w:style>
  <w:style w:type="character" w:customStyle="1" w:styleId="173">
    <w:name w:val="样式 小三 加粗"/>
    <w:qFormat/>
    <w:uiPriority w:val="0"/>
    <w:rPr>
      <w:rFonts w:eastAsia="宋体"/>
      <w:b/>
      <w:bCs/>
      <w:sz w:val="32"/>
    </w:rPr>
  </w:style>
  <w:style w:type="paragraph" w:customStyle="1" w:styleId="17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76">
    <w:name w:val="Char Char Char"/>
    <w:basedOn w:val="1"/>
    <w:qFormat/>
    <w:uiPriority w:val="0"/>
    <w:rPr>
      <w:rFonts w:ascii="Tahoma" w:hAnsi="Tahoma"/>
      <w:sz w:val="24"/>
      <w:szCs w:val="20"/>
    </w:rPr>
  </w:style>
  <w:style w:type="paragraph" w:customStyle="1" w:styleId="177">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78">
    <w:name w:val="info4"/>
    <w:basedOn w:val="45"/>
    <w:qFormat/>
    <w:uiPriority w:val="0"/>
  </w:style>
  <w:style w:type="paragraph" w:customStyle="1" w:styleId="179">
    <w:name w:val="缩进正文"/>
    <w:basedOn w:val="1"/>
    <w:link w:val="180"/>
    <w:qFormat/>
    <w:uiPriority w:val="0"/>
    <w:pPr>
      <w:ind w:firstLine="560" w:firstLineChars="200"/>
    </w:pPr>
    <w:rPr>
      <w:rFonts w:eastAsia="仿宋_GB2312" w:cs="宋体"/>
      <w:sz w:val="28"/>
      <w:szCs w:val="20"/>
    </w:rPr>
  </w:style>
  <w:style w:type="character" w:customStyle="1" w:styleId="180">
    <w:name w:val="缩进正文 Char"/>
    <w:link w:val="179"/>
    <w:qFormat/>
    <w:uiPriority w:val="0"/>
    <w:rPr>
      <w:rFonts w:eastAsia="仿宋_GB2312" w:cs="宋体"/>
      <w:kern w:val="2"/>
      <w:sz w:val="28"/>
      <w:lang w:val="en-US" w:eastAsia="zh-CN" w:bidi="ar-SA"/>
    </w:rPr>
  </w:style>
  <w:style w:type="paragraph" w:customStyle="1" w:styleId="181">
    <w:name w:val="列出段落1"/>
    <w:basedOn w:val="1"/>
    <w:qFormat/>
    <w:uiPriority w:val="0"/>
    <w:pPr>
      <w:ind w:firstLine="420" w:firstLineChars="200"/>
    </w:pPr>
    <w:rPr>
      <w:rFonts w:ascii="Calibri" w:hAnsi="Calibri" w:cs="Calibri"/>
      <w:szCs w:val="21"/>
    </w:rPr>
  </w:style>
  <w:style w:type="character" w:customStyle="1" w:styleId="182">
    <w:name w:val="批注文字 字符"/>
    <w:basedOn w:val="45"/>
    <w:link w:val="17"/>
    <w:qFormat/>
    <w:uiPriority w:val="99"/>
    <w:rPr>
      <w:rFonts w:ascii="宋体"/>
      <w:sz w:val="34"/>
    </w:rPr>
  </w:style>
  <w:style w:type="character" w:customStyle="1" w:styleId="183">
    <w:name w:val="批注主题 字符"/>
    <w:basedOn w:val="182"/>
    <w:link w:val="41"/>
    <w:qFormat/>
    <w:uiPriority w:val="99"/>
    <w:rPr>
      <w:rFonts w:ascii="宋体"/>
      <w:sz w:val="34"/>
    </w:rPr>
  </w:style>
  <w:style w:type="paragraph" w:customStyle="1" w:styleId="184">
    <w:name w:val="评价"/>
    <w:basedOn w:val="1"/>
    <w:qFormat/>
    <w:uiPriority w:val="0"/>
    <w:pPr>
      <w:spacing w:afterLines="20"/>
      <w:ind w:firstLine="1446" w:firstLineChars="200"/>
    </w:pPr>
    <w:rPr>
      <w:rFonts w:ascii="Calibri" w:hAnsi="Calibri"/>
      <w:sz w:val="24"/>
    </w:rPr>
  </w:style>
  <w:style w:type="paragraph" w:customStyle="1" w:styleId="18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86">
    <w:name w:val="alt-edited1"/>
    <w:qFormat/>
    <w:uiPriority w:val="0"/>
    <w:rPr>
      <w:color w:val="4D90F0"/>
    </w:rPr>
  </w:style>
  <w:style w:type="character" w:customStyle="1" w:styleId="187">
    <w:name w:val="body text Char1"/>
    <w:qFormat/>
    <w:uiPriority w:val="0"/>
    <w:rPr>
      <w:rFonts w:eastAsia="宋体"/>
      <w:kern w:val="2"/>
      <w:sz w:val="21"/>
      <w:lang w:val="en-US" w:eastAsia="zh-CN" w:bidi="ar-SA"/>
    </w:rPr>
  </w:style>
  <w:style w:type="character" w:customStyle="1" w:styleId="188">
    <w:name w:val="普通(网站) 字符"/>
    <w:link w:val="38"/>
    <w:qFormat/>
    <w:uiPriority w:val="0"/>
    <w:rPr>
      <w:kern w:val="2"/>
      <w:sz w:val="24"/>
      <w:szCs w:val="24"/>
    </w:rPr>
  </w:style>
  <w:style w:type="character" w:customStyle="1" w:styleId="189">
    <w:name w:val="批注文字 Char1"/>
    <w:qFormat/>
    <w:uiPriority w:val="99"/>
    <w:rPr>
      <w:rFonts w:ascii="宋体"/>
      <w:sz w:val="34"/>
    </w:rPr>
  </w:style>
  <w:style w:type="character" w:customStyle="1" w:styleId="190">
    <w:name w:val="正文缩进 Char1"/>
    <w:qFormat/>
    <w:uiPriority w:val="0"/>
    <w:rPr>
      <w:rFonts w:eastAsia="宋体"/>
      <w:kern w:val="2"/>
      <w:sz w:val="21"/>
      <w:lang w:val="en-US" w:eastAsia="zh-CN" w:bidi="ar-SA"/>
    </w:rPr>
  </w:style>
  <w:style w:type="table" w:customStyle="1" w:styleId="191">
    <w:name w:val="网格型1"/>
    <w:basedOn w:val="43"/>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2">
    <w:name w:val="修订2"/>
    <w:hidden/>
    <w:unhideWhenUsed/>
    <w:qFormat/>
    <w:uiPriority w:val="99"/>
    <w:rPr>
      <w:rFonts w:ascii="Times New Roman" w:hAnsi="Times New Roman" w:eastAsia="宋体" w:cs="Times New Roman"/>
      <w:kern w:val="2"/>
      <w:sz w:val="21"/>
      <w:szCs w:val="24"/>
      <w:lang w:val="en-US" w:eastAsia="zh-CN" w:bidi="ar-SA"/>
    </w:rPr>
  </w:style>
  <w:style w:type="paragraph" w:styleId="193">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94">
    <w:name w:val="15"/>
    <w:basedOn w:val="45"/>
    <w:qFormat/>
    <w:uiPriority w:val="0"/>
    <w:rPr>
      <w:rFonts w:hint="default" w:ascii="Times New Roman" w:hAnsi="Times New Roman" w:cs="Times New Roman"/>
    </w:rPr>
  </w:style>
  <w:style w:type="paragraph" w:customStyle="1" w:styleId="195">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196">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197">
    <w:name w:val="Revision"/>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42720</Words>
  <Characters>44866</Characters>
  <Lines>341</Lines>
  <Paragraphs>96</Paragraphs>
  <TotalTime>0</TotalTime>
  <ScaleCrop>false</ScaleCrop>
  <LinksUpToDate>false</LinksUpToDate>
  <CharactersWithSpaces>46376</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2021-04-21T00:29:00Z</dcterms:created>
  <dc:creator>thsware</dc:creator>
  <cp:lastModifiedBy>叶倩岚</cp:lastModifiedBy>
  <cp:lastPrinted>2021-05-11T00:02:00Z</cp:lastPrinted>
  <dcterms:modified xsi:type="dcterms:W3CDTF">2025-03-14T10:08:49Z</dcterms:modified>
  <dc:title>招  标　文　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0E39D2DB98814FA29D2BA36D8FEA7022</vt:lpwstr>
  </property>
  <property fmtid="{D5CDD505-2E9C-101B-9397-08002B2CF9AE}" pid="4" name="KSOTemplateDocerSaveRecord">
    <vt:lpwstr>eyJoZGlkIjoiNDM1MDVmMWU2ZWQ2ZTNhOWMwY2EwNjE0MGQ1YzE3N2QiLCJ1c2VySWQiOiIzMzEwOTYyNTAifQ==</vt:lpwstr>
  </property>
</Properties>
</file>