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5D1A4F">
      <w:pPr>
        <w:spacing w:line="500" w:lineRule="exact"/>
        <w:jc w:val="left"/>
        <w:rPr>
          <w:rFonts w:hint="eastAsia" w:ascii="仿宋_GB2312" w:hAnsi="Times New Roman" w:eastAsia="仿宋_GB2312" w:cs="Times New Roman"/>
          <w:b/>
          <w:bCs/>
          <w:color w:val="auto"/>
          <w:sz w:val="30"/>
          <w:szCs w:val="30"/>
        </w:rPr>
      </w:pPr>
      <w:r>
        <w:rPr>
          <w:rFonts w:hint="eastAsia" w:ascii="仿宋_GB2312" w:hAnsi="Times New Roman" w:eastAsia="仿宋_GB2312" w:cs="Times New Roman"/>
          <w:b/>
          <w:bCs/>
          <w:color w:val="auto"/>
          <w:sz w:val="30"/>
          <w:szCs w:val="30"/>
        </w:rPr>
        <w:t>附件</w:t>
      </w:r>
      <w:r>
        <w:rPr>
          <w:rFonts w:hint="eastAsia" w:ascii="仿宋_GB2312" w:hAnsi="Times New Roman" w:eastAsia="仿宋_GB2312" w:cs="Times New Roman"/>
          <w:b/>
          <w:bCs/>
          <w:color w:val="auto"/>
          <w:sz w:val="30"/>
          <w:szCs w:val="30"/>
          <w:lang w:val="en-US" w:eastAsia="zh-CN"/>
        </w:rPr>
        <w:t>五</w:t>
      </w:r>
      <w:r>
        <w:rPr>
          <w:rFonts w:hint="eastAsia" w:ascii="仿宋_GB2312" w:hAnsi="Times New Roman" w:eastAsia="仿宋_GB2312" w:cs="Times New Roman"/>
          <w:b/>
          <w:bCs/>
          <w:color w:val="auto"/>
          <w:sz w:val="30"/>
          <w:szCs w:val="30"/>
        </w:rPr>
        <w:t>：综合评分表</w:t>
      </w:r>
    </w:p>
    <w:p w14:paraId="1B3C3153">
      <w:pPr>
        <w:pStyle w:val="5"/>
        <w:jc w:val="center"/>
        <w:rPr>
          <w:rFonts w:hint="eastAsia" w:ascii="仿宋_GB2312" w:eastAsia="仿宋_GB2312"/>
          <w:b/>
          <w:bCs/>
          <w:sz w:val="30"/>
          <w:szCs w:val="30"/>
        </w:rPr>
      </w:pPr>
      <w:r>
        <w:rPr>
          <w:rFonts w:hint="eastAsia" w:ascii="仿宋_GB2312" w:eastAsia="仿宋_GB2312"/>
          <w:b/>
          <w:bCs/>
          <w:sz w:val="30"/>
          <w:szCs w:val="30"/>
        </w:rPr>
        <w:t>前期评估咨询综合评分表</w:t>
      </w:r>
    </w:p>
    <w:tbl>
      <w:tblPr>
        <w:tblStyle w:val="3"/>
        <w:tblpPr w:leftFromText="180" w:rightFromText="180" w:vertAnchor="text" w:horzAnchor="margin" w:tblpXSpec="center" w:tblpY="37"/>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758"/>
        <w:gridCol w:w="4096"/>
        <w:gridCol w:w="1340"/>
        <w:gridCol w:w="1190"/>
        <w:gridCol w:w="1406"/>
      </w:tblGrid>
      <w:tr w14:paraId="0D05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blHeader/>
        </w:trPr>
        <w:tc>
          <w:tcPr>
            <w:tcW w:w="532" w:type="dxa"/>
            <w:shd w:val="clear" w:color="auto" w:fill="DEEAF6"/>
            <w:noWrap w:val="0"/>
            <w:vAlign w:val="center"/>
          </w:tcPr>
          <w:p w14:paraId="50C66BFF">
            <w:pPr>
              <w:widowControl/>
              <w:adjustRightInd w:val="0"/>
              <w:snapToGrid w:val="0"/>
              <w:spacing w:line="0" w:lineRule="atLeast"/>
              <w:jc w:val="center"/>
              <w:rPr>
                <w:rFonts w:ascii="宋体" w:hAnsi="宋体" w:cs="宋体"/>
                <w:b/>
                <w:szCs w:val="21"/>
              </w:rPr>
            </w:pPr>
            <w:r>
              <w:rPr>
                <w:rFonts w:hint="eastAsia" w:ascii="宋体" w:hAnsi="宋体" w:cs="宋体"/>
                <w:b/>
                <w:szCs w:val="21"/>
              </w:rPr>
              <w:t>序号</w:t>
            </w:r>
          </w:p>
        </w:tc>
        <w:tc>
          <w:tcPr>
            <w:tcW w:w="758" w:type="dxa"/>
            <w:shd w:val="clear" w:color="auto" w:fill="DEEAF6"/>
            <w:noWrap w:val="0"/>
            <w:vAlign w:val="center"/>
          </w:tcPr>
          <w:p w14:paraId="63C30D7D">
            <w:pPr>
              <w:widowControl/>
              <w:adjustRightInd w:val="0"/>
              <w:snapToGrid w:val="0"/>
              <w:spacing w:line="0" w:lineRule="atLeast"/>
              <w:jc w:val="center"/>
              <w:rPr>
                <w:rFonts w:ascii="宋体" w:hAnsi="宋体" w:cs="宋体"/>
                <w:b/>
                <w:szCs w:val="21"/>
              </w:rPr>
            </w:pPr>
            <w:r>
              <w:rPr>
                <w:rFonts w:hint="eastAsia" w:ascii="宋体" w:hAnsi="宋体" w:cs="宋体"/>
                <w:b/>
                <w:szCs w:val="21"/>
              </w:rPr>
              <w:t>评审</w:t>
            </w:r>
          </w:p>
          <w:p w14:paraId="2704E294">
            <w:pPr>
              <w:widowControl/>
              <w:adjustRightInd w:val="0"/>
              <w:snapToGrid w:val="0"/>
              <w:spacing w:line="0" w:lineRule="atLeast"/>
              <w:jc w:val="center"/>
              <w:rPr>
                <w:rFonts w:ascii="宋体" w:hAnsi="宋体" w:cs="宋体"/>
                <w:b/>
                <w:szCs w:val="21"/>
              </w:rPr>
            </w:pPr>
            <w:r>
              <w:rPr>
                <w:rFonts w:hint="eastAsia" w:ascii="宋体" w:hAnsi="宋体" w:cs="宋体"/>
                <w:b/>
                <w:szCs w:val="21"/>
              </w:rPr>
              <w:t>项目</w:t>
            </w:r>
          </w:p>
        </w:tc>
        <w:tc>
          <w:tcPr>
            <w:tcW w:w="4096" w:type="dxa"/>
            <w:shd w:val="clear" w:color="auto" w:fill="DEEAF6"/>
            <w:noWrap w:val="0"/>
            <w:vAlign w:val="center"/>
          </w:tcPr>
          <w:p w14:paraId="5D87F9BA">
            <w:pPr>
              <w:widowControl/>
              <w:adjustRightInd w:val="0"/>
              <w:snapToGrid w:val="0"/>
              <w:spacing w:line="0" w:lineRule="atLeast"/>
              <w:jc w:val="center"/>
              <w:rPr>
                <w:rFonts w:ascii="宋体" w:hAnsi="宋体" w:cs="宋体"/>
                <w:b/>
                <w:szCs w:val="21"/>
              </w:rPr>
            </w:pPr>
            <w:r>
              <w:rPr>
                <w:rFonts w:hint="eastAsia" w:ascii="宋体" w:hAnsi="宋体" w:cs="宋体"/>
                <w:b/>
                <w:szCs w:val="21"/>
              </w:rPr>
              <w:t>评审标准</w:t>
            </w:r>
          </w:p>
        </w:tc>
        <w:tc>
          <w:tcPr>
            <w:tcW w:w="1340" w:type="dxa"/>
            <w:shd w:val="clear" w:color="auto" w:fill="DEEAF6"/>
            <w:noWrap w:val="0"/>
            <w:vAlign w:val="center"/>
          </w:tcPr>
          <w:p w14:paraId="079C7058">
            <w:pPr>
              <w:widowControl/>
              <w:adjustRightInd w:val="0"/>
              <w:snapToGrid w:val="0"/>
              <w:spacing w:line="0" w:lineRule="atLeast"/>
              <w:jc w:val="center"/>
              <w:rPr>
                <w:rFonts w:ascii="宋体" w:hAnsi="宋体" w:cs="宋体"/>
                <w:b/>
                <w:szCs w:val="21"/>
              </w:rPr>
            </w:pPr>
            <w:r>
              <w:rPr>
                <w:rFonts w:hint="eastAsia" w:ascii="宋体" w:hAnsi="宋体" w:cs="宋体"/>
                <w:b/>
                <w:szCs w:val="21"/>
              </w:rPr>
              <w:t>证明材料</w:t>
            </w:r>
          </w:p>
        </w:tc>
        <w:tc>
          <w:tcPr>
            <w:tcW w:w="1190" w:type="dxa"/>
            <w:shd w:val="clear" w:color="auto" w:fill="DEEAF6"/>
            <w:noWrap w:val="0"/>
            <w:vAlign w:val="center"/>
          </w:tcPr>
          <w:p w14:paraId="1E7AE1F7">
            <w:pPr>
              <w:widowControl/>
              <w:adjustRightInd w:val="0"/>
              <w:snapToGrid w:val="0"/>
              <w:spacing w:line="0" w:lineRule="atLeast"/>
              <w:jc w:val="center"/>
              <w:rPr>
                <w:rFonts w:ascii="宋体" w:hAnsi="宋体" w:cs="宋体"/>
                <w:b/>
                <w:szCs w:val="21"/>
              </w:rPr>
            </w:pPr>
            <w:r>
              <w:rPr>
                <w:rFonts w:hint="eastAsia" w:ascii="宋体" w:hAnsi="宋体" w:cs="宋体"/>
                <w:b/>
                <w:szCs w:val="21"/>
              </w:rPr>
              <w:t>分值</w:t>
            </w:r>
          </w:p>
        </w:tc>
        <w:tc>
          <w:tcPr>
            <w:tcW w:w="1406" w:type="dxa"/>
            <w:shd w:val="clear" w:color="auto" w:fill="DEEAF6"/>
            <w:noWrap w:val="0"/>
            <w:vAlign w:val="center"/>
          </w:tcPr>
          <w:p w14:paraId="50297B28">
            <w:pPr>
              <w:widowControl/>
              <w:adjustRightInd w:val="0"/>
              <w:snapToGrid w:val="0"/>
              <w:spacing w:line="0" w:lineRule="atLeast"/>
              <w:jc w:val="center"/>
              <w:rPr>
                <w:rFonts w:hint="eastAsia" w:ascii="宋体" w:hAnsi="宋体" w:cs="宋体"/>
                <w:b/>
                <w:szCs w:val="21"/>
              </w:rPr>
            </w:pPr>
          </w:p>
        </w:tc>
      </w:tr>
      <w:tr w14:paraId="1306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9" w:hRule="atLeast"/>
        </w:trPr>
        <w:tc>
          <w:tcPr>
            <w:tcW w:w="532" w:type="dxa"/>
            <w:noWrap w:val="0"/>
            <w:vAlign w:val="center"/>
          </w:tcPr>
          <w:p w14:paraId="618BD801">
            <w:pPr>
              <w:widowControl/>
              <w:adjustRightInd w:val="0"/>
              <w:snapToGrid w:val="0"/>
              <w:spacing w:line="0" w:lineRule="atLeast"/>
              <w:jc w:val="center"/>
              <w:rPr>
                <w:rFonts w:ascii="宋体" w:hAnsi="宋体" w:cs="宋体"/>
                <w:szCs w:val="21"/>
              </w:rPr>
            </w:pPr>
            <w:r>
              <w:rPr>
                <w:rFonts w:hint="eastAsia" w:ascii="宋体" w:hAnsi="宋体" w:cs="宋体"/>
                <w:szCs w:val="21"/>
              </w:rPr>
              <w:t>1</w:t>
            </w:r>
          </w:p>
        </w:tc>
        <w:tc>
          <w:tcPr>
            <w:tcW w:w="758" w:type="dxa"/>
            <w:noWrap w:val="0"/>
            <w:vAlign w:val="center"/>
          </w:tcPr>
          <w:p w14:paraId="03BE3CD1">
            <w:pPr>
              <w:spacing w:line="0" w:lineRule="atLeast"/>
              <w:jc w:val="center"/>
              <w:rPr>
                <w:rFonts w:ascii="宋体" w:hAnsi="宋体" w:cs="宋体"/>
                <w:szCs w:val="21"/>
              </w:rPr>
            </w:pPr>
            <w:r>
              <w:rPr>
                <w:rFonts w:hint="eastAsia" w:ascii="宋体" w:hAnsi="宋体" w:cs="宋体"/>
                <w:szCs w:val="21"/>
              </w:rPr>
              <w:t>同类业绩</w:t>
            </w:r>
          </w:p>
        </w:tc>
        <w:tc>
          <w:tcPr>
            <w:tcW w:w="4096" w:type="dxa"/>
            <w:noWrap w:val="0"/>
            <w:vAlign w:val="center"/>
          </w:tcPr>
          <w:p w14:paraId="0A46C159">
            <w:pPr>
              <w:spacing w:line="0" w:lineRule="atLeast"/>
              <w:rPr>
                <w:rFonts w:ascii="宋体" w:hAnsi="宋体" w:cs="宋体"/>
                <w:szCs w:val="21"/>
              </w:rPr>
            </w:pPr>
            <w:bookmarkStart w:id="0" w:name="OLE_LINK4"/>
            <w:bookmarkStart w:id="1" w:name="OLE_LINK3"/>
            <w:r>
              <w:rPr>
                <w:rFonts w:hint="eastAsia" w:ascii="宋体" w:hAnsi="宋体" w:cs="宋体"/>
                <w:szCs w:val="21"/>
              </w:rPr>
              <w:t>2020年起至本项目投标截止之日，如具有政府部门、国央企委托的深圳本地土地整备利益统筹项目评估经验的</w:t>
            </w:r>
            <w:bookmarkEnd w:id="0"/>
            <w:bookmarkEnd w:id="1"/>
            <w:r>
              <w:rPr>
                <w:rFonts w:ascii="宋体" w:hAnsi="宋体" w:cs="宋体"/>
                <w:szCs w:val="21"/>
              </w:rPr>
              <w:t>，每1个加</w:t>
            </w:r>
            <w:r>
              <w:rPr>
                <w:rFonts w:hint="eastAsia" w:ascii="宋体" w:hAnsi="宋体" w:cs="宋体"/>
                <w:szCs w:val="21"/>
              </w:rPr>
              <w:t>2</w:t>
            </w:r>
            <w:r>
              <w:rPr>
                <w:rFonts w:ascii="宋体" w:hAnsi="宋体" w:cs="宋体"/>
                <w:szCs w:val="21"/>
              </w:rPr>
              <w:t>分，最多加</w:t>
            </w:r>
            <w:r>
              <w:rPr>
                <w:rFonts w:hint="eastAsia" w:ascii="宋体" w:hAnsi="宋体" w:cs="宋体"/>
                <w:szCs w:val="21"/>
                <w:lang w:val="en-US" w:eastAsia="zh-CN"/>
              </w:rPr>
              <w:t>15</w:t>
            </w:r>
            <w:r>
              <w:rPr>
                <w:rFonts w:ascii="宋体" w:hAnsi="宋体" w:cs="宋体"/>
                <w:szCs w:val="21"/>
              </w:rPr>
              <w:t>分；</w:t>
            </w:r>
            <w:r>
              <w:rPr>
                <w:rFonts w:hint="eastAsia" w:ascii="宋体" w:hAnsi="宋体" w:cs="宋体"/>
                <w:szCs w:val="21"/>
              </w:rPr>
              <w:t>除上述主体外其他主体委托的深圳本地土地整备利益统筹项目评估经验的</w:t>
            </w:r>
            <w:r>
              <w:rPr>
                <w:rFonts w:ascii="宋体" w:hAnsi="宋体" w:cs="宋体"/>
                <w:szCs w:val="21"/>
              </w:rPr>
              <w:t>，每1个加</w:t>
            </w:r>
            <w:r>
              <w:rPr>
                <w:rFonts w:hint="eastAsia" w:ascii="宋体" w:hAnsi="宋体" w:cs="宋体"/>
                <w:szCs w:val="21"/>
              </w:rPr>
              <w:t>2</w:t>
            </w:r>
            <w:r>
              <w:rPr>
                <w:rFonts w:ascii="宋体" w:hAnsi="宋体" w:cs="宋体"/>
                <w:szCs w:val="21"/>
              </w:rPr>
              <w:t>分，最多加</w:t>
            </w:r>
            <w:r>
              <w:rPr>
                <w:rFonts w:hint="eastAsia" w:ascii="宋体" w:hAnsi="宋体" w:cs="宋体"/>
                <w:szCs w:val="21"/>
                <w:lang w:val="en-US" w:eastAsia="zh-CN"/>
              </w:rPr>
              <w:t>5</w:t>
            </w:r>
            <w:r>
              <w:rPr>
                <w:rFonts w:ascii="宋体" w:hAnsi="宋体" w:cs="宋体"/>
                <w:szCs w:val="21"/>
              </w:rPr>
              <w:t>分</w:t>
            </w:r>
            <w:r>
              <w:rPr>
                <w:rFonts w:hint="eastAsia" w:ascii="宋体" w:hAnsi="宋体" w:cs="宋体"/>
                <w:szCs w:val="21"/>
              </w:rPr>
              <w:t>。</w:t>
            </w:r>
            <w:r>
              <w:rPr>
                <w:rFonts w:ascii="宋体" w:hAnsi="宋体" w:cs="宋体"/>
                <w:szCs w:val="21"/>
              </w:rPr>
              <w:t xml:space="preserve"> </w:t>
            </w:r>
          </w:p>
        </w:tc>
        <w:tc>
          <w:tcPr>
            <w:tcW w:w="1340" w:type="dxa"/>
            <w:noWrap w:val="0"/>
            <w:vAlign w:val="center"/>
          </w:tcPr>
          <w:p w14:paraId="20CACE0A">
            <w:pPr>
              <w:adjustRightInd w:val="0"/>
              <w:snapToGrid w:val="0"/>
              <w:spacing w:line="0" w:lineRule="atLeast"/>
            </w:pPr>
            <w:r>
              <w:rPr>
                <w:rFonts w:hint="eastAsia"/>
              </w:rPr>
              <w:t>提供相应合同文件、成果文件，并加盖公章</w:t>
            </w:r>
          </w:p>
        </w:tc>
        <w:tc>
          <w:tcPr>
            <w:tcW w:w="1190" w:type="dxa"/>
            <w:noWrap w:val="0"/>
            <w:vAlign w:val="center"/>
          </w:tcPr>
          <w:p w14:paraId="174F7B11">
            <w:pPr>
              <w:widowControl/>
              <w:adjustRightInd w:val="0"/>
              <w:snapToGrid w:val="0"/>
              <w:spacing w:line="0" w:lineRule="atLeast"/>
              <w:jc w:val="center"/>
              <w:rPr>
                <w:rFonts w:ascii="宋体" w:hAnsi="宋体" w:cs="宋体"/>
                <w:szCs w:val="21"/>
              </w:rPr>
            </w:pPr>
            <w:r>
              <w:rPr>
                <w:rFonts w:hint="eastAsia" w:ascii="宋体" w:hAnsi="宋体" w:cs="宋体"/>
                <w:szCs w:val="21"/>
                <w:lang w:val="en-US" w:eastAsia="zh-CN"/>
              </w:rPr>
              <w:t>20</w:t>
            </w:r>
            <w:r>
              <w:rPr>
                <w:rFonts w:hint="eastAsia" w:ascii="宋体" w:hAnsi="宋体" w:cs="宋体"/>
                <w:szCs w:val="21"/>
              </w:rPr>
              <w:t>分</w:t>
            </w:r>
          </w:p>
        </w:tc>
        <w:tc>
          <w:tcPr>
            <w:tcW w:w="1406" w:type="dxa"/>
            <w:noWrap w:val="0"/>
            <w:vAlign w:val="center"/>
          </w:tcPr>
          <w:p w14:paraId="72182625">
            <w:pPr>
              <w:widowControl/>
              <w:adjustRightInd w:val="0"/>
              <w:snapToGrid w:val="0"/>
              <w:spacing w:line="0" w:lineRule="atLeast"/>
              <w:jc w:val="center"/>
              <w:rPr>
                <w:rFonts w:ascii="宋体" w:hAnsi="宋体" w:cs="宋体"/>
                <w:szCs w:val="21"/>
              </w:rPr>
            </w:pPr>
          </w:p>
        </w:tc>
      </w:tr>
      <w:tr w14:paraId="0348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1" w:hRule="atLeast"/>
        </w:trPr>
        <w:tc>
          <w:tcPr>
            <w:tcW w:w="532" w:type="dxa"/>
            <w:noWrap w:val="0"/>
            <w:vAlign w:val="center"/>
          </w:tcPr>
          <w:p w14:paraId="11FB20F3">
            <w:pPr>
              <w:widowControl/>
              <w:adjustRightInd w:val="0"/>
              <w:snapToGrid w:val="0"/>
              <w:spacing w:line="0" w:lineRule="atLeast"/>
              <w:jc w:val="center"/>
              <w:rPr>
                <w:rFonts w:hint="eastAsia" w:ascii="宋体" w:hAnsi="宋体" w:cs="宋体"/>
                <w:szCs w:val="21"/>
              </w:rPr>
            </w:pPr>
            <w:r>
              <w:rPr>
                <w:rFonts w:hint="eastAsia" w:ascii="宋体" w:hAnsi="宋体" w:cs="宋体"/>
                <w:szCs w:val="21"/>
              </w:rPr>
              <w:t>2</w:t>
            </w:r>
          </w:p>
        </w:tc>
        <w:tc>
          <w:tcPr>
            <w:tcW w:w="758" w:type="dxa"/>
            <w:noWrap w:val="0"/>
            <w:vAlign w:val="center"/>
          </w:tcPr>
          <w:p w14:paraId="3EDBC091">
            <w:pPr>
              <w:spacing w:line="0" w:lineRule="atLeast"/>
              <w:jc w:val="center"/>
              <w:rPr>
                <w:rFonts w:hint="eastAsia" w:ascii="宋体" w:hAnsi="宋体" w:cs="宋体"/>
                <w:szCs w:val="21"/>
              </w:rPr>
            </w:pPr>
            <w:r>
              <w:rPr>
                <w:rFonts w:hint="eastAsia" w:ascii="宋体" w:hAnsi="宋体" w:cs="宋体"/>
                <w:szCs w:val="21"/>
              </w:rPr>
              <w:t>谈判服务业绩</w:t>
            </w:r>
          </w:p>
        </w:tc>
        <w:tc>
          <w:tcPr>
            <w:tcW w:w="4096" w:type="dxa"/>
            <w:noWrap w:val="0"/>
            <w:vAlign w:val="center"/>
          </w:tcPr>
          <w:p w14:paraId="5273896A">
            <w:pPr>
              <w:spacing w:line="0" w:lineRule="atLeast"/>
              <w:rPr>
                <w:rFonts w:hint="eastAsia" w:ascii="宋体" w:hAnsi="宋体" w:cs="宋体"/>
                <w:szCs w:val="21"/>
              </w:rPr>
            </w:pPr>
            <w:r>
              <w:rPr>
                <w:rFonts w:hint="eastAsia" w:ascii="宋体" w:hAnsi="宋体" w:cs="宋体"/>
                <w:szCs w:val="21"/>
              </w:rPr>
              <w:t>2020年起至本项目投标截止之日，如具有政府部门、国央企委托的深圳本地土地整备利益统筹项目或房屋征收咨询谈判服务业绩的</w:t>
            </w:r>
            <w:r>
              <w:rPr>
                <w:rFonts w:ascii="宋体" w:hAnsi="宋体" w:cs="宋体"/>
                <w:szCs w:val="21"/>
              </w:rPr>
              <w:t>，每1个加</w:t>
            </w:r>
            <w:r>
              <w:rPr>
                <w:rFonts w:hint="eastAsia" w:ascii="宋体" w:hAnsi="宋体" w:cs="宋体"/>
                <w:szCs w:val="21"/>
                <w:lang w:val="en-US" w:eastAsia="zh-CN"/>
              </w:rPr>
              <w:t>2</w:t>
            </w:r>
            <w:r>
              <w:rPr>
                <w:rFonts w:ascii="宋体" w:hAnsi="宋体" w:cs="宋体"/>
                <w:szCs w:val="21"/>
              </w:rPr>
              <w:t>分，最多加</w:t>
            </w:r>
            <w:r>
              <w:rPr>
                <w:rFonts w:hint="eastAsia" w:ascii="宋体" w:hAnsi="宋体" w:cs="宋体"/>
                <w:szCs w:val="21"/>
                <w:lang w:val="en-US" w:eastAsia="zh-CN"/>
              </w:rPr>
              <w:t>10</w:t>
            </w:r>
            <w:r>
              <w:rPr>
                <w:rFonts w:ascii="宋体" w:hAnsi="宋体" w:cs="宋体"/>
                <w:szCs w:val="21"/>
              </w:rPr>
              <w:t>分；</w:t>
            </w:r>
            <w:r>
              <w:rPr>
                <w:rFonts w:hint="eastAsia" w:ascii="宋体" w:hAnsi="宋体" w:cs="宋体"/>
                <w:szCs w:val="21"/>
              </w:rPr>
              <w:t>除上述主体外其他主体委托的深圳本地土地整备利益统筹项目评估经验的</w:t>
            </w:r>
            <w:r>
              <w:rPr>
                <w:rFonts w:ascii="宋体" w:hAnsi="宋体" w:cs="宋体"/>
                <w:szCs w:val="21"/>
              </w:rPr>
              <w:t>，每1个加</w:t>
            </w:r>
            <w:r>
              <w:rPr>
                <w:rFonts w:hint="eastAsia" w:ascii="宋体" w:hAnsi="宋体" w:cs="宋体"/>
                <w:szCs w:val="21"/>
                <w:lang w:val="en-US" w:eastAsia="zh-CN"/>
              </w:rPr>
              <w:t>2</w:t>
            </w:r>
            <w:r>
              <w:rPr>
                <w:rFonts w:ascii="宋体" w:hAnsi="宋体" w:cs="宋体"/>
                <w:szCs w:val="21"/>
              </w:rPr>
              <w:t>分，最多加</w:t>
            </w:r>
            <w:r>
              <w:rPr>
                <w:rFonts w:hint="eastAsia" w:ascii="宋体" w:hAnsi="宋体" w:cs="宋体"/>
                <w:szCs w:val="21"/>
                <w:lang w:val="en-US" w:eastAsia="zh-CN"/>
              </w:rPr>
              <w:t>5</w:t>
            </w:r>
            <w:r>
              <w:rPr>
                <w:rFonts w:ascii="宋体" w:hAnsi="宋体" w:cs="宋体"/>
                <w:szCs w:val="21"/>
              </w:rPr>
              <w:t>分</w:t>
            </w:r>
            <w:r>
              <w:rPr>
                <w:rFonts w:hint="eastAsia" w:ascii="宋体" w:hAnsi="宋体" w:cs="宋体"/>
                <w:szCs w:val="21"/>
              </w:rPr>
              <w:t>。</w:t>
            </w:r>
          </w:p>
        </w:tc>
        <w:tc>
          <w:tcPr>
            <w:tcW w:w="1340" w:type="dxa"/>
            <w:noWrap w:val="0"/>
            <w:vAlign w:val="center"/>
          </w:tcPr>
          <w:p w14:paraId="429831C6">
            <w:pPr>
              <w:adjustRightInd w:val="0"/>
              <w:snapToGrid w:val="0"/>
              <w:spacing w:line="0" w:lineRule="atLeast"/>
              <w:rPr>
                <w:rFonts w:hint="eastAsia"/>
              </w:rPr>
            </w:pPr>
            <w:r>
              <w:rPr>
                <w:rFonts w:hint="eastAsia"/>
              </w:rPr>
              <w:t>提供相应合同文件、成果文件，并加盖公章</w:t>
            </w:r>
          </w:p>
        </w:tc>
        <w:tc>
          <w:tcPr>
            <w:tcW w:w="1190" w:type="dxa"/>
            <w:noWrap w:val="0"/>
            <w:vAlign w:val="center"/>
          </w:tcPr>
          <w:p w14:paraId="2CA3A6EF">
            <w:pPr>
              <w:widowControl/>
              <w:adjustRightInd w:val="0"/>
              <w:snapToGrid w:val="0"/>
              <w:spacing w:line="0" w:lineRule="atLeast"/>
              <w:jc w:val="center"/>
              <w:rPr>
                <w:rFonts w:hint="eastAsia" w:ascii="宋体" w:hAnsi="宋体" w:cs="宋体"/>
                <w:szCs w:val="21"/>
              </w:rPr>
            </w:pPr>
            <w:r>
              <w:rPr>
                <w:rFonts w:hint="eastAsia" w:ascii="宋体" w:hAnsi="宋体" w:cs="宋体"/>
                <w:szCs w:val="21"/>
                <w:lang w:val="en-US" w:eastAsia="zh-CN"/>
              </w:rPr>
              <w:t>15</w:t>
            </w:r>
            <w:r>
              <w:rPr>
                <w:rFonts w:hint="eastAsia" w:ascii="宋体" w:hAnsi="宋体" w:cs="宋体"/>
                <w:szCs w:val="21"/>
              </w:rPr>
              <w:t>分</w:t>
            </w:r>
          </w:p>
        </w:tc>
        <w:tc>
          <w:tcPr>
            <w:tcW w:w="1406" w:type="dxa"/>
            <w:noWrap w:val="0"/>
            <w:vAlign w:val="center"/>
          </w:tcPr>
          <w:p w14:paraId="5546D638">
            <w:pPr>
              <w:widowControl/>
              <w:adjustRightInd w:val="0"/>
              <w:snapToGrid w:val="0"/>
              <w:spacing w:line="0" w:lineRule="atLeast"/>
              <w:jc w:val="center"/>
              <w:rPr>
                <w:rFonts w:ascii="宋体" w:hAnsi="宋体" w:cs="宋体"/>
                <w:szCs w:val="21"/>
              </w:rPr>
            </w:pPr>
          </w:p>
        </w:tc>
      </w:tr>
      <w:tr w14:paraId="78173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28" w:hRule="atLeast"/>
        </w:trPr>
        <w:tc>
          <w:tcPr>
            <w:tcW w:w="532" w:type="dxa"/>
            <w:noWrap w:val="0"/>
            <w:vAlign w:val="center"/>
          </w:tcPr>
          <w:p w14:paraId="53DBD68B">
            <w:pPr>
              <w:widowControl/>
              <w:adjustRightInd w:val="0"/>
              <w:snapToGrid w:val="0"/>
              <w:spacing w:line="0" w:lineRule="atLeast"/>
              <w:jc w:val="center"/>
              <w:rPr>
                <w:rFonts w:ascii="宋体" w:hAnsi="宋体" w:cs="宋体"/>
                <w:szCs w:val="21"/>
              </w:rPr>
            </w:pPr>
            <w:r>
              <w:rPr>
                <w:rFonts w:hint="eastAsia" w:ascii="宋体" w:hAnsi="宋体" w:cs="宋体"/>
                <w:szCs w:val="21"/>
              </w:rPr>
              <w:t>3</w:t>
            </w:r>
          </w:p>
        </w:tc>
        <w:tc>
          <w:tcPr>
            <w:tcW w:w="758" w:type="dxa"/>
            <w:noWrap w:val="0"/>
            <w:vAlign w:val="center"/>
          </w:tcPr>
          <w:p w14:paraId="4A4E8B8D">
            <w:pPr>
              <w:spacing w:line="0" w:lineRule="atLeast"/>
              <w:jc w:val="center"/>
              <w:rPr>
                <w:rFonts w:ascii="宋体" w:hAnsi="宋体" w:cs="宋体"/>
                <w:szCs w:val="21"/>
              </w:rPr>
            </w:pPr>
            <w:r>
              <w:rPr>
                <w:rFonts w:hint="eastAsia" w:ascii="宋体" w:hAnsi="宋体" w:cs="宋体"/>
                <w:szCs w:val="21"/>
              </w:rPr>
              <w:t>团队成员配置评分</w:t>
            </w:r>
          </w:p>
        </w:tc>
        <w:tc>
          <w:tcPr>
            <w:tcW w:w="4096" w:type="dxa"/>
            <w:noWrap w:val="0"/>
            <w:vAlign w:val="center"/>
          </w:tcPr>
          <w:p w14:paraId="756F6313">
            <w:pPr>
              <w:spacing w:line="0" w:lineRule="atLeast"/>
              <w:rPr>
                <w:rFonts w:ascii="宋体" w:hAnsi="宋体" w:cs="宋体"/>
                <w:szCs w:val="21"/>
              </w:rPr>
            </w:pPr>
            <w:bookmarkStart w:id="2" w:name="OLE_LINK6"/>
            <w:bookmarkStart w:id="3" w:name="OLE_LINK5"/>
            <w:r>
              <w:rPr>
                <w:rFonts w:hint="eastAsia" w:ascii="宋体" w:hAnsi="宋体" w:cs="宋体"/>
                <w:szCs w:val="21"/>
              </w:rPr>
              <w:t>除项目负责人以外，项目团队成员需高标准、多专业配置，以保障研究质量。项目团队成员中至少3人（项目负责人除外）具有土地估价师或房地产估价师资产评估师职业资格。</w:t>
            </w:r>
          </w:p>
          <w:p w14:paraId="1231FA6A">
            <w:pPr>
              <w:spacing w:line="0" w:lineRule="atLeast"/>
              <w:rPr>
                <w:rFonts w:ascii="宋体" w:hAnsi="宋体" w:cs="宋体"/>
                <w:szCs w:val="21"/>
              </w:rPr>
            </w:pPr>
            <w:r>
              <w:rPr>
                <w:rFonts w:hint="eastAsia" w:ascii="宋体" w:hAnsi="宋体" w:cs="宋体"/>
                <w:szCs w:val="21"/>
              </w:rPr>
              <w:t>如项目团队成员具有三</w:t>
            </w:r>
            <w:r>
              <w:rPr>
                <w:rFonts w:ascii="宋体" w:hAnsi="宋体" w:cs="宋体"/>
                <w:szCs w:val="21"/>
              </w:rPr>
              <w:t>年以</w:t>
            </w:r>
            <w:r>
              <w:rPr>
                <w:rFonts w:hint="eastAsia" w:ascii="宋体" w:hAnsi="宋体" w:cs="宋体"/>
                <w:szCs w:val="21"/>
              </w:rPr>
              <w:t>上深圳本地土地整备利益统筹项目评估研究</w:t>
            </w:r>
            <w:r>
              <w:rPr>
                <w:rFonts w:ascii="宋体" w:hAnsi="宋体" w:cs="宋体"/>
                <w:szCs w:val="21"/>
              </w:rPr>
              <w:t>工作经验</w:t>
            </w:r>
            <w:bookmarkEnd w:id="2"/>
            <w:bookmarkEnd w:id="3"/>
            <w:r>
              <w:rPr>
                <w:rFonts w:ascii="宋体" w:hAnsi="宋体" w:cs="宋体"/>
                <w:szCs w:val="21"/>
              </w:rPr>
              <w:t>，每</w:t>
            </w:r>
            <w:r>
              <w:rPr>
                <w:rFonts w:hint="eastAsia" w:ascii="宋体" w:hAnsi="宋体" w:cs="宋体"/>
                <w:szCs w:val="21"/>
                <w:lang w:eastAsia="zh-CN"/>
              </w:rPr>
              <w:t>增加</w:t>
            </w:r>
            <w:r>
              <w:rPr>
                <w:rFonts w:ascii="宋体" w:hAnsi="宋体" w:cs="宋体"/>
                <w:szCs w:val="21"/>
              </w:rPr>
              <w:t>1个加</w:t>
            </w:r>
            <w:r>
              <w:rPr>
                <w:rFonts w:hint="eastAsia" w:ascii="宋体" w:hAnsi="宋体" w:cs="宋体"/>
                <w:szCs w:val="21"/>
              </w:rPr>
              <w:t>2</w:t>
            </w:r>
            <w:r>
              <w:rPr>
                <w:rFonts w:ascii="宋体" w:hAnsi="宋体" w:cs="宋体"/>
                <w:szCs w:val="21"/>
              </w:rPr>
              <w:t>分，最多加</w:t>
            </w:r>
            <w:r>
              <w:rPr>
                <w:rFonts w:hint="eastAsia" w:ascii="宋体" w:hAnsi="宋体" w:cs="宋体"/>
                <w:szCs w:val="21"/>
              </w:rPr>
              <w:t>10</w:t>
            </w:r>
            <w:r>
              <w:rPr>
                <w:rFonts w:ascii="宋体" w:hAnsi="宋体" w:cs="宋体"/>
                <w:szCs w:val="21"/>
              </w:rPr>
              <w:t>分。</w:t>
            </w:r>
          </w:p>
        </w:tc>
        <w:tc>
          <w:tcPr>
            <w:tcW w:w="1340" w:type="dxa"/>
            <w:noWrap w:val="0"/>
            <w:vAlign w:val="center"/>
          </w:tcPr>
          <w:p w14:paraId="272B58F0">
            <w:pPr>
              <w:adjustRightInd w:val="0"/>
              <w:snapToGrid w:val="0"/>
              <w:spacing w:line="0" w:lineRule="atLeast"/>
              <w:rPr>
                <w:rFonts w:ascii="宋体" w:hAnsi="宋体" w:cs="宋体"/>
                <w:szCs w:val="21"/>
              </w:rPr>
            </w:pPr>
            <w:r>
              <w:rPr>
                <w:rFonts w:hint="eastAsia"/>
              </w:rPr>
              <w:t>提供的相应工作经历及证书复印件加盖公章</w:t>
            </w:r>
          </w:p>
        </w:tc>
        <w:tc>
          <w:tcPr>
            <w:tcW w:w="1190" w:type="dxa"/>
            <w:noWrap w:val="0"/>
            <w:vAlign w:val="center"/>
          </w:tcPr>
          <w:p w14:paraId="061A8AAE">
            <w:pPr>
              <w:widowControl/>
              <w:adjustRightInd w:val="0"/>
              <w:snapToGrid w:val="0"/>
              <w:spacing w:line="0" w:lineRule="atLeast"/>
              <w:jc w:val="center"/>
              <w:rPr>
                <w:rFonts w:ascii="宋体" w:hAnsi="宋体" w:cs="宋体"/>
                <w:szCs w:val="21"/>
              </w:rPr>
            </w:pPr>
            <w:r>
              <w:rPr>
                <w:rFonts w:hint="eastAsia" w:ascii="宋体" w:hAnsi="宋体" w:cs="宋体"/>
                <w:szCs w:val="21"/>
              </w:rPr>
              <w:t>10分</w:t>
            </w:r>
          </w:p>
        </w:tc>
        <w:tc>
          <w:tcPr>
            <w:tcW w:w="1406" w:type="dxa"/>
            <w:noWrap w:val="0"/>
            <w:vAlign w:val="center"/>
          </w:tcPr>
          <w:p w14:paraId="5F9889BA">
            <w:pPr>
              <w:widowControl/>
              <w:adjustRightInd w:val="0"/>
              <w:snapToGrid w:val="0"/>
              <w:spacing w:line="0" w:lineRule="atLeast"/>
              <w:jc w:val="center"/>
              <w:rPr>
                <w:rFonts w:ascii="宋体" w:hAnsi="宋体" w:cs="宋体"/>
                <w:szCs w:val="21"/>
              </w:rPr>
            </w:pPr>
          </w:p>
        </w:tc>
      </w:tr>
      <w:tr w14:paraId="4CF9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7" w:hRule="atLeast"/>
        </w:trPr>
        <w:tc>
          <w:tcPr>
            <w:tcW w:w="532" w:type="dxa"/>
            <w:noWrap w:val="0"/>
            <w:vAlign w:val="center"/>
          </w:tcPr>
          <w:p w14:paraId="6213B66E">
            <w:pPr>
              <w:widowControl/>
              <w:adjustRightInd w:val="0"/>
              <w:snapToGrid w:val="0"/>
              <w:spacing w:line="0" w:lineRule="atLeast"/>
              <w:jc w:val="center"/>
              <w:rPr>
                <w:rFonts w:ascii="宋体" w:hAnsi="宋体" w:cs="宋体"/>
                <w:szCs w:val="21"/>
              </w:rPr>
            </w:pPr>
            <w:r>
              <w:rPr>
                <w:rFonts w:hint="eastAsia" w:ascii="宋体" w:hAnsi="宋体" w:cs="宋体"/>
                <w:szCs w:val="21"/>
              </w:rPr>
              <w:t>4</w:t>
            </w:r>
          </w:p>
        </w:tc>
        <w:tc>
          <w:tcPr>
            <w:tcW w:w="758" w:type="dxa"/>
            <w:noWrap w:val="0"/>
            <w:vAlign w:val="center"/>
          </w:tcPr>
          <w:p w14:paraId="21213CF2">
            <w:pPr>
              <w:jc w:val="center"/>
            </w:pPr>
            <w:r>
              <w:rPr>
                <w:rFonts w:hint="eastAsia"/>
              </w:rPr>
              <w:t>拟委任项目负责人资格和能力</w:t>
            </w:r>
          </w:p>
        </w:tc>
        <w:tc>
          <w:tcPr>
            <w:tcW w:w="4096" w:type="dxa"/>
            <w:noWrap w:val="0"/>
            <w:vAlign w:val="center"/>
          </w:tcPr>
          <w:p w14:paraId="6BC0BA62">
            <w:pPr>
              <w:adjustRightInd w:val="0"/>
              <w:snapToGrid w:val="0"/>
              <w:spacing w:line="0" w:lineRule="atLeast"/>
              <w:jc w:val="left"/>
              <w:rPr>
                <w:rFonts w:ascii="宋体" w:hAnsi="宋体" w:cs="宋体"/>
                <w:szCs w:val="21"/>
              </w:rPr>
            </w:pPr>
            <w:r>
              <w:rPr>
                <w:rFonts w:hint="eastAsia" w:ascii="宋体" w:hAnsi="宋体" w:cs="宋体"/>
                <w:szCs w:val="21"/>
              </w:rPr>
              <w:t>除满足资格审查条件外，如项目负责人具有十年以上项目评估工作经历</w:t>
            </w:r>
            <w:r>
              <w:rPr>
                <w:rFonts w:ascii="宋体" w:hAnsi="宋体" w:cs="宋体"/>
                <w:szCs w:val="21"/>
              </w:rPr>
              <w:t>，加</w:t>
            </w:r>
            <w:r>
              <w:rPr>
                <w:rFonts w:hint="eastAsia" w:ascii="宋体" w:hAnsi="宋体" w:cs="宋体"/>
                <w:szCs w:val="21"/>
              </w:rPr>
              <w:t>5</w:t>
            </w:r>
            <w:r>
              <w:rPr>
                <w:rFonts w:ascii="宋体" w:hAnsi="宋体" w:cs="宋体"/>
                <w:szCs w:val="21"/>
              </w:rPr>
              <w:t>分；</w:t>
            </w:r>
          </w:p>
          <w:p w14:paraId="52C613A5">
            <w:r>
              <w:rPr>
                <w:rFonts w:hint="eastAsia"/>
              </w:rPr>
              <w:t>如项目负责人5年内主持过</w:t>
            </w:r>
            <w:r>
              <w:rPr>
                <w:rFonts w:hint="eastAsia" w:ascii="宋体" w:hAnsi="宋体" w:cs="宋体"/>
                <w:szCs w:val="21"/>
              </w:rPr>
              <w:t>深圳本地土地整备利益统筹同类</w:t>
            </w:r>
            <w:r>
              <w:rPr>
                <w:rFonts w:hint="eastAsia"/>
              </w:rPr>
              <w:t>项目的评估研究工作，每</w:t>
            </w:r>
            <w:r>
              <w:t>1个加</w:t>
            </w:r>
            <w:r>
              <w:rPr>
                <w:rFonts w:hint="eastAsia"/>
              </w:rPr>
              <w:t>2</w:t>
            </w:r>
            <w:r>
              <w:t>分，最多加</w:t>
            </w:r>
            <w:r>
              <w:rPr>
                <w:rFonts w:hint="eastAsia"/>
              </w:rPr>
              <w:t>5</w:t>
            </w:r>
            <w:r>
              <w:t>分</w:t>
            </w:r>
            <w:r>
              <w:rPr>
                <w:rFonts w:hint="eastAsia"/>
              </w:rPr>
              <w:t>。</w:t>
            </w:r>
          </w:p>
        </w:tc>
        <w:tc>
          <w:tcPr>
            <w:tcW w:w="1340" w:type="dxa"/>
            <w:noWrap w:val="0"/>
            <w:vAlign w:val="center"/>
          </w:tcPr>
          <w:p w14:paraId="596DDCCF">
            <w:pPr>
              <w:adjustRightInd w:val="0"/>
              <w:snapToGrid w:val="0"/>
              <w:spacing w:line="0" w:lineRule="atLeast"/>
              <w:rPr>
                <w:rFonts w:ascii="宋体" w:hAnsi="宋体" w:cs="宋体"/>
                <w:szCs w:val="21"/>
              </w:rPr>
            </w:pPr>
            <w:r>
              <w:rPr>
                <w:rFonts w:hint="eastAsia" w:ascii="宋体" w:hAnsi="宋体" w:cs="宋体"/>
                <w:szCs w:val="21"/>
              </w:rPr>
              <w:t>提供项目负责人姓名、任职情况、工作经历，及相关项目经验、获奖证书或相关证明材料并加盖工章</w:t>
            </w:r>
          </w:p>
        </w:tc>
        <w:tc>
          <w:tcPr>
            <w:tcW w:w="1190" w:type="dxa"/>
            <w:noWrap w:val="0"/>
            <w:vAlign w:val="center"/>
          </w:tcPr>
          <w:p w14:paraId="710D5C8F">
            <w:pPr>
              <w:widowControl/>
              <w:adjustRightInd w:val="0"/>
              <w:snapToGrid w:val="0"/>
              <w:spacing w:line="0" w:lineRule="atLeast"/>
              <w:jc w:val="center"/>
              <w:rPr>
                <w:rFonts w:ascii="宋体" w:hAnsi="宋体" w:cs="宋体"/>
                <w:szCs w:val="21"/>
              </w:rPr>
            </w:pPr>
            <w:r>
              <w:rPr>
                <w:rFonts w:hint="eastAsia" w:ascii="宋体" w:hAnsi="宋体" w:cs="宋体"/>
                <w:szCs w:val="21"/>
              </w:rPr>
              <w:t>10分</w:t>
            </w:r>
          </w:p>
        </w:tc>
        <w:tc>
          <w:tcPr>
            <w:tcW w:w="1406" w:type="dxa"/>
            <w:noWrap w:val="0"/>
            <w:vAlign w:val="center"/>
          </w:tcPr>
          <w:p w14:paraId="196BB9D4">
            <w:pPr>
              <w:widowControl/>
              <w:adjustRightInd w:val="0"/>
              <w:snapToGrid w:val="0"/>
              <w:spacing w:line="0" w:lineRule="atLeast"/>
              <w:jc w:val="center"/>
              <w:rPr>
                <w:rFonts w:ascii="宋体" w:hAnsi="宋体" w:cs="宋体"/>
                <w:szCs w:val="21"/>
              </w:rPr>
            </w:pPr>
          </w:p>
        </w:tc>
      </w:tr>
      <w:tr w14:paraId="056AD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57" w:hRule="atLeast"/>
        </w:trPr>
        <w:tc>
          <w:tcPr>
            <w:tcW w:w="532" w:type="dxa"/>
            <w:noWrap w:val="0"/>
            <w:vAlign w:val="center"/>
          </w:tcPr>
          <w:p w14:paraId="0BF4CC1E">
            <w:pPr>
              <w:widowControl/>
              <w:adjustRightInd w:val="0"/>
              <w:snapToGrid w:val="0"/>
              <w:spacing w:line="0" w:lineRule="atLeast"/>
              <w:jc w:val="center"/>
              <w:rPr>
                <w:rFonts w:ascii="宋体" w:hAnsi="宋体" w:cs="宋体"/>
                <w:szCs w:val="21"/>
              </w:rPr>
            </w:pPr>
            <w:r>
              <w:rPr>
                <w:rFonts w:hint="eastAsia" w:ascii="宋体" w:hAnsi="宋体" w:cs="宋体"/>
                <w:szCs w:val="21"/>
              </w:rPr>
              <w:t>5</w:t>
            </w:r>
          </w:p>
        </w:tc>
        <w:tc>
          <w:tcPr>
            <w:tcW w:w="758" w:type="dxa"/>
            <w:noWrap w:val="0"/>
            <w:vAlign w:val="center"/>
          </w:tcPr>
          <w:p w14:paraId="30774F86">
            <w:pPr>
              <w:spacing w:line="0" w:lineRule="atLeast"/>
              <w:jc w:val="center"/>
              <w:rPr>
                <w:rFonts w:ascii="宋体" w:hAnsi="宋体" w:cs="宋体"/>
                <w:szCs w:val="21"/>
              </w:rPr>
            </w:pPr>
            <w:r>
              <w:rPr>
                <w:rFonts w:hint="eastAsia" w:ascii="宋体" w:hAnsi="宋体" w:cs="宋体"/>
                <w:szCs w:val="21"/>
              </w:rPr>
              <w:t>技术服务方案评审</w:t>
            </w:r>
          </w:p>
        </w:tc>
        <w:tc>
          <w:tcPr>
            <w:tcW w:w="4096" w:type="dxa"/>
            <w:noWrap w:val="0"/>
            <w:vAlign w:val="center"/>
          </w:tcPr>
          <w:p w14:paraId="2257AE67">
            <w:pPr>
              <w:spacing w:line="0" w:lineRule="atLeast"/>
              <w:rPr>
                <w:rFonts w:ascii="宋体" w:hAnsi="宋体" w:cs="宋体"/>
                <w:szCs w:val="21"/>
              </w:rPr>
            </w:pPr>
            <w:r>
              <w:rPr>
                <w:rFonts w:hint="eastAsia" w:ascii="宋体" w:hAnsi="宋体" w:cs="宋体"/>
                <w:szCs w:val="21"/>
              </w:rPr>
              <w:t>对本项目工作内容的理解是否全面、准确进行横向比较评分：</w:t>
            </w:r>
          </w:p>
          <w:p w14:paraId="05A89396">
            <w:pPr>
              <w:spacing w:line="0" w:lineRule="atLeast"/>
              <w:rPr>
                <w:rFonts w:ascii="宋体" w:hAnsi="宋体" w:cs="宋体"/>
                <w:szCs w:val="21"/>
              </w:rPr>
            </w:pPr>
            <w:r>
              <w:rPr>
                <w:rFonts w:hint="eastAsia" w:ascii="宋体" w:hAnsi="宋体" w:cs="宋体"/>
                <w:szCs w:val="21"/>
              </w:rPr>
              <w:t>评优得</w:t>
            </w:r>
            <w:r>
              <w:rPr>
                <w:rFonts w:hint="eastAsia" w:ascii="宋体" w:hAnsi="宋体" w:cs="宋体"/>
                <w:szCs w:val="21"/>
                <w:lang w:val="en-US" w:eastAsia="zh-CN"/>
              </w:rPr>
              <w:t>24～30分，良得17～23分，中得9～16分，差得0～8分</w:t>
            </w:r>
            <w:r>
              <w:rPr>
                <w:rFonts w:hint="eastAsia" w:ascii="宋体" w:hAnsi="宋体" w:cs="宋体"/>
                <w:szCs w:val="21"/>
              </w:rPr>
              <w:t>。</w:t>
            </w:r>
          </w:p>
          <w:p w14:paraId="7AC63921">
            <w:pPr>
              <w:spacing w:line="0" w:lineRule="atLeast"/>
              <w:rPr>
                <w:rFonts w:ascii="宋体" w:hAnsi="宋体" w:cs="宋体"/>
                <w:szCs w:val="21"/>
              </w:rPr>
            </w:pPr>
            <w:r>
              <w:rPr>
                <w:rFonts w:hint="eastAsia" w:ascii="宋体" w:hAnsi="宋体" w:cs="宋体"/>
                <w:szCs w:val="21"/>
              </w:rPr>
              <w:t>打分参考：综合评审服务方案中对我司服务需求进行任务分解情况、技术服务团队工作职责及运作安排情况、响应情况，各项过程技术服务成果质量把控能力、过程资料及档案管理、其他相关事宜。</w:t>
            </w:r>
          </w:p>
        </w:tc>
        <w:tc>
          <w:tcPr>
            <w:tcW w:w="1340" w:type="dxa"/>
            <w:noWrap w:val="0"/>
            <w:vAlign w:val="center"/>
          </w:tcPr>
          <w:p w14:paraId="7F3C0F43">
            <w:pPr>
              <w:adjustRightInd w:val="0"/>
              <w:snapToGrid w:val="0"/>
              <w:spacing w:line="0" w:lineRule="atLeast"/>
              <w:jc w:val="center"/>
              <w:rPr>
                <w:rFonts w:ascii="宋体" w:hAnsi="宋体" w:cs="宋体"/>
                <w:szCs w:val="21"/>
              </w:rPr>
            </w:pPr>
            <w:r>
              <w:rPr>
                <w:rFonts w:hint="eastAsia" w:ascii="宋体" w:hAnsi="宋体" w:cs="宋体"/>
                <w:szCs w:val="21"/>
              </w:rPr>
              <w:t>提供技术服务方案，并加盖工章</w:t>
            </w:r>
          </w:p>
        </w:tc>
        <w:tc>
          <w:tcPr>
            <w:tcW w:w="1190" w:type="dxa"/>
            <w:noWrap w:val="0"/>
            <w:vAlign w:val="center"/>
          </w:tcPr>
          <w:p w14:paraId="5B368F32">
            <w:pPr>
              <w:spacing w:line="0" w:lineRule="atLeast"/>
              <w:jc w:val="center"/>
              <w:rPr>
                <w:rFonts w:ascii="宋体" w:hAnsi="宋体" w:cs="宋体"/>
                <w:szCs w:val="21"/>
              </w:rPr>
            </w:pPr>
            <w:r>
              <w:rPr>
                <w:rFonts w:hint="eastAsia" w:ascii="宋体" w:hAnsi="宋体" w:cs="宋体"/>
                <w:szCs w:val="21"/>
                <w:lang w:val="en-US" w:eastAsia="zh-CN"/>
              </w:rPr>
              <w:t>30</w:t>
            </w:r>
            <w:r>
              <w:rPr>
                <w:rFonts w:hint="eastAsia" w:ascii="宋体" w:hAnsi="宋体" w:cs="宋体"/>
                <w:szCs w:val="21"/>
              </w:rPr>
              <w:t>分</w:t>
            </w:r>
          </w:p>
        </w:tc>
        <w:tc>
          <w:tcPr>
            <w:tcW w:w="1406" w:type="dxa"/>
            <w:noWrap w:val="0"/>
            <w:vAlign w:val="center"/>
          </w:tcPr>
          <w:p w14:paraId="557A65D0">
            <w:pPr>
              <w:spacing w:line="0" w:lineRule="atLeast"/>
              <w:jc w:val="center"/>
              <w:rPr>
                <w:rFonts w:ascii="宋体" w:hAnsi="宋体" w:cs="宋体"/>
                <w:szCs w:val="21"/>
              </w:rPr>
            </w:pPr>
          </w:p>
        </w:tc>
      </w:tr>
      <w:tr w14:paraId="6CA78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1" w:hRule="atLeast"/>
        </w:trPr>
        <w:tc>
          <w:tcPr>
            <w:tcW w:w="532" w:type="dxa"/>
            <w:noWrap w:val="0"/>
            <w:vAlign w:val="center"/>
          </w:tcPr>
          <w:p w14:paraId="5F3FE008">
            <w:pPr>
              <w:widowControl/>
              <w:adjustRightInd w:val="0"/>
              <w:snapToGrid w:val="0"/>
              <w:spacing w:line="0" w:lineRule="atLeast"/>
              <w:jc w:val="center"/>
              <w:rPr>
                <w:rFonts w:hint="eastAsia" w:ascii="宋体" w:hAnsi="宋体" w:cs="宋体"/>
                <w:szCs w:val="21"/>
              </w:rPr>
            </w:pPr>
            <w:r>
              <w:rPr>
                <w:rFonts w:hint="eastAsia" w:ascii="宋体" w:hAnsi="宋体" w:cs="宋体"/>
                <w:szCs w:val="21"/>
              </w:rPr>
              <w:t>6</w:t>
            </w:r>
          </w:p>
        </w:tc>
        <w:tc>
          <w:tcPr>
            <w:tcW w:w="758" w:type="dxa"/>
            <w:noWrap w:val="0"/>
            <w:vAlign w:val="center"/>
          </w:tcPr>
          <w:p w14:paraId="2B63708E">
            <w:pPr>
              <w:spacing w:line="0" w:lineRule="atLeast"/>
              <w:jc w:val="center"/>
              <w:rPr>
                <w:rFonts w:ascii="宋体" w:hAnsi="宋体" w:cs="宋体"/>
                <w:szCs w:val="21"/>
              </w:rPr>
            </w:pPr>
            <w:r>
              <w:rPr>
                <w:rFonts w:hint="eastAsia" w:ascii="宋体" w:hAnsi="宋体" w:cs="宋体"/>
                <w:szCs w:val="21"/>
              </w:rPr>
              <w:t>报价</w:t>
            </w:r>
          </w:p>
          <w:p w14:paraId="4061D909">
            <w:pPr>
              <w:spacing w:line="0" w:lineRule="atLeast"/>
              <w:jc w:val="center"/>
              <w:rPr>
                <w:rFonts w:hint="eastAsia" w:ascii="宋体" w:hAnsi="宋体" w:cs="宋体"/>
                <w:szCs w:val="21"/>
              </w:rPr>
            </w:pPr>
            <w:r>
              <w:rPr>
                <w:rFonts w:hint="eastAsia" w:ascii="宋体" w:hAnsi="宋体" w:cs="宋体"/>
                <w:szCs w:val="21"/>
              </w:rPr>
              <w:t>得分</w:t>
            </w:r>
          </w:p>
        </w:tc>
        <w:tc>
          <w:tcPr>
            <w:tcW w:w="4096" w:type="dxa"/>
            <w:noWrap w:val="0"/>
            <w:vAlign w:val="center"/>
          </w:tcPr>
          <w:p w14:paraId="6027DF2D">
            <w:pPr>
              <w:spacing w:line="0" w:lineRule="atLeast"/>
              <w:jc w:val="left"/>
              <w:rPr>
                <w:rFonts w:hint="eastAsia" w:ascii="宋体" w:hAnsi="宋体" w:cs="宋体"/>
                <w:szCs w:val="21"/>
              </w:rPr>
            </w:pPr>
            <w:r>
              <w:rPr>
                <w:rFonts w:hint="eastAsia" w:ascii="宋体" w:hAnsi="宋体" w:cs="宋体"/>
                <w:szCs w:val="21"/>
              </w:rPr>
              <w:t>采用低价优先法计算，投标总价最低的投标报价为评标基准价，其价格分为满分。</w:t>
            </w:r>
          </w:p>
          <w:p w14:paraId="5848F0A3">
            <w:pPr>
              <w:spacing w:line="0" w:lineRule="atLeast"/>
              <w:jc w:val="left"/>
              <w:rPr>
                <w:rFonts w:hint="eastAsia" w:ascii="宋体" w:hAnsi="宋体" w:cs="宋体"/>
                <w:szCs w:val="21"/>
              </w:rPr>
            </w:pPr>
            <w:r>
              <w:rPr>
                <w:rFonts w:hint="eastAsia" w:ascii="宋体" w:hAnsi="宋体" w:cs="宋体"/>
                <w:szCs w:val="21"/>
              </w:rPr>
              <w:t>其他投标人的价</w:t>
            </w:r>
            <w:r>
              <w:rPr>
                <w:rFonts w:hint="eastAsia" w:ascii="宋体" w:hAnsi="宋体" w:cs="宋体"/>
                <w:szCs w:val="21"/>
                <w:lang w:eastAsia="zh-CN"/>
              </w:rPr>
              <w:t>格部</w:t>
            </w:r>
            <w:r>
              <w:rPr>
                <w:rFonts w:hint="eastAsia" w:ascii="宋体" w:hAnsi="宋体" w:cs="宋体"/>
                <w:szCs w:val="21"/>
              </w:rPr>
              <w:t>分统一按照下列公式计算：投标报价得分=</w:t>
            </w:r>
            <w:r>
              <w:rPr>
                <w:rFonts w:hint="eastAsia" w:ascii="宋体" w:hAnsi="宋体" w:cs="宋体"/>
                <w:szCs w:val="21"/>
                <w:lang w:eastAsia="zh-CN"/>
              </w:rPr>
              <w:t>（</w:t>
            </w:r>
            <w:r>
              <w:rPr>
                <w:rFonts w:hint="eastAsia" w:ascii="宋体" w:hAnsi="宋体" w:cs="宋体"/>
                <w:szCs w:val="21"/>
              </w:rPr>
              <w:t>评标基准价／投标总价</w:t>
            </w:r>
            <w:bookmarkStart w:id="4" w:name="_GoBack"/>
            <w:r>
              <w:rPr>
                <w:rFonts w:hint="eastAsia" w:ascii="宋体" w:hAnsi="宋体" w:cs="宋体"/>
                <w:szCs w:val="21"/>
                <w:lang w:eastAsia="zh-CN"/>
              </w:rPr>
              <w:t>）</w:t>
            </w:r>
            <w:bookmarkEnd w:id="4"/>
            <w:r>
              <w:rPr>
                <w:rFonts w:hint="eastAsia" w:ascii="宋体" w:hAnsi="宋体" w:cs="宋体"/>
                <w:szCs w:val="21"/>
              </w:rPr>
              <w:t>×15</w:t>
            </w:r>
          </w:p>
          <w:p w14:paraId="74333178">
            <w:pPr>
              <w:spacing w:line="0" w:lineRule="atLeast"/>
              <w:rPr>
                <w:rFonts w:hint="eastAsia" w:ascii="宋体" w:hAnsi="宋体" w:cs="宋体"/>
                <w:szCs w:val="21"/>
                <w:lang w:val="en-US" w:eastAsia="zh-CN"/>
              </w:rPr>
            </w:pPr>
            <w:r>
              <w:rPr>
                <w:rFonts w:hint="eastAsia" w:ascii="宋体" w:hAnsi="宋体" w:cs="宋体"/>
                <w:szCs w:val="21"/>
              </w:rPr>
              <w:t>评标过程中，不去掉报价中的最高报价和最低报价。</w:t>
            </w:r>
          </w:p>
        </w:tc>
        <w:tc>
          <w:tcPr>
            <w:tcW w:w="1340" w:type="dxa"/>
            <w:noWrap w:val="0"/>
            <w:vAlign w:val="center"/>
          </w:tcPr>
          <w:p w14:paraId="7ECAD558">
            <w:pPr>
              <w:adjustRightInd w:val="0"/>
              <w:snapToGrid w:val="0"/>
              <w:spacing w:line="0" w:lineRule="atLeast"/>
              <w:jc w:val="center"/>
              <w:rPr>
                <w:rFonts w:hint="eastAsia" w:ascii="宋体" w:hAnsi="宋体" w:cs="宋体"/>
                <w:szCs w:val="21"/>
              </w:rPr>
            </w:pPr>
            <w:r>
              <w:rPr>
                <w:rFonts w:hint="eastAsia" w:ascii="宋体" w:hAnsi="宋体" w:cs="宋体"/>
                <w:szCs w:val="21"/>
              </w:rPr>
              <w:t>提供响应报价，并加盖公章</w:t>
            </w:r>
          </w:p>
        </w:tc>
        <w:tc>
          <w:tcPr>
            <w:tcW w:w="1190" w:type="dxa"/>
            <w:noWrap w:val="0"/>
            <w:vAlign w:val="center"/>
          </w:tcPr>
          <w:p w14:paraId="709FCD0F">
            <w:pPr>
              <w:spacing w:line="0" w:lineRule="atLeast"/>
              <w:jc w:val="center"/>
              <w:rPr>
                <w:rFonts w:hint="eastAsia" w:ascii="宋体" w:hAnsi="宋体" w:cs="宋体"/>
                <w:szCs w:val="21"/>
                <w:lang w:val="en-US" w:eastAsia="zh-CN"/>
              </w:rPr>
            </w:pPr>
            <w:r>
              <w:rPr>
                <w:rFonts w:hint="eastAsia" w:ascii="宋体" w:hAnsi="宋体" w:cs="宋体"/>
                <w:szCs w:val="21"/>
                <w:lang w:val="en-US" w:eastAsia="zh-CN"/>
              </w:rPr>
              <w:t>15</w:t>
            </w:r>
            <w:r>
              <w:rPr>
                <w:rFonts w:hint="eastAsia" w:ascii="宋体" w:hAnsi="宋体" w:cs="宋体"/>
                <w:szCs w:val="21"/>
              </w:rPr>
              <w:t>分</w:t>
            </w:r>
          </w:p>
        </w:tc>
        <w:tc>
          <w:tcPr>
            <w:tcW w:w="1406" w:type="dxa"/>
            <w:noWrap w:val="0"/>
            <w:vAlign w:val="center"/>
          </w:tcPr>
          <w:p w14:paraId="2D6A7C31">
            <w:pPr>
              <w:spacing w:line="0" w:lineRule="atLeast"/>
              <w:jc w:val="center"/>
              <w:rPr>
                <w:rFonts w:ascii="宋体" w:hAnsi="宋体" w:cs="宋体"/>
                <w:szCs w:val="21"/>
              </w:rPr>
            </w:pPr>
          </w:p>
        </w:tc>
      </w:tr>
      <w:tr w14:paraId="3E1F4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726" w:type="dxa"/>
            <w:gridSpan w:val="4"/>
            <w:noWrap w:val="0"/>
            <w:vAlign w:val="center"/>
          </w:tcPr>
          <w:p w14:paraId="31B989B3">
            <w:pPr>
              <w:widowControl/>
              <w:adjustRightInd w:val="0"/>
              <w:snapToGrid w:val="0"/>
              <w:spacing w:line="0" w:lineRule="atLeast"/>
              <w:jc w:val="center"/>
              <w:rPr>
                <w:rFonts w:ascii="宋体" w:hAnsi="宋体" w:cs="宋体"/>
                <w:szCs w:val="21"/>
              </w:rPr>
            </w:pPr>
            <w:r>
              <w:rPr>
                <w:rFonts w:hint="eastAsia" w:ascii="宋体" w:hAnsi="宋体" w:cs="宋体"/>
                <w:szCs w:val="21"/>
              </w:rPr>
              <w:t>合计</w:t>
            </w:r>
          </w:p>
        </w:tc>
        <w:tc>
          <w:tcPr>
            <w:tcW w:w="1190" w:type="dxa"/>
            <w:noWrap w:val="0"/>
            <w:vAlign w:val="center"/>
          </w:tcPr>
          <w:p w14:paraId="320F4CCF">
            <w:pPr>
              <w:widowControl/>
              <w:adjustRightInd w:val="0"/>
              <w:snapToGrid w:val="0"/>
              <w:spacing w:line="0" w:lineRule="atLeast"/>
              <w:jc w:val="center"/>
              <w:rPr>
                <w:rFonts w:ascii="宋体" w:hAnsi="宋体" w:cs="宋体"/>
                <w:szCs w:val="21"/>
              </w:rPr>
            </w:pPr>
            <w:r>
              <w:rPr>
                <w:rFonts w:hint="eastAsia" w:ascii="宋体" w:hAnsi="宋体" w:cs="宋体"/>
                <w:szCs w:val="21"/>
              </w:rPr>
              <w:t>100分</w:t>
            </w:r>
          </w:p>
        </w:tc>
        <w:tc>
          <w:tcPr>
            <w:tcW w:w="1406" w:type="dxa"/>
            <w:noWrap w:val="0"/>
            <w:vAlign w:val="center"/>
          </w:tcPr>
          <w:p w14:paraId="101F5CC6">
            <w:pPr>
              <w:adjustRightInd w:val="0"/>
              <w:snapToGrid w:val="0"/>
              <w:spacing w:line="0" w:lineRule="atLeast"/>
              <w:jc w:val="center"/>
              <w:rPr>
                <w:rFonts w:ascii="宋体" w:hAnsi="宋体" w:cs="宋体"/>
                <w:szCs w:val="21"/>
              </w:rPr>
            </w:pPr>
          </w:p>
        </w:tc>
      </w:tr>
      <w:tr w14:paraId="1FBE9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6726" w:type="dxa"/>
            <w:gridSpan w:val="4"/>
            <w:noWrap w:val="0"/>
            <w:vAlign w:val="center"/>
          </w:tcPr>
          <w:p w14:paraId="6CDB8A87">
            <w:pPr>
              <w:widowControl/>
              <w:adjustRightInd w:val="0"/>
              <w:snapToGrid w:val="0"/>
              <w:spacing w:line="0" w:lineRule="atLeast"/>
              <w:jc w:val="center"/>
              <w:rPr>
                <w:rFonts w:hint="eastAsia" w:ascii="宋体" w:hAnsi="宋体" w:cs="宋体"/>
                <w:szCs w:val="21"/>
              </w:rPr>
            </w:pPr>
            <w:r>
              <w:rPr>
                <w:rFonts w:hint="eastAsia" w:ascii="宋体" w:hAnsi="宋体" w:cs="宋体"/>
                <w:b/>
                <w:bCs/>
                <w:szCs w:val="21"/>
              </w:rPr>
              <w:t>拟推荐成交候选供应商（原则推荐评审综合得分最高的单位）</w:t>
            </w:r>
          </w:p>
        </w:tc>
        <w:tc>
          <w:tcPr>
            <w:tcW w:w="2596" w:type="dxa"/>
            <w:gridSpan w:val="2"/>
            <w:noWrap w:val="0"/>
            <w:vAlign w:val="center"/>
          </w:tcPr>
          <w:p w14:paraId="6B30F4DD">
            <w:pPr>
              <w:adjustRightInd w:val="0"/>
              <w:snapToGrid w:val="0"/>
              <w:spacing w:line="0" w:lineRule="atLeast"/>
              <w:jc w:val="center"/>
              <w:rPr>
                <w:rFonts w:ascii="宋体" w:hAnsi="宋体" w:cs="宋体"/>
                <w:szCs w:val="21"/>
              </w:rPr>
            </w:pPr>
          </w:p>
        </w:tc>
      </w:tr>
    </w:tbl>
    <w:p w14:paraId="6E17B983">
      <w:pPr>
        <w:ind w:firstLine="420" w:firstLineChars="200"/>
        <w:rPr>
          <w:rFonts w:hint="eastAsia" w:ascii="黑体" w:hAnsi="黑体" w:eastAsia="黑体"/>
          <w:szCs w:val="21"/>
        </w:rPr>
      </w:pPr>
    </w:p>
    <w:p w14:paraId="7EC5731E">
      <w:pPr>
        <w:ind w:firstLine="420" w:firstLineChars="200"/>
        <w:rPr>
          <w:rFonts w:hint="eastAsia" w:ascii="黑体" w:hAnsi="黑体" w:eastAsia="黑体"/>
          <w:szCs w:val="21"/>
        </w:rPr>
      </w:pPr>
      <w:r>
        <w:rPr>
          <w:rFonts w:hint="eastAsia" w:ascii="黑体" w:hAnsi="黑体" w:eastAsia="黑体"/>
          <w:szCs w:val="21"/>
        </w:rPr>
        <w:t>备注：1.各项评审打分按照四舍五入，小数点后保留2位进行计算；</w:t>
      </w:r>
    </w:p>
    <w:p w14:paraId="7A0290ED">
      <w:pPr>
        <w:ind w:firstLine="420" w:firstLineChars="200"/>
      </w:pPr>
      <w:r>
        <w:rPr>
          <w:rFonts w:hint="eastAsia" w:ascii="黑体" w:hAnsi="黑体" w:eastAsia="黑体"/>
          <w:szCs w:val="21"/>
        </w:rPr>
        <w:t xml:space="preserve">      2.若出现拟推荐成交候选供应商分数相同的情况，价低者得。</w:t>
      </w:r>
    </w:p>
    <w:p w14:paraId="3004486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ZHei-B01S">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145C1E"/>
    <w:rsid w:val="59145C1E"/>
    <w:rsid w:val="5DDF222C"/>
    <w:rsid w:val="6DFC1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纯文本1"/>
    <w:basedOn w:val="1"/>
    <w:qFormat/>
    <w:uiPriority w:val="0"/>
    <w:rPr>
      <w:rFonts w:ascii="宋体" w:hAnsi="Courier New" w:cs="Courier New"/>
    </w:rPr>
  </w:style>
  <w:style w:type="paragraph" w:customStyle="1" w:styleId="5">
    <w:name w:val="Default"/>
    <w:qFormat/>
    <w:uiPriority w:val="0"/>
    <w:pPr>
      <w:widowControl w:val="0"/>
      <w:autoSpaceDE w:val="0"/>
      <w:autoSpaceDN w:val="0"/>
      <w:adjustRightInd w:val="0"/>
    </w:pPr>
    <w:rPr>
      <w:rFonts w:ascii="FZHei-B01S" w:hAnsi="Times New Roman" w:eastAsia="FZHei-B01S" w:cs="FZHei-B01S"/>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991</Words>
  <Characters>1017</Characters>
  <Lines>0</Lines>
  <Paragraphs>0</Paragraphs>
  <TotalTime>0</TotalTime>
  <ScaleCrop>false</ScaleCrop>
  <LinksUpToDate>false</LinksUpToDate>
  <CharactersWithSpaces>1024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2025-02-27T10:18:00Z</dcterms:created>
  <dc:creator>姚隽</dc:creator>
  <cp:lastModifiedBy>张琦</cp:lastModifiedBy>
  <dcterms:modified xsi:type="dcterms:W3CDTF">2025-03-03T01:33:57Z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eyJoZGlkIjoiZjYxZTUyYjc1MzQwNWRmNjlmMWQyYmQ2NmM1M2U4MmMiLCJ1c2VySWQiOiIyNjEzMjU1OTEifQ==</vt:lpwstr>
  </property>
  <property fmtid="{D5CDD505-2E9C-101B-9397-08002B2CF9AE}" pid="4" name="ICV">
    <vt:lpwstr>2D9A1FC16D094C94A040E089D5ED7B7B_12</vt:lpwstr>
  </property>
</Properties>
</file>