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AD64">
      <w:pPr>
        <w:rPr>
          <w:highlight w:val="none"/>
        </w:rPr>
      </w:pPr>
    </w:p>
    <w:p w14:paraId="4613F3DD">
      <w:pPr>
        <w:spacing w:line="360" w:lineRule="auto"/>
        <w:jc w:val="center"/>
        <w:rPr>
          <w:rFonts w:ascii="宋体" w:hAnsi="宋体"/>
          <w:b/>
          <w:sz w:val="48"/>
          <w:szCs w:val="48"/>
          <w:highlight w:val="none"/>
        </w:rPr>
      </w:pPr>
    </w:p>
    <w:p w14:paraId="3B061A2D">
      <w:pPr>
        <w:spacing w:beforeLines="50" w:afterLines="100" w:line="360" w:lineRule="auto"/>
        <w:jc w:val="center"/>
        <w:rPr>
          <w:rFonts w:hint="eastAsia" w:ascii="宋体" w:hAnsi="宋体" w:eastAsia="宋体" w:cs="Times New Roman"/>
          <w:b/>
          <w:sz w:val="44"/>
          <w:szCs w:val="44"/>
          <w:highlight w:val="none"/>
          <w:lang w:val="en-US" w:eastAsia="zh-CN"/>
        </w:rPr>
      </w:pPr>
      <w:r>
        <w:rPr>
          <w:rFonts w:hint="eastAsia" w:ascii="宋体" w:hAnsi="宋体"/>
          <w:b/>
          <w:sz w:val="44"/>
          <w:szCs w:val="44"/>
          <w:highlight w:val="none"/>
          <w:lang w:val="en-US" w:eastAsia="zh-CN"/>
        </w:rPr>
        <w:t>深圳</w:t>
      </w:r>
      <w:r>
        <w:rPr>
          <w:rFonts w:hint="eastAsia" w:ascii="宋体" w:hAnsi="宋体"/>
          <w:b/>
          <w:sz w:val="44"/>
          <w:szCs w:val="44"/>
          <w:highlight w:val="none"/>
        </w:rPr>
        <w:t>建筑产业生态智谷</w:t>
      </w:r>
      <w:r>
        <w:rPr>
          <w:rFonts w:hint="eastAsia" w:ascii="宋体" w:hAnsi="宋体" w:eastAsia="宋体" w:cs="Times New Roman"/>
          <w:b/>
          <w:sz w:val="44"/>
          <w:szCs w:val="44"/>
          <w:highlight w:val="none"/>
          <w:lang w:val="en-US" w:eastAsia="zh-CN"/>
        </w:rPr>
        <w:t>总部基地一期</w:t>
      </w:r>
    </w:p>
    <w:p w14:paraId="147A509A">
      <w:pPr>
        <w:spacing w:beforeLines="50" w:afterLines="100" w:line="360" w:lineRule="auto"/>
        <w:jc w:val="center"/>
        <w:rPr>
          <w:rFonts w:hint="eastAsia" w:ascii="宋体" w:hAnsi="宋体" w:eastAsia="宋体"/>
          <w:b/>
          <w:sz w:val="44"/>
          <w:szCs w:val="44"/>
          <w:highlight w:val="none"/>
        </w:rPr>
      </w:pPr>
      <w:r>
        <w:rPr>
          <w:rFonts w:hint="eastAsia" w:ascii="宋体" w:hAnsi="宋体" w:cs="Times New Roman"/>
          <w:b/>
          <w:sz w:val="44"/>
          <w:szCs w:val="44"/>
          <w:highlight w:val="none"/>
          <w:lang w:val="en-US" w:eastAsia="zh-CN"/>
        </w:rPr>
        <w:t>幕墙四性检测</w:t>
      </w:r>
      <w:r>
        <w:rPr>
          <w:rFonts w:hint="eastAsia" w:ascii="宋体" w:hAnsi="宋体" w:eastAsia="宋体"/>
          <w:b/>
          <w:sz w:val="44"/>
          <w:szCs w:val="44"/>
          <w:highlight w:val="none"/>
        </w:rPr>
        <w:t>服务</w:t>
      </w:r>
    </w:p>
    <w:p w14:paraId="0D257A5A">
      <w:pPr>
        <w:spacing w:beforeLines="50" w:afterLines="100" w:line="360" w:lineRule="auto"/>
        <w:jc w:val="center"/>
        <w:rPr>
          <w:rFonts w:hint="eastAsia" w:ascii="宋体" w:hAnsi="宋体"/>
          <w:b/>
          <w:sz w:val="44"/>
          <w:szCs w:val="44"/>
          <w:highlight w:val="none"/>
        </w:rPr>
      </w:pPr>
    </w:p>
    <w:p w14:paraId="7BB999EB">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394C083C">
      <w:pPr>
        <w:spacing w:line="360" w:lineRule="auto"/>
        <w:jc w:val="center"/>
        <w:rPr>
          <w:rFonts w:ascii="宋体" w:hAnsi="宋体"/>
          <w:b/>
          <w:sz w:val="32"/>
          <w:szCs w:val="32"/>
          <w:highlight w:val="none"/>
        </w:rPr>
      </w:pPr>
    </w:p>
    <w:p w14:paraId="45C9E8EB">
      <w:pPr>
        <w:spacing w:line="360" w:lineRule="auto"/>
        <w:jc w:val="center"/>
        <w:rPr>
          <w:rFonts w:ascii="宋体" w:hAnsi="宋体"/>
          <w:b/>
          <w:sz w:val="32"/>
          <w:szCs w:val="32"/>
          <w:highlight w:val="none"/>
        </w:rPr>
      </w:pPr>
    </w:p>
    <w:p w14:paraId="4D325C66">
      <w:pPr>
        <w:spacing w:line="360" w:lineRule="auto"/>
        <w:jc w:val="center"/>
        <w:rPr>
          <w:rFonts w:ascii="宋体" w:hAnsi="宋体"/>
          <w:b/>
          <w:sz w:val="32"/>
          <w:szCs w:val="32"/>
          <w:highlight w:val="none"/>
        </w:rPr>
      </w:pPr>
    </w:p>
    <w:p w14:paraId="556332DF">
      <w:pPr>
        <w:spacing w:line="360" w:lineRule="auto"/>
        <w:jc w:val="center"/>
        <w:rPr>
          <w:rFonts w:ascii="宋体" w:hAnsi="宋体"/>
          <w:b/>
          <w:sz w:val="32"/>
          <w:szCs w:val="32"/>
          <w:highlight w:val="none"/>
        </w:rPr>
      </w:pPr>
    </w:p>
    <w:p w14:paraId="3F47FC8E">
      <w:pPr>
        <w:spacing w:line="360" w:lineRule="auto"/>
        <w:jc w:val="center"/>
        <w:rPr>
          <w:rFonts w:ascii="宋体" w:hAnsi="宋体"/>
          <w:b/>
          <w:sz w:val="32"/>
          <w:szCs w:val="32"/>
          <w:highlight w:val="none"/>
        </w:rPr>
      </w:pPr>
    </w:p>
    <w:p w14:paraId="3B59CD0B">
      <w:pPr>
        <w:spacing w:line="360" w:lineRule="auto"/>
        <w:jc w:val="center"/>
        <w:rPr>
          <w:rFonts w:ascii="宋体" w:hAnsi="宋体"/>
          <w:b/>
          <w:sz w:val="32"/>
          <w:szCs w:val="32"/>
          <w:highlight w:val="none"/>
        </w:rPr>
      </w:pPr>
    </w:p>
    <w:p w14:paraId="06F5B2A1">
      <w:pPr>
        <w:spacing w:line="360" w:lineRule="auto"/>
        <w:jc w:val="center"/>
        <w:rPr>
          <w:rFonts w:ascii="宋体" w:hAnsi="宋体"/>
          <w:b/>
          <w:sz w:val="32"/>
          <w:szCs w:val="32"/>
          <w:highlight w:val="none"/>
        </w:rPr>
      </w:pPr>
    </w:p>
    <w:p w14:paraId="3E1ABC53">
      <w:pPr>
        <w:adjustRightInd w:val="0"/>
        <w:snapToGrid w:val="0"/>
        <w:spacing w:line="560" w:lineRule="atLeast"/>
        <w:ind w:firstLine="602" w:firstLineChars="200"/>
        <w:jc w:val="center"/>
        <w:rPr>
          <w:rFonts w:hint="eastAsia" w:ascii="宋体" w:hAnsi="宋体" w:eastAsia="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eastAsia="宋体" w:cs="宋体"/>
          <w:sz w:val="28"/>
          <w:szCs w:val="28"/>
          <w:highlight w:val="none"/>
        </w:rPr>
        <w:t>深圳市龙岗区城投绿色低碳新能源产业发展有限公司</w:t>
      </w:r>
    </w:p>
    <w:p w14:paraId="4DC22D06">
      <w:pPr>
        <w:spacing w:line="540" w:lineRule="exact"/>
        <w:jc w:val="right"/>
        <w:rPr>
          <w:rFonts w:ascii="仿宋_GB2312" w:hAnsi="仿宋_GB2312" w:eastAsia="仿宋_GB2312" w:cs="仿宋_GB2312"/>
          <w:b/>
          <w:color w:val="000000"/>
          <w:sz w:val="30"/>
          <w:szCs w:val="30"/>
          <w:highlight w:val="none"/>
        </w:rPr>
      </w:pPr>
    </w:p>
    <w:p w14:paraId="4E359A13">
      <w:pPr>
        <w:spacing w:line="360" w:lineRule="auto"/>
        <w:jc w:val="center"/>
        <w:rPr>
          <w:rFonts w:ascii="仿宋_GB2312" w:hAnsi="宋体" w:eastAsia="仿宋_GB2312"/>
          <w:b/>
          <w:sz w:val="30"/>
          <w:szCs w:val="30"/>
          <w:highlight w:val="none"/>
        </w:rPr>
      </w:pPr>
    </w:p>
    <w:p w14:paraId="2C88D57E">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二</w:t>
      </w:r>
      <w:r>
        <w:rPr>
          <w:rFonts w:hint="eastAsia" w:ascii="宋体" w:hAnsi="宋体"/>
          <w:sz w:val="30"/>
          <w:szCs w:val="30"/>
          <w:highlight w:val="none"/>
        </w:rPr>
        <w:t>月</w:t>
      </w:r>
    </w:p>
    <w:p w14:paraId="13C55587">
      <w:pPr>
        <w:widowControl/>
        <w:spacing w:beforeLines="25" w:afterLines="25" w:line="360" w:lineRule="auto"/>
        <w:jc w:val="center"/>
        <w:rPr>
          <w:rFonts w:ascii="宋体" w:hAnsi="宋体"/>
          <w:b/>
          <w:sz w:val="32"/>
          <w:szCs w:val="32"/>
          <w:highlight w:val="none"/>
          <w:lang w:val="zh-CN"/>
        </w:rPr>
        <w:sectPr>
          <w:headerReference r:id="rId3" w:type="default"/>
          <w:pgSz w:w="11906" w:h="16838"/>
          <w:pgMar w:top="1440" w:right="1800" w:bottom="1440" w:left="1800" w:header="1247" w:footer="737" w:gutter="0"/>
          <w:pgBorders>
            <w:top w:val="none" w:sz="0" w:space="0"/>
            <w:left w:val="none" w:sz="0" w:space="0"/>
            <w:bottom w:val="none" w:sz="0" w:space="0"/>
            <w:right w:val="none" w:sz="0" w:space="0"/>
          </w:pgBorders>
          <w:pgNumType w:start="1"/>
          <w:cols w:space="720" w:num="1"/>
          <w:docGrid w:linePitch="380" w:charSpace="-4301"/>
        </w:sectPr>
      </w:pPr>
    </w:p>
    <w:p w14:paraId="58F72110">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0124F39C">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3CF48EF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0F48C934">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4907691F">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77B51AE2">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3DFE7D51">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2336EA23">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088F3926">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6620253A">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1FE7FF7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 xml:space="preserve">第三章  </w:t>
      </w:r>
      <w:r>
        <w:rPr>
          <w:rFonts w:hint="eastAsia" w:ascii="宋体" w:hAnsi="宋体"/>
          <w:sz w:val="24"/>
          <w:szCs w:val="24"/>
          <w:highlight w:val="none"/>
        </w:rPr>
        <w:t>合同文件</w:t>
      </w:r>
      <w:r>
        <w:rPr>
          <w:rFonts w:ascii="宋体" w:hAnsi="宋体"/>
          <w:sz w:val="24"/>
          <w:szCs w:val="24"/>
          <w:highlight w:val="none"/>
          <w:lang w:val="zh-CN"/>
        </w:rPr>
        <w:t>…………………………………………………………………</w:t>
      </w:r>
      <w:r>
        <w:rPr>
          <w:rFonts w:hint="eastAsia" w:ascii="宋体" w:hAnsi="宋体"/>
          <w:sz w:val="24"/>
          <w:szCs w:val="24"/>
          <w:highlight w:val="none"/>
        </w:rPr>
        <w:t>1</w:t>
      </w:r>
      <w:r>
        <w:rPr>
          <w:rFonts w:hint="eastAsia" w:ascii="宋体" w:hAnsi="宋体"/>
          <w:sz w:val="24"/>
          <w:szCs w:val="24"/>
          <w:highlight w:val="none"/>
          <w:lang w:val="en-US" w:eastAsia="zh-CN"/>
        </w:rPr>
        <w:t>4</w:t>
      </w:r>
    </w:p>
    <w:p w14:paraId="561E0292">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37</w:t>
      </w:r>
    </w:p>
    <w:p w14:paraId="10BA7276">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2BAEF241">
      <w:pPr>
        <w:pStyle w:val="37"/>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6DDE6A43">
      <w:pPr>
        <w:widowControl/>
        <w:spacing w:beforeLines="25" w:afterLines="25" w:line="360" w:lineRule="auto"/>
        <w:jc w:val="center"/>
        <w:rPr>
          <w:rFonts w:hint="default" w:ascii="宋体" w:hAnsi="宋体" w:eastAsia="宋体"/>
          <w:b/>
          <w:sz w:val="36"/>
          <w:szCs w:val="36"/>
          <w:highlight w:val="none"/>
          <w:lang w:val="en-US" w:eastAsia="zh-CN"/>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r>
        <w:rPr>
          <w:rFonts w:hint="eastAsia" w:ascii="宋体" w:hAnsi="宋体"/>
          <w:b/>
          <w:sz w:val="36"/>
          <w:szCs w:val="36"/>
          <w:highlight w:val="none"/>
          <w:lang w:val="en-US" w:eastAsia="zh-CN"/>
        </w:rPr>
        <w:t>(二次）</w:t>
      </w:r>
    </w:p>
    <w:p w14:paraId="3CCD74AB">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highlight w:val="none"/>
          <w:lang w:val="en-US" w:eastAsia="zh-CN"/>
        </w:rPr>
        <w:t>深圳建筑产业生态智谷总部基地一期幕墙四性检测服务。</w:t>
      </w:r>
    </w:p>
    <w:p w14:paraId="4B5C2FFA">
      <w:pPr>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sz w:val="28"/>
          <w:szCs w:val="28"/>
          <w:highlight w:val="none"/>
        </w:rPr>
        <w:t>深圳建筑产业生态智谷以“总部基地+产业园区”1+1布局的第一个“1”，选址于深圳市龙岗区龙城街道看所守路，是深圳建筑产业生态智谷的核心组成部分。总部基地用地性质为M0，项目总建筑面积248294.15平方米，建设内容包括研发办公、实验室、宿舍、食堂、配套商业、公共配套设施。</w:t>
      </w:r>
    </w:p>
    <w:p w14:paraId="75FBEF51">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本</w:t>
      </w: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sz w:val="28"/>
          <w:szCs w:val="28"/>
          <w:highlight w:val="none"/>
          <w:lang w:val="en-US" w:eastAsia="zh-CN"/>
        </w:rPr>
        <w:t>服务</w:t>
      </w:r>
      <w:r>
        <w:rPr>
          <w:rFonts w:hint="eastAsia" w:ascii="仿宋_GB2312" w:hAnsi="仿宋_GB2312" w:eastAsia="仿宋_GB2312" w:cs="仿宋_GB2312"/>
          <w:sz w:val="28"/>
          <w:szCs w:val="28"/>
          <w:highlight w:val="none"/>
        </w:rPr>
        <w:t>费用在</w:t>
      </w:r>
      <w:r>
        <w:rPr>
          <w:rFonts w:hint="eastAsia" w:ascii="仿宋_GB2312" w:hAnsi="仿宋_GB2312" w:eastAsia="仿宋_GB2312" w:cs="仿宋_GB2312"/>
          <w:sz w:val="28"/>
          <w:szCs w:val="28"/>
          <w:highlight w:val="none"/>
          <w:lang w:val="en-US" w:eastAsia="zh-CN"/>
        </w:rPr>
        <w:t>深圳建筑产业生态智谷项目总部基地一期建设</w:t>
      </w:r>
      <w:r>
        <w:rPr>
          <w:rFonts w:hint="eastAsia" w:ascii="仿宋_GB2312" w:hAnsi="仿宋_GB2312" w:eastAsia="仿宋_GB2312" w:cs="仿宋_GB2312"/>
          <w:bCs w:val="0"/>
          <w:sz w:val="28"/>
          <w:szCs w:val="28"/>
          <w:highlight w:val="none"/>
        </w:rPr>
        <w:t>资金中列支</w:t>
      </w:r>
      <w:r>
        <w:rPr>
          <w:rFonts w:hint="eastAsia" w:ascii="仿宋_GB2312" w:hAnsi="仿宋_GB2312" w:eastAsia="仿宋_GB2312" w:cs="仿宋_GB2312"/>
          <w:sz w:val="28"/>
          <w:szCs w:val="28"/>
          <w:highlight w:val="none"/>
        </w:rPr>
        <w:t>。</w:t>
      </w:r>
    </w:p>
    <w:p w14:paraId="3A4A8803">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按照相关法律规范要求，对深圳建筑产业生态智谷总部基地一期幕墙四性进行检测，出具检测报告。</w:t>
      </w:r>
    </w:p>
    <w:p w14:paraId="2880739B">
      <w:pPr>
        <w:spacing w:line="54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rPr>
        <w:t>投标上限价为</w:t>
      </w:r>
      <w:r>
        <w:rPr>
          <w:rFonts w:hint="eastAsia" w:ascii="仿宋_GB2312" w:hAnsi="仿宋_GB2312" w:eastAsia="仿宋_GB2312" w:cs="仿宋_GB2312"/>
          <w:b/>
          <w:bCs/>
          <w:color w:val="auto"/>
          <w:sz w:val="28"/>
          <w:szCs w:val="28"/>
          <w:highlight w:val="none"/>
          <w:lang w:val="en-US" w:eastAsia="zh-CN"/>
        </w:rPr>
        <w:t>37.3万元</w:t>
      </w:r>
      <w:r>
        <w:rPr>
          <w:rFonts w:hint="eastAsia" w:ascii="仿宋_GB2312" w:hAnsi="仿宋_GB2312" w:eastAsia="仿宋_GB2312" w:cs="仿宋_GB2312"/>
          <w:color w:val="auto"/>
          <w:sz w:val="28"/>
          <w:szCs w:val="28"/>
          <w:highlight w:val="none"/>
          <w:lang w:eastAsia="zh-CN"/>
        </w:rPr>
        <w:t>。</w:t>
      </w:r>
    </w:p>
    <w:p w14:paraId="1AC63097">
      <w:pPr>
        <w:spacing w:line="540" w:lineRule="exact"/>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：投标人在限价</w:t>
      </w:r>
      <w:r>
        <w:rPr>
          <w:rFonts w:hint="eastAsia" w:ascii="仿宋_GB2312" w:hAnsi="仿宋_GB2312" w:eastAsia="仿宋_GB2312" w:cs="仿宋_GB2312"/>
          <w:sz w:val="28"/>
          <w:szCs w:val="28"/>
          <w:highlight w:val="none"/>
          <w:lang w:val="en-US" w:eastAsia="zh-CN"/>
        </w:rPr>
        <w:t>范</w:t>
      </w:r>
      <w:r>
        <w:rPr>
          <w:rFonts w:hint="eastAsia" w:ascii="仿宋_GB2312" w:hAnsi="仿宋_GB2312" w:eastAsia="仿宋_GB2312" w:cs="仿宋_GB2312"/>
          <w:sz w:val="28"/>
          <w:szCs w:val="28"/>
          <w:highlight w:val="none"/>
        </w:rPr>
        <w:t xml:space="preserve">围内，自主报价。 </w:t>
      </w:r>
    </w:p>
    <w:p w14:paraId="2267E5F4">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5F3F8987">
      <w:pPr>
        <w:pStyle w:val="114"/>
        <w:tabs>
          <w:tab w:val="left" w:pos="426"/>
          <w:tab w:val="left" w:pos="567"/>
        </w:tabs>
        <w:spacing w:line="540" w:lineRule="exact"/>
        <w:ind w:firstLine="560"/>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eastAsia="zh-CN"/>
        </w:rPr>
        <w:t>（1）</w:t>
      </w:r>
      <w:r>
        <w:rPr>
          <w:rFonts w:hint="eastAsia" w:ascii="仿宋_GB2312" w:eastAsia="仿宋_GB2312" w:cs="Times New Roman"/>
          <w:sz w:val="28"/>
          <w:szCs w:val="28"/>
          <w:highlight w:val="none"/>
          <w:lang w:val="en-US" w:eastAsia="zh-CN"/>
        </w:rPr>
        <w:t>投标人须具有建筑幕墙工程检测资质；</w:t>
      </w:r>
    </w:p>
    <w:p w14:paraId="573267CC">
      <w:pPr>
        <w:pStyle w:val="114"/>
        <w:tabs>
          <w:tab w:val="left" w:pos="426"/>
          <w:tab w:val="left" w:pos="567"/>
        </w:tabs>
        <w:spacing w:line="540" w:lineRule="exact"/>
        <w:ind w:firstLine="560"/>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eastAsia="zh-CN"/>
        </w:rPr>
        <w:t>（</w:t>
      </w:r>
      <w:r>
        <w:rPr>
          <w:rFonts w:hint="eastAsia" w:ascii="仿宋_GB2312" w:eastAsia="仿宋_GB2312" w:cs="Times New Roman"/>
          <w:sz w:val="28"/>
          <w:szCs w:val="28"/>
          <w:highlight w:val="none"/>
        </w:rPr>
        <w:t>2）</w:t>
      </w:r>
      <w:r>
        <w:rPr>
          <w:rFonts w:hint="eastAsia" w:ascii="仿宋_GB2312" w:eastAsia="仿宋_GB2312" w:cs="Times New Roman"/>
          <w:sz w:val="28"/>
          <w:szCs w:val="28"/>
          <w:highlight w:val="none"/>
          <w:lang w:val="en-US" w:eastAsia="zh-CN"/>
        </w:rPr>
        <w:t>不接受联合体投标。</w:t>
      </w:r>
    </w:p>
    <w:p w14:paraId="630B7B23">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04E0BD12">
      <w:pPr>
        <w:pStyle w:val="115"/>
        <w:numPr>
          <w:ilvl w:val="255"/>
          <w:numId w:val="0"/>
        </w:numPr>
        <w:spacing w:before="0" w:line="540" w:lineRule="exact"/>
        <w:rPr>
          <w:rFonts w:ascii="仿宋_GB2312" w:hAnsi="Calibri" w:eastAsia="仿宋_GB2312"/>
          <w:sz w:val="28"/>
          <w:szCs w:val="28"/>
          <w:highlight w:val="none"/>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单价</w:t>
      </w:r>
      <w:r>
        <w:rPr>
          <w:rFonts w:hint="eastAsia" w:ascii="仿宋_GB2312" w:hAnsi="Calibri" w:eastAsia="仿宋_GB2312"/>
          <w:sz w:val="28"/>
          <w:szCs w:val="28"/>
          <w:highlight w:val="none"/>
        </w:rPr>
        <w:t>合同。</w:t>
      </w:r>
    </w:p>
    <w:p w14:paraId="7B71F8A8">
      <w:pPr>
        <w:pStyle w:val="115"/>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九、支付方式：</w:t>
      </w:r>
    </w:p>
    <w:p w14:paraId="018DD3C0">
      <w:pPr>
        <w:pStyle w:val="114"/>
        <w:tabs>
          <w:tab w:val="left" w:pos="426"/>
          <w:tab w:val="left" w:pos="567"/>
        </w:tabs>
        <w:spacing w:line="560" w:lineRule="exact"/>
        <w:ind w:firstLine="622"/>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（1）检测工作完成，甲方在领取正式报告后向乙方支付80%技术服务费用。</w:t>
      </w:r>
    </w:p>
    <w:p w14:paraId="161BA481">
      <w:pPr>
        <w:pStyle w:val="114"/>
        <w:tabs>
          <w:tab w:val="left" w:pos="426"/>
          <w:tab w:val="left" w:pos="567"/>
        </w:tabs>
        <w:spacing w:line="560" w:lineRule="exact"/>
        <w:ind w:firstLine="622"/>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（2）余款待本合同结算完成后支付。</w:t>
      </w:r>
    </w:p>
    <w:p w14:paraId="407D9109">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十、响应文件要求：</w:t>
      </w:r>
    </w:p>
    <w:p w14:paraId="3E9617C3">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14日</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19</w:t>
      </w:r>
      <w:r>
        <w:rPr>
          <w:rFonts w:hint="eastAsia" w:ascii="仿宋_GB2312" w:hAnsi="仿宋_GB2312" w:eastAsia="仿宋_GB2312" w:cs="仿宋_GB2312"/>
          <w:sz w:val="28"/>
          <w:szCs w:val="28"/>
          <w:highlight w:val="none"/>
        </w:rPr>
        <w:t>日止，响应承包商应于</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19</w:t>
      </w:r>
      <w:r>
        <w:rPr>
          <w:rFonts w:hint="eastAsia" w:ascii="仿宋_GB2312" w:hAnsi="仿宋_GB2312" w:eastAsia="仿宋_GB2312" w:cs="仿宋_GB2312"/>
          <w:sz w:val="28"/>
          <w:szCs w:val="28"/>
          <w:highlight w:val="none"/>
        </w:rPr>
        <w:t>日1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:00前将响应文件1正4副密封（统一密封，密封处加盖公章）送交到龙岗区中心城腾飞路创投大厦</w:t>
      </w:r>
      <w:r>
        <w:rPr>
          <w:rFonts w:hint="eastAsia" w:ascii="仿宋_GB2312" w:hAnsi="仿宋_GB2312" w:eastAsia="仿宋_GB2312" w:cs="仿宋_GB2312"/>
          <w:sz w:val="28"/>
          <w:szCs w:val="28"/>
          <w:highlight w:val="none"/>
          <w:lang w:eastAsia="zh-CN"/>
        </w:rPr>
        <w:t>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胡</w:t>
      </w:r>
      <w:r>
        <w:rPr>
          <w:rFonts w:hint="eastAsia" w:ascii="仿宋_GB2312" w:hAnsi="仿宋_GB2312" w:eastAsia="仿宋_GB2312" w:cs="仿宋_GB2312"/>
          <w:sz w:val="28"/>
          <w:szCs w:val="28"/>
          <w:highlight w:val="none"/>
        </w:rPr>
        <w:t>工，0755-28504</w:t>
      </w:r>
      <w:r>
        <w:rPr>
          <w:rFonts w:hint="eastAsia" w:ascii="仿宋_GB2312" w:hAnsi="仿宋_GB2312" w:eastAsia="仿宋_GB2312" w:cs="仿宋_GB2312"/>
          <w:sz w:val="28"/>
          <w:szCs w:val="28"/>
          <w:highlight w:val="none"/>
          <w:lang w:val="en-US" w:eastAsia="zh-CN"/>
        </w:rPr>
        <w:t>122</w:t>
      </w:r>
      <w:r>
        <w:rPr>
          <w:rFonts w:hint="eastAsia" w:ascii="仿宋_GB2312" w:hAnsi="仿宋_GB2312" w:eastAsia="仿宋_GB2312" w:cs="仿宋_GB2312"/>
          <w:sz w:val="28"/>
          <w:szCs w:val="28"/>
          <w:highlight w:val="none"/>
        </w:rPr>
        <w:t>），逾期送达或未按要求密封将予以拒收或原封退回给报价人。</w:t>
      </w:r>
    </w:p>
    <w:p w14:paraId="61637CCF">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4E27A4C9">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w:t>
      </w:r>
      <w:r>
        <w:rPr>
          <w:rFonts w:hint="eastAsia" w:ascii="仿宋_GB2312" w:hAnsi="仿宋_GB2312" w:eastAsia="仿宋_GB2312" w:cs="仿宋_GB2312"/>
          <w:sz w:val="28"/>
          <w:szCs w:val="28"/>
          <w:highlight w:val="none"/>
          <w:lang w:eastAsia="zh-CN"/>
        </w:rPr>
        <w:t>为</w:t>
      </w:r>
      <w:r>
        <w:rPr>
          <w:rFonts w:hint="eastAsia" w:ascii="仿宋_GB2312" w:hAnsi="仿宋_GB2312" w:eastAsia="仿宋_GB2312" w:cs="仿宋_GB2312"/>
          <w:sz w:val="28"/>
          <w:szCs w:val="28"/>
          <w:highlight w:val="none"/>
        </w:rPr>
        <w:t>二次公告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递交响应文件截止时间后，若有效响应单位</w:t>
      </w:r>
      <w:r>
        <w:rPr>
          <w:rFonts w:hint="eastAsia" w:ascii="仿宋_GB2312" w:hAnsi="仿宋_GB2312" w:eastAsia="仿宋_GB2312" w:cs="仿宋_GB2312"/>
          <w:sz w:val="28"/>
          <w:szCs w:val="28"/>
          <w:highlight w:val="none"/>
          <w:lang w:eastAsia="zh-CN"/>
        </w:rPr>
        <w:t>仍不</w:t>
      </w:r>
      <w:r>
        <w:rPr>
          <w:rFonts w:hint="eastAsia" w:ascii="仿宋_GB2312" w:hAnsi="仿宋_GB2312" w:eastAsia="仿宋_GB2312" w:cs="仿宋_GB2312"/>
          <w:sz w:val="28"/>
          <w:szCs w:val="28"/>
          <w:highlight w:val="none"/>
        </w:rPr>
        <w:t>足3家，</w:t>
      </w:r>
      <w:r>
        <w:rPr>
          <w:rFonts w:hint="eastAsia" w:ascii="仿宋_GB2312" w:hAnsi="仿宋_GB2312" w:eastAsia="仿宋_GB2312" w:cs="仿宋_GB2312"/>
          <w:sz w:val="28"/>
          <w:szCs w:val="28"/>
          <w:highlight w:val="none"/>
          <w:lang w:eastAsia="zh-CN"/>
        </w:rPr>
        <w:t>则</w:t>
      </w:r>
      <w:r>
        <w:rPr>
          <w:rFonts w:hint="eastAsia" w:ascii="仿宋_GB2312" w:hAnsi="仿宋_GB2312" w:eastAsia="仿宋_GB2312" w:cs="仿宋_GB2312"/>
          <w:sz w:val="28"/>
          <w:szCs w:val="28"/>
          <w:highlight w:val="none"/>
        </w:rPr>
        <w:t>有效响应单位仅有2家的，拆封响应文件继续评审，有效响应单位仅有1家的，</w:t>
      </w:r>
      <w:r>
        <w:rPr>
          <w:rFonts w:hint="eastAsia" w:ascii="仿宋_GB2312" w:hAnsi="仿宋_GB2312" w:eastAsia="仿宋_GB2312" w:cs="仿宋_GB2312"/>
          <w:sz w:val="28"/>
          <w:szCs w:val="28"/>
          <w:highlight w:val="none"/>
          <w:lang w:eastAsia="zh-CN"/>
        </w:rPr>
        <w:t>即</w:t>
      </w:r>
      <w:r>
        <w:rPr>
          <w:rFonts w:hint="eastAsia" w:ascii="仿宋_GB2312" w:hAnsi="仿宋_GB2312" w:eastAsia="仿宋_GB2312" w:cs="仿宋_GB2312"/>
          <w:sz w:val="28"/>
          <w:szCs w:val="28"/>
          <w:highlight w:val="none"/>
        </w:rPr>
        <w:t>直接选定承包单位。</w:t>
      </w:r>
    </w:p>
    <w:p w14:paraId="7F2F331D">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11BC5DEE">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5E63DCD0">
      <w:pPr>
        <w:spacing w:line="540" w:lineRule="exact"/>
        <w:ind w:left="1687" w:hanging="1687" w:hangingChars="600"/>
        <w:rPr>
          <w:rFonts w:ascii="仿宋_GB2312" w:hAnsi="仿宋_GB2312" w:eastAsia="仿宋_GB2312" w:cs="仿宋_GB2312"/>
          <w:b/>
          <w:bCs/>
          <w:sz w:val="28"/>
          <w:szCs w:val="28"/>
          <w:highlight w:val="none"/>
        </w:rPr>
      </w:pPr>
    </w:p>
    <w:p w14:paraId="48B1474F">
      <w:pPr>
        <w:spacing w:line="540" w:lineRule="exact"/>
        <w:ind w:left="1687" w:hanging="1687" w:hangingChars="600"/>
        <w:rPr>
          <w:rFonts w:ascii="仿宋_GB2312" w:hAnsi="仿宋_GB2312" w:eastAsia="仿宋_GB2312" w:cs="仿宋_GB2312"/>
          <w:b/>
          <w:bCs/>
          <w:sz w:val="28"/>
          <w:szCs w:val="28"/>
          <w:highlight w:val="none"/>
        </w:rPr>
      </w:pPr>
    </w:p>
    <w:p w14:paraId="795B6022">
      <w:pPr>
        <w:rPr>
          <w:highlight w:val="none"/>
        </w:rPr>
      </w:pPr>
    </w:p>
    <w:p w14:paraId="285FB41D">
      <w:pPr>
        <w:rPr>
          <w:highlight w:val="none"/>
        </w:rPr>
      </w:pPr>
    </w:p>
    <w:p w14:paraId="4AC795DE">
      <w:pPr>
        <w:rPr>
          <w:highlight w:val="none"/>
        </w:rPr>
      </w:pPr>
    </w:p>
    <w:p w14:paraId="7B9B914A">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15321395">
      <w:pPr>
        <w:numPr>
          <w:ilvl w:val="0"/>
          <w:numId w:val="3"/>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26E9FAE6">
      <w:pPr>
        <w:numPr>
          <w:ilvl w:val="0"/>
          <w:numId w:val="3"/>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50F99E17">
      <w:pPr>
        <w:pStyle w:val="28"/>
        <w:spacing w:line="540" w:lineRule="exact"/>
        <w:rPr>
          <w:sz w:val="28"/>
          <w:szCs w:val="28"/>
          <w:highlight w:val="none"/>
        </w:rPr>
      </w:pPr>
    </w:p>
    <w:p w14:paraId="4221D81B">
      <w:pPr>
        <w:adjustRightInd w:val="0"/>
        <w:snapToGrid w:val="0"/>
        <w:spacing w:line="560" w:lineRule="atLeast"/>
        <w:ind w:firstLine="560" w:firstLineChars="20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深圳市龙岗区城投绿色低碳新能源产业发展有限公司</w:t>
      </w:r>
    </w:p>
    <w:p w14:paraId="28801743">
      <w:pPr>
        <w:spacing w:line="540" w:lineRule="exact"/>
        <w:ind w:firstLine="480"/>
        <w:rPr>
          <w:rFonts w:ascii="仿宋_GB2312" w:hAnsi="仿宋_GB2312" w:eastAsia="仿宋_GB2312" w:cs="仿宋_GB2312"/>
          <w:sz w:val="28"/>
          <w:szCs w:val="28"/>
          <w:highlight w:val="none"/>
        </w:rPr>
      </w:pPr>
    </w:p>
    <w:p w14:paraId="50175D0A">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14</w:t>
      </w:r>
      <w:r>
        <w:rPr>
          <w:rFonts w:hint="eastAsia" w:ascii="仿宋_GB2312" w:hAnsi="仿宋_GB2312" w:eastAsia="仿宋_GB2312" w:cs="仿宋_GB2312"/>
          <w:b/>
          <w:bCs/>
          <w:sz w:val="28"/>
          <w:szCs w:val="28"/>
          <w:highlight w:val="none"/>
        </w:rPr>
        <w:t>日</w:t>
      </w:r>
    </w:p>
    <w:p w14:paraId="40C44E77">
      <w:pPr>
        <w:rPr>
          <w:highlight w:val="none"/>
        </w:rPr>
      </w:pPr>
      <w:r>
        <w:rPr>
          <w:highlight w:val="none"/>
        </w:rPr>
        <w:br w:type="page"/>
      </w:r>
    </w:p>
    <w:p w14:paraId="535A5018">
      <w:pPr>
        <w:pStyle w:val="23"/>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01605E7C">
      <w:pPr>
        <w:pStyle w:val="23"/>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4160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6C0F3E33">
            <w:pPr>
              <w:pStyle w:val="28"/>
              <w:rPr>
                <w:rFonts w:hint="eastAsia" w:hAnsi="宋体"/>
                <w:highlight w:val="none"/>
              </w:rPr>
            </w:pPr>
            <w:r>
              <w:rPr>
                <w:rFonts w:hint="eastAsia" w:hAnsi="宋体"/>
                <w:highlight w:val="none"/>
              </w:rPr>
              <w:t>序号</w:t>
            </w:r>
          </w:p>
        </w:tc>
        <w:tc>
          <w:tcPr>
            <w:tcW w:w="1534" w:type="dxa"/>
            <w:vAlign w:val="center"/>
          </w:tcPr>
          <w:p w14:paraId="7128AB75">
            <w:pPr>
              <w:pStyle w:val="28"/>
              <w:rPr>
                <w:rFonts w:hint="eastAsia" w:hAnsi="宋体"/>
                <w:highlight w:val="none"/>
              </w:rPr>
            </w:pPr>
            <w:r>
              <w:rPr>
                <w:rFonts w:hint="eastAsia" w:hAnsi="宋体"/>
                <w:highlight w:val="none"/>
              </w:rPr>
              <w:t>项目明细内容</w:t>
            </w:r>
          </w:p>
        </w:tc>
        <w:tc>
          <w:tcPr>
            <w:tcW w:w="3151" w:type="dxa"/>
            <w:vAlign w:val="center"/>
          </w:tcPr>
          <w:p w14:paraId="4E971988">
            <w:pPr>
              <w:pStyle w:val="28"/>
              <w:rPr>
                <w:rFonts w:hint="eastAsia" w:hAnsi="宋体"/>
                <w:highlight w:val="none"/>
              </w:rPr>
            </w:pPr>
            <w:r>
              <w:rPr>
                <w:rFonts w:hint="eastAsia" w:hAnsi="宋体"/>
                <w:highlight w:val="none"/>
              </w:rPr>
              <w:t>要求</w:t>
            </w:r>
          </w:p>
        </w:tc>
        <w:tc>
          <w:tcPr>
            <w:tcW w:w="3108" w:type="dxa"/>
            <w:vAlign w:val="center"/>
          </w:tcPr>
          <w:p w14:paraId="3CDDC135">
            <w:pPr>
              <w:pStyle w:val="28"/>
              <w:rPr>
                <w:rFonts w:hint="eastAsia" w:hAnsi="宋体"/>
                <w:highlight w:val="none"/>
              </w:rPr>
            </w:pPr>
            <w:r>
              <w:rPr>
                <w:rFonts w:hint="eastAsia" w:hAnsi="宋体"/>
                <w:highlight w:val="none"/>
              </w:rPr>
              <w:t>备注</w:t>
            </w:r>
          </w:p>
        </w:tc>
      </w:tr>
      <w:tr w14:paraId="68F0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2EFF0211">
            <w:pPr>
              <w:pStyle w:val="28"/>
              <w:rPr>
                <w:rFonts w:hint="eastAsia" w:hAnsi="宋体"/>
                <w:highlight w:val="none"/>
              </w:rPr>
            </w:pPr>
            <w:r>
              <w:rPr>
                <w:rFonts w:hint="eastAsia" w:hAnsi="宋体"/>
                <w:highlight w:val="none"/>
              </w:rPr>
              <w:t>1</w:t>
            </w:r>
          </w:p>
        </w:tc>
        <w:tc>
          <w:tcPr>
            <w:tcW w:w="1534" w:type="dxa"/>
            <w:vAlign w:val="center"/>
          </w:tcPr>
          <w:p w14:paraId="2E120D53">
            <w:pPr>
              <w:pStyle w:val="28"/>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351B3015">
            <w:pPr>
              <w:pStyle w:val="28"/>
              <w:rPr>
                <w:rFonts w:hint="eastAsia" w:hAnsi="宋体"/>
                <w:highlight w:val="none"/>
              </w:rPr>
            </w:pPr>
            <w:r>
              <w:rPr>
                <w:rFonts w:hint="eastAsia" w:hAnsi="宋体"/>
                <w:highlight w:val="none"/>
              </w:rPr>
              <w:t>公告时间从202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2</w:t>
            </w:r>
            <w:r>
              <w:rPr>
                <w:rFonts w:hint="eastAsia" w:hAnsi="宋体"/>
                <w:highlight w:val="none"/>
              </w:rPr>
              <w:t>月</w:t>
            </w:r>
            <w:r>
              <w:rPr>
                <w:rFonts w:hint="eastAsia" w:hAnsi="宋体"/>
                <w:highlight w:val="none"/>
                <w:lang w:val="en-US" w:eastAsia="zh-CN"/>
              </w:rPr>
              <w:t>14</w:t>
            </w:r>
            <w:r>
              <w:rPr>
                <w:rFonts w:hint="eastAsia" w:hAnsi="宋体"/>
                <w:highlight w:val="none"/>
              </w:rPr>
              <w:t>日—</w:t>
            </w:r>
            <w:r>
              <w:rPr>
                <w:rFonts w:hint="eastAsia" w:hAnsi="宋体"/>
                <w:highlight w:val="none"/>
                <w:lang w:val="en-US" w:eastAsia="zh-CN"/>
              </w:rPr>
              <w:t>2</w:t>
            </w:r>
            <w:r>
              <w:rPr>
                <w:rFonts w:hint="eastAsia" w:hAnsi="宋体"/>
                <w:highlight w:val="none"/>
              </w:rPr>
              <w:t>月</w:t>
            </w:r>
            <w:r>
              <w:rPr>
                <w:rFonts w:hint="eastAsia" w:hAnsi="宋体"/>
                <w:highlight w:val="none"/>
                <w:lang w:val="en-US" w:eastAsia="zh-CN"/>
              </w:rPr>
              <w:t>19</w:t>
            </w:r>
            <w:r>
              <w:rPr>
                <w:rFonts w:hint="eastAsia" w:hAnsi="宋体"/>
                <w:highlight w:val="none"/>
              </w:rPr>
              <w:t>日止</w:t>
            </w:r>
          </w:p>
        </w:tc>
        <w:tc>
          <w:tcPr>
            <w:tcW w:w="3108" w:type="dxa"/>
            <w:vAlign w:val="center"/>
          </w:tcPr>
          <w:p w14:paraId="59DD4619">
            <w:pPr>
              <w:pStyle w:val="28"/>
              <w:rPr>
                <w:rFonts w:hint="eastAsia" w:hAnsi="宋体"/>
                <w:highlight w:val="none"/>
              </w:rPr>
            </w:pPr>
            <w:r>
              <w:rPr>
                <w:rFonts w:hint="eastAsia" w:hAnsi="宋体"/>
                <w:highlight w:val="none"/>
              </w:rPr>
              <w:t>龙岗区城投集团官方网站</w:t>
            </w:r>
          </w:p>
        </w:tc>
      </w:tr>
      <w:tr w14:paraId="04DA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63EDEA6C">
            <w:pPr>
              <w:pStyle w:val="28"/>
              <w:rPr>
                <w:rFonts w:hint="eastAsia" w:hAnsi="宋体"/>
                <w:highlight w:val="none"/>
              </w:rPr>
            </w:pPr>
            <w:r>
              <w:rPr>
                <w:rFonts w:hint="eastAsia" w:hAnsi="宋体"/>
                <w:highlight w:val="none"/>
              </w:rPr>
              <w:t>2</w:t>
            </w:r>
          </w:p>
        </w:tc>
        <w:tc>
          <w:tcPr>
            <w:tcW w:w="1534" w:type="dxa"/>
            <w:vAlign w:val="center"/>
          </w:tcPr>
          <w:p w14:paraId="6C82A82F">
            <w:pPr>
              <w:pStyle w:val="28"/>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2C0E622E">
            <w:pPr>
              <w:pStyle w:val="28"/>
              <w:rPr>
                <w:rFonts w:hint="eastAsia" w:hAnsi="宋体"/>
                <w:highlight w:val="none"/>
              </w:rPr>
            </w:pPr>
            <w:r>
              <w:rPr>
                <w:rFonts w:hint="eastAsia" w:ascii="仿宋_GB2312" w:hAnsi="仿宋_GB2312" w:eastAsia="仿宋_GB2312" w:cs="仿宋_GB2312"/>
                <w:color w:val="auto"/>
                <w:highlight w:val="none"/>
                <w:lang w:val="en-US" w:eastAsia="zh-CN"/>
              </w:rPr>
              <w:t>37.3</w:t>
            </w:r>
            <w:r>
              <w:rPr>
                <w:rFonts w:hint="eastAsia" w:hAnsi="宋体"/>
                <w:highlight w:val="none"/>
              </w:rPr>
              <w:t>万元</w:t>
            </w:r>
          </w:p>
        </w:tc>
        <w:tc>
          <w:tcPr>
            <w:tcW w:w="3108" w:type="dxa"/>
            <w:vMerge w:val="restart"/>
            <w:vAlign w:val="center"/>
          </w:tcPr>
          <w:p w14:paraId="3B57A11E">
            <w:pPr>
              <w:pStyle w:val="28"/>
              <w:rPr>
                <w:rFonts w:hint="eastAsia" w:hAnsi="宋体"/>
                <w:highlight w:val="none"/>
                <w:lang w:val="en-US" w:eastAsia="zh-CN"/>
              </w:rPr>
            </w:pPr>
            <w:r>
              <w:rPr>
                <w:rFonts w:hint="eastAsia" w:hAnsi="宋体"/>
                <w:highlight w:val="none"/>
                <w:lang w:val="en-US" w:eastAsia="zh-CN"/>
              </w:rPr>
              <w:t>/</w:t>
            </w:r>
          </w:p>
        </w:tc>
      </w:tr>
      <w:tr w14:paraId="362F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B956D7E">
            <w:pPr>
              <w:pStyle w:val="28"/>
              <w:rPr>
                <w:rFonts w:hint="eastAsia" w:hAnsi="宋体"/>
                <w:highlight w:val="none"/>
              </w:rPr>
            </w:pPr>
            <w:r>
              <w:rPr>
                <w:rFonts w:hint="eastAsia" w:hAnsi="宋体"/>
                <w:highlight w:val="none"/>
              </w:rPr>
              <w:t>3</w:t>
            </w:r>
          </w:p>
        </w:tc>
        <w:tc>
          <w:tcPr>
            <w:tcW w:w="1534" w:type="dxa"/>
            <w:vAlign w:val="center"/>
          </w:tcPr>
          <w:p w14:paraId="70AA8AB2">
            <w:pPr>
              <w:pStyle w:val="28"/>
              <w:rPr>
                <w:rFonts w:hint="eastAsia" w:hAnsi="宋体"/>
                <w:highlight w:val="none"/>
              </w:rPr>
            </w:pPr>
            <w:r>
              <w:rPr>
                <w:rFonts w:hint="eastAsia" w:hAnsi="宋体"/>
                <w:highlight w:val="none"/>
              </w:rPr>
              <w:t>投标报价要求</w:t>
            </w:r>
          </w:p>
        </w:tc>
        <w:tc>
          <w:tcPr>
            <w:tcW w:w="3151" w:type="dxa"/>
            <w:vAlign w:val="center"/>
          </w:tcPr>
          <w:p w14:paraId="3D320D5C">
            <w:pPr>
              <w:pStyle w:val="28"/>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2550A04A">
            <w:pPr>
              <w:pStyle w:val="28"/>
              <w:rPr>
                <w:rFonts w:hint="eastAsia" w:hAnsi="宋体"/>
                <w:highlight w:val="none"/>
              </w:rPr>
            </w:pPr>
          </w:p>
        </w:tc>
      </w:tr>
      <w:tr w14:paraId="421A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31F39F2D">
            <w:pPr>
              <w:pStyle w:val="28"/>
              <w:rPr>
                <w:rFonts w:hint="eastAsia" w:hAnsi="宋体"/>
                <w:highlight w:val="none"/>
              </w:rPr>
            </w:pPr>
            <w:r>
              <w:rPr>
                <w:rFonts w:hint="eastAsia" w:hAnsi="宋体"/>
                <w:highlight w:val="none"/>
              </w:rPr>
              <w:t>4</w:t>
            </w:r>
          </w:p>
        </w:tc>
        <w:tc>
          <w:tcPr>
            <w:tcW w:w="1534" w:type="dxa"/>
            <w:vAlign w:val="center"/>
          </w:tcPr>
          <w:p w14:paraId="3C775ADE">
            <w:pPr>
              <w:pStyle w:val="28"/>
              <w:rPr>
                <w:rFonts w:hint="eastAsia" w:hAnsi="宋体"/>
                <w:highlight w:val="none"/>
              </w:rPr>
            </w:pPr>
            <w:r>
              <w:rPr>
                <w:rFonts w:hint="eastAsia" w:hAnsi="宋体"/>
                <w:highlight w:val="none"/>
              </w:rPr>
              <w:t>工期要求</w:t>
            </w:r>
          </w:p>
        </w:tc>
        <w:tc>
          <w:tcPr>
            <w:tcW w:w="3151" w:type="dxa"/>
            <w:vAlign w:val="center"/>
          </w:tcPr>
          <w:p w14:paraId="23EDD047">
            <w:pPr>
              <w:pStyle w:val="28"/>
              <w:rPr>
                <w:rFonts w:hint="default" w:hAnsi="宋体"/>
                <w:highlight w:val="none"/>
              </w:rPr>
            </w:pPr>
            <w:r>
              <w:rPr>
                <w:rFonts w:hint="eastAsia" w:ascii="仿宋_GB2312" w:hAnsi="仿宋_GB2312" w:eastAsia="仿宋_GB2312" w:cs="仿宋_GB2312"/>
                <w:color w:val="auto"/>
                <w:highlight w:val="none"/>
              </w:rPr>
              <w:t>自合同签订之日起至</w:t>
            </w:r>
            <w:r>
              <w:rPr>
                <w:rFonts w:hint="eastAsia" w:ascii="仿宋_GB2312" w:hAnsi="仿宋_GB2312" w:eastAsia="仿宋_GB2312" w:cs="仿宋_GB2312"/>
                <w:color w:val="auto"/>
                <w:highlight w:val="none"/>
                <w:lang w:val="en-US" w:eastAsia="zh-CN"/>
              </w:rPr>
              <w:t>检测</w:t>
            </w:r>
            <w:r>
              <w:rPr>
                <w:rFonts w:hint="eastAsia" w:ascii="仿宋_GB2312" w:hAnsi="仿宋_GB2312" w:eastAsia="仿宋_GB2312" w:cs="仿宋_GB2312"/>
                <w:color w:val="auto"/>
                <w:highlight w:val="none"/>
              </w:rPr>
              <w:t>工作完成为止</w:t>
            </w:r>
            <w:r>
              <w:rPr>
                <w:rFonts w:hint="eastAsia" w:ascii="宋体" w:hAnsi="宋体"/>
                <w:szCs w:val="21"/>
                <w:highlight w:val="none"/>
              </w:rPr>
              <w:t>。</w:t>
            </w:r>
          </w:p>
        </w:tc>
        <w:tc>
          <w:tcPr>
            <w:tcW w:w="3108" w:type="dxa"/>
            <w:vAlign w:val="center"/>
          </w:tcPr>
          <w:p w14:paraId="660ABBE2">
            <w:pPr>
              <w:pStyle w:val="28"/>
              <w:rPr>
                <w:rFonts w:hint="default" w:hAnsi="宋体"/>
                <w:highlight w:val="none"/>
                <w:lang w:val="en-US"/>
              </w:rPr>
            </w:pPr>
          </w:p>
        </w:tc>
      </w:tr>
      <w:tr w14:paraId="21C1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98EAE10">
            <w:pPr>
              <w:pStyle w:val="28"/>
              <w:rPr>
                <w:rFonts w:hint="eastAsia" w:hAnsi="宋体"/>
                <w:highlight w:val="none"/>
              </w:rPr>
            </w:pPr>
            <w:r>
              <w:rPr>
                <w:rFonts w:hint="eastAsia" w:hAnsi="宋体"/>
                <w:highlight w:val="none"/>
              </w:rPr>
              <w:t>5</w:t>
            </w:r>
          </w:p>
        </w:tc>
        <w:tc>
          <w:tcPr>
            <w:tcW w:w="1534" w:type="dxa"/>
            <w:vAlign w:val="center"/>
          </w:tcPr>
          <w:p w14:paraId="299BAB3C">
            <w:pPr>
              <w:pStyle w:val="28"/>
              <w:rPr>
                <w:rFonts w:hint="eastAsia" w:hAnsi="宋体"/>
                <w:highlight w:val="none"/>
              </w:rPr>
            </w:pPr>
            <w:r>
              <w:rPr>
                <w:rFonts w:hint="eastAsia" w:hAnsi="宋体"/>
                <w:highlight w:val="none"/>
              </w:rPr>
              <w:t>递交投标文件截止时间</w:t>
            </w:r>
          </w:p>
        </w:tc>
        <w:tc>
          <w:tcPr>
            <w:tcW w:w="3151" w:type="dxa"/>
            <w:vAlign w:val="center"/>
          </w:tcPr>
          <w:p w14:paraId="59A1674D">
            <w:pPr>
              <w:pStyle w:val="28"/>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2</w:t>
            </w:r>
            <w:r>
              <w:rPr>
                <w:rFonts w:hint="eastAsia" w:hAnsi="宋体"/>
                <w:highlight w:val="none"/>
              </w:rPr>
              <w:t>月</w:t>
            </w:r>
            <w:r>
              <w:rPr>
                <w:rFonts w:hint="eastAsia" w:hAnsi="宋体"/>
                <w:highlight w:val="none"/>
                <w:lang w:val="en-US" w:eastAsia="zh-CN"/>
              </w:rPr>
              <w:t>19</w:t>
            </w:r>
            <w:r>
              <w:rPr>
                <w:rFonts w:hint="eastAsia" w:hAnsi="宋体"/>
                <w:highlight w:val="none"/>
              </w:rPr>
              <w:t>日15</w:t>
            </w:r>
            <w:r>
              <w:rPr>
                <w:rFonts w:hint="eastAsia" w:hAnsi="宋体"/>
                <w:highlight w:val="none"/>
                <w:lang w:eastAsia="zh-CN"/>
              </w:rPr>
              <w:t>:</w:t>
            </w:r>
            <w:r>
              <w:rPr>
                <w:rFonts w:hint="eastAsia" w:hAnsi="宋体"/>
                <w:highlight w:val="none"/>
              </w:rPr>
              <w:t>00</w:t>
            </w:r>
          </w:p>
        </w:tc>
        <w:tc>
          <w:tcPr>
            <w:tcW w:w="3108" w:type="dxa"/>
            <w:vAlign w:val="center"/>
          </w:tcPr>
          <w:p w14:paraId="7B3A8037">
            <w:pPr>
              <w:pStyle w:val="28"/>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2210室</w:t>
            </w:r>
          </w:p>
        </w:tc>
      </w:tr>
      <w:tr w14:paraId="463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7C38172">
            <w:pPr>
              <w:pStyle w:val="28"/>
              <w:rPr>
                <w:rFonts w:hint="eastAsia" w:hAnsi="宋体"/>
                <w:highlight w:val="none"/>
              </w:rPr>
            </w:pPr>
            <w:r>
              <w:rPr>
                <w:rFonts w:hint="eastAsia" w:hAnsi="宋体"/>
                <w:highlight w:val="none"/>
              </w:rPr>
              <w:t>6</w:t>
            </w:r>
          </w:p>
        </w:tc>
        <w:tc>
          <w:tcPr>
            <w:tcW w:w="1534" w:type="dxa"/>
            <w:vAlign w:val="center"/>
          </w:tcPr>
          <w:p w14:paraId="0D3BCE4E">
            <w:pPr>
              <w:pStyle w:val="28"/>
              <w:rPr>
                <w:rFonts w:hint="eastAsia" w:hAnsi="宋体"/>
                <w:highlight w:val="none"/>
              </w:rPr>
            </w:pPr>
            <w:r>
              <w:rPr>
                <w:rFonts w:hint="eastAsia" w:hAnsi="宋体"/>
                <w:highlight w:val="none"/>
              </w:rPr>
              <w:t>开标时间</w:t>
            </w:r>
          </w:p>
        </w:tc>
        <w:tc>
          <w:tcPr>
            <w:tcW w:w="3151" w:type="dxa"/>
            <w:vAlign w:val="center"/>
          </w:tcPr>
          <w:p w14:paraId="5A6BE3D0">
            <w:pPr>
              <w:pStyle w:val="28"/>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2</w:t>
            </w:r>
            <w:r>
              <w:rPr>
                <w:rFonts w:hint="eastAsia" w:hAnsi="宋体"/>
                <w:highlight w:val="none"/>
              </w:rPr>
              <w:t>月</w:t>
            </w:r>
            <w:r>
              <w:rPr>
                <w:rFonts w:hint="eastAsia" w:hAnsi="宋体"/>
                <w:highlight w:val="none"/>
                <w:lang w:val="en-US" w:eastAsia="zh-CN"/>
              </w:rPr>
              <w:t>19</w:t>
            </w:r>
            <w:r>
              <w:rPr>
                <w:rFonts w:hint="eastAsia" w:hAnsi="宋体"/>
                <w:highlight w:val="none"/>
              </w:rPr>
              <w:t>日15</w:t>
            </w:r>
            <w:r>
              <w:rPr>
                <w:rFonts w:hint="eastAsia" w:hAnsi="宋体"/>
                <w:highlight w:val="none"/>
                <w:lang w:eastAsia="zh-CN"/>
              </w:rPr>
              <w:t>:</w:t>
            </w:r>
            <w:r>
              <w:rPr>
                <w:rFonts w:hint="eastAsia" w:hAnsi="宋体"/>
                <w:highlight w:val="none"/>
              </w:rPr>
              <w:t>00</w:t>
            </w:r>
            <w:r>
              <w:rPr>
                <w:rFonts w:hint="eastAsia" w:hAnsi="宋体"/>
                <w:highlight w:val="none"/>
                <w:lang w:eastAsia="zh-CN"/>
              </w:rPr>
              <w:t>（</w:t>
            </w:r>
            <w:r>
              <w:rPr>
                <w:rFonts w:hint="eastAsia" w:hAnsi="宋体"/>
                <w:highlight w:val="none"/>
                <w:lang w:val="en-US" w:eastAsia="zh-CN"/>
              </w:rPr>
              <w:t>具体以招标人时间安排为准</w:t>
            </w:r>
            <w:r>
              <w:rPr>
                <w:rFonts w:hint="eastAsia" w:hAnsi="宋体"/>
                <w:highlight w:val="none"/>
                <w:lang w:eastAsia="zh-CN"/>
              </w:rPr>
              <w:t>）</w:t>
            </w:r>
          </w:p>
        </w:tc>
        <w:tc>
          <w:tcPr>
            <w:tcW w:w="3108" w:type="dxa"/>
            <w:vAlign w:val="center"/>
          </w:tcPr>
          <w:p w14:paraId="76E61C23">
            <w:pPr>
              <w:pStyle w:val="28"/>
              <w:rPr>
                <w:rFonts w:hint="eastAsia" w:hAnsi="宋体"/>
                <w:highlight w:val="none"/>
              </w:rPr>
            </w:pPr>
            <w:r>
              <w:rPr>
                <w:rFonts w:hint="eastAsia" w:hAnsi="宋体"/>
                <w:highlight w:val="none"/>
              </w:rPr>
              <w:t>地点：深圳市龙岗区城市建设投资集团有限公司会议室</w:t>
            </w:r>
          </w:p>
        </w:tc>
      </w:tr>
      <w:tr w14:paraId="03A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654F10D8">
            <w:pPr>
              <w:pStyle w:val="28"/>
              <w:rPr>
                <w:rFonts w:hint="eastAsia" w:hAnsi="宋体"/>
                <w:highlight w:val="none"/>
              </w:rPr>
            </w:pPr>
            <w:r>
              <w:rPr>
                <w:rFonts w:hint="eastAsia" w:hAnsi="宋体"/>
                <w:highlight w:val="none"/>
              </w:rPr>
              <w:t>7</w:t>
            </w:r>
          </w:p>
        </w:tc>
        <w:tc>
          <w:tcPr>
            <w:tcW w:w="1534" w:type="dxa"/>
            <w:vAlign w:val="center"/>
          </w:tcPr>
          <w:p w14:paraId="392F249A">
            <w:pPr>
              <w:pStyle w:val="28"/>
              <w:rPr>
                <w:rFonts w:hint="eastAsia" w:hAnsi="宋体"/>
                <w:highlight w:val="none"/>
              </w:rPr>
            </w:pPr>
            <w:r>
              <w:rPr>
                <w:rFonts w:hint="eastAsia" w:hAnsi="宋体"/>
                <w:highlight w:val="none"/>
              </w:rPr>
              <w:t>投标文件</w:t>
            </w:r>
          </w:p>
        </w:tc>
        <w:tc>
          <w:tcPr>
            <w:tcW w:w="3151" w:type="dxa"/>
            <w:vAlign w:val="center"/>
          </w:tcPr>
          <w:p w14:paraId="5AAAD7B0">
            <w:pPr>
              <w:pStyle w:val="28"/>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73750D09">
            <w:pPr>
              <w:pStyle w:val="28"/>
              <w:rPr>
                <w:rFonts w:hint="eastAsia" w:hAnsi="宋体"/>
                <w:highlight w:val="none"/>
              </w:rPr>
            </w:pPr>
          </w:p>
        </w:tc>
      </w:tr>
      <w:tr w14:paraId="5883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7AE1B44">
            <w:pPr>
              <w:pStyle w:val="28"/>
              <w:rPr>
                <w:rFonts w:hint="eastAsia" w:hAnsi="宋体"/>
                <w:highlight w:val="none"/>
              </w:rPr>
            </w:pPr>
            <w:r>
              <w:rPr>
                <w:rFonts w:hint="eastAsia" w:hAnsi="宋体"/>
                <w:highlight w:val="none"/>
              </w:rPr>
              <w:t>8</w:t>
            </w:r>
          </w:p>
        </w:tc>
        <w:tc>
          <w:tcPr>
            <w:tcW w:w="1534" w:type="dxa"/>
            <w:vAlign w:val="center"/>
          </w:tcPr>
          <w:p w14:paraId="66BEE1DC">
            <w:pPr>
              <w:pStyle w:val="28"/>
              <w:rPr>
                <w:rFonts w:hint="eastAsia" w:hAnsi="宋体"/>
                <w:highlight w:val="none"/>
              </w:rPr>
            </w:pPr>
            <w:r>
              <w:rPr>
                <w:rFonts w:hint="eastAsia" w:hAnsi="宋体"/>
                <w:highlight w:val="none"/>
              </w:rPr>
              <w:t>投标担保</w:t>
            </w:r>
          </w:p>
        </w:tc>
        <w:tc>
          <w:tcPr>
            <w:tcW w:w="3151" w:type="dxa"/>
            <w:vAlign w:val="center"/>
          </w:tcPr>
          <w:p w14:paraId="39463E0E">
            <w:pPr>
              <w:pStyle w:val="28"/>
              <w:rPr>
                <w:rFonts w:hint="eastAsia" w:hAnsi="宋体"/>
                <w:highlight w:val="none"/>
              </w:rPr>
            </w:pPr>
            <w:r>
              <w:rPr>
                <w:rFonts w:hint="eastAsia" w:hAnsi="宋体"/>
                <w:highlight w:val="none"/>
              </w:rPr>
              <w:t>不提供</w:t>
            </w:r>
          </w:p>
        </w:tc>
        <w:tc>
          <w:tcPr>
            <w:tcW w:w="3108" w:type="dxa"/>
            <w:vAlign w:val="center"/>
          </w:tcPr>
          <w:p w14:paraId="23635D61">
            <w:pPr>
              <w:pStyle w:val="28"/>
              <w:rPr>
                <w:rFonts w:hint="eastAsia" w:hAnsi="宋体"/>
                <w:highlight w:val="none"/>
              </w:rPr>
            </w:pPr>
          </w:p>
        </w:tc>
      </w:tr>
      <w:tr w14:paraId="153F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5ECE2E8D">
            <w:pPr>
              <w:pStyle w:val="28"/>
              <w:rPr>
                <w:rFonts w:hint="eastAsia" w:hAnsi="宋体"/>
                <w:highlight w:val="none"/>
              </w:rPr>
            </w:pPr>
            <w:r>
              <w:rPr>
                <w:rFonts w:hint="eastAsia" w:hAnsi="宋体"/>
                <w:highlight w:val="none"/>
              </w:rPr>
              <w:t>9</w:t>
            </w:r>
          </w:p>
        </w:tc>
        <w:tc>
          <w:tcPr>
            <w:tcW w:w="1534" w:type="dxa"/>
            <w:vAlign w:val="center"/>
          </w:tcPr>
          <w:p w14:paraId="34E3A3B4">
            <w:pPr>
              <w:pStyle w:val="28"/>
              <w:rPr>
                <w:rFonts w:hint="eastAsia" w:hAnsi="宋体"/>
                <w:highlight w:val="none"/>
              </w:rPr>
            </w:pPr>
            <w:r>
              <w:rPr>
                <w:rFonts w:hint="eastAsia" w:hAnsi="宋体"/>
                <w:highlight w:val="none"/>
              </w:rPr>
              <w:t>投标有效期</w:t>
            </w:r>
          </w:p>
        </w:tc>
        <w:tc>
          <w:tcPr>
            <w:tcW w:w="3151" w:type="dxa"/>
            <w:vAlign w:val="center"/>
          </w:tcPr>
          <w:p w14:paraId="357AA9C7">
            <w:pPr>
              <w:pStyle w:val="28"/>
              <w:rPr>
                <w:rFonts w:hint="eastAsia" w:hAnsi="宋体"/>
                <w:highlight w:val="none"/>
              </w:rPr>
            </w:pPr>
            <w:r>
              <w:rPr>
                <w:rFonts w:hint="eastAsia" w:hAnsi="宋体"/>
                <w:highlight w:val="none"/>
              </w:rPr>
              <w:t>60天</w:t>
            </w:r>
          </w:p>
        </w:tc>
        <w:tc>
          <w:tcPr>
            <w:tcW w:w="3108" w:type="dxa"/>
            <w:vAlign w:val="center"/>
          </w:tcPr>
          <w:p w14:paraId="485A091B">
            <w:pPr>
              <w:pStyle w:val="28"/>
              <w:rPr>
                <w:rFonts w:hint="eastAsia" w:hAnsi="宋体"/>
                <w:highlight w:val="none"/>
              </w:rPr>
            </w:pPr>
          </w:p>
        </w:tc>
      </w:tr>
      <w:tr w14:paraId="72A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309D59FE">
            <w:pPr>
              <w:pStyle w:val="28"/>
              <w:rPr>
                <w:rFonts w:hint="eastAsia" w:hAnsi="宋体"/>
                <w:highlight w:val="none"/>
              </w:rPr>
            </w:pPr>
            <w:r>
              <w:rPr>
                <w:rFonts w:hint="eastAsia" w:hAnsi="宋体"/>
                <w:highlight w:val="none"/>
              </w:rPr>
              <w:t>10</w:t>
            </w:r>
          </w:p>
        </w:tc>
        <w:tc>
          <w:tcPr>
            <w:tcW w:w="1534" w:type="dxa"/>
            <w:vAlign w:val="center"/>
          </w:tcPr>
          <w:p w14:paraId="5B4667F8">
            <w:pPr>
              <w:pStyle w:val="28"/>
              <w:rPr>
                <w:rFonts w:hint="eastAsia" w:hAnsi="宋体"/>
                <w:highlight w:val="none"/>
              </w:rPr>
            </w:pPr>
            <w:r>
              <w:rPr>
                <w:rFonts w:hint="eastAsia" w:hAnsi="宋体"/>
                <w:highlight w:val="none"/>
              </w:rPr>
              <w:t>招标人</w:t>
            </w:r>
          </w:p>
          <w:p w14:paraId="06AAF6BA">
            <w:pPr>
              <w:pStyle w:val="28"/>
              <w:rPr>
                <w:rFonts w:hint="eastAsia" w:hAnsi="宋体"/>
                <w:highlight w:val="none"/>
              </w:rPr>
            </w:pPr>
          </w:p>
        </w:tc>
        <w:tc>
          <w:tcPr>
            <w:tcW w:w="3151" w:type="dxa"/>
            <w:vAlign w:val="center"/>
          </w:tcPr>
          <w:p w14:paraId="53F3FF73">
            <w:pPr>
              <w:pStyle w:val="28"/>
              <w:rPr>
                <w:rFonts w:hint="eastAsia" w:hAnsi="宋体"/>
                <w:highlight w:val="none"/>
              </w:rPr>
            </w:pPr>
            <w:r>
              <w:rPr>
                <w:rFonts w:hint="eastAsia" w:hAnsi="宋体"/>
                <w:highlight w:val="none"/>
              </w:rPr>
              <w:t>联系单位：深圳市龙岗区城投绿色低碳新能源产业发展有限公司</w:t>
            </w:r>
          </w:p>
          <w:p w14:paraId="3A57CDEF">
            <w:pPr>
              <w:pStyle w:val="28"/>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6454C0E3">
            <w:pPr>
              <w:pStyle w:val="28"/>
              <w:rPr>
                <w:rFonts w:hint="eastAsia" w:hAnsi="宋体"/>
                <w:highlight w:val="none"/>
              </w:rPr>
            </w:pPr>
            <w:r>
              <w:rPr>
                <w:rFonts w:hint="eastAsia" w:hAnsi="宋体"/>
                <w:highlight w:val="none"/>
              </w:rPr>
              <w:t>联 系 人：</w:t>
            </w:r>
            <w:r>
              <w:rPr>
                <w:rFonts w:hint="eastAsia" w:hAnsi="宋体"/>
                <w:highlight w:val="none"/>
                <w:lang w:val="en-US" w:eastAsia="zh-CN"/>
              </w:rPr>
              <w:t>胡</w:t>
            </w:r>
            <w:r>
              <w:rPr>
                <w:rFonts w:hint="eastAsia" w:hAnsi="宋体"/>
                <w:highlight w:val="none"/>
              </w:rPr>
              <w:t>工</w:t>
            </w:r>
          </w:p>
          <w:p w14:paraId="2ADAC409">
            <w:pPr>
              <w:pStyle w:val="28"/>
              <w:rPr>
                <w:rFonts w:hint="default" w:hAnsi="宋体" w:eastAsia="宋体"/>
                <w:highlight w:val="none"/>
                <w:lang w:val="en-US" w:eastAsia="zh-CN"/>
              </w:rPr>
            </w:pPr>
            <w:r>
              <w:rPr>
                <w:rFonts w:hint="eastAsia" w:hAnsi="宋体"/>
                <w:highlight w:val="none"/>
              </w:rPr>
              <w:t>联系电话：0755-28504</w:t>
            </w:r>
            <w:r>
              <w:rPr>
                <w:rFonts w:hint="eastAsia" w:hAnsi="宋体"/>
                <w:highlight w:val="none"/>
                <w:lang w:val="en-US" w:eastAsia="zh-CN"/>
              </w:rPr>
              <w:t>122</w:t>
            </w:r>
          </w:p>
        </w:tc>
        <w:tc>
          <w:tcPr>
            <w:tcW w:w="3108" w:type="dxa"/>
            <w:vAlign w:val="center"/>
          </w:tcPr>
          <w:p w14:paraId="2A6C1BB9">
            <w:pPr>
              <w:pStyle w:val="28"/>
              <w:rPr>
                <w:rFonts w:hint="eastAsia" w:hAnsi="宋体"/>
                <w:highlight w:val="none"/>
              </w:rPr>
            </w:pPr>
          </w:p>
        </w:tc>
      </w:tr>
    </w:tbl>
    <w:p w14:paraId="6F1597C0">
      <w:pPr>
        <w:rPr>
          <w:highlight w:val="none"/>
        </w:rPr>
      </w:pPr>
      <w:r>
        <w:rPr>
          <w:highlight w:val="none"/>
        </w:rPr>
        <w:br w:type="page"/>
      </w:r>
    </w:p>
    <w:p w14:paraId="4B433018">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4080B134">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1CB4D77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3E282FF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1.1招标人：深圳市龙岗区城投绿色低碳新能源产业发展有限公司。</w:t>
      </w:r>
    </w:p>
    <w:p w14:paraId="371BA53E">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w:t>
      </w:r>
      <w:r>
        <w:rPr>
          <w:rFonts w:hint="eastAsia" w:ascii="宋体" w:hAnsi="宋体" w:eastAsia="宋体" w:cs="Times New Roman"/>
          <w:snapToGrid w:val="0"/>
          <w:kern w:val="0"/>
          <w:sz w:val="21"/>
          <w:szCs w:val="21"/>
          <w:highlight w:val="none"/>
          <w:lang w:val="en-US" w:eastAsia="zh-CN"/>
        </w:rPr>
        <w:t>深圳</w:t>
      </w:r>
      <w:r>
        <w:rPr>
          <w:rFonts w:hint="eastAsia" w:ascii="宋体" w:hAnsi="宋体" w:eastAsia="宋体" w:cs="Times New Roman"/>
          <w:snapToGrid w:val="0"/>
          <w:kern w:val="0"/>
          <w:sz w:val="21"/>
          <w:szCs w:val="21"/>
          <w:highlight w:val="none"/>
        </w:rPr>
        <w:t>建筑产业生态智谷</w:t>
      </w:r>
      <w:r>
        <w:rPr>
          <w:rFonts w:hint="eastAsia" w:ascii="宋体" w:hAnsi="宋体" w:eastAsia="宋体" w:cs="Times New Roman"/>
          <w:snapToGrid w:val="0"/>
          <w:kern w:val="0"/>
          <w:sz w:val="21"/>
          <w:szCs w:val="21"/>
          <w:highlight w:val="none"/>
          <w:lang w:val="en-US" w:eastAsia="zh-CN"/>
        </w:rPr>
        <w:t>总部基地一期</w:t>
      </w:r>
      <w:r>
        <w:rPr>
          <w:rFonts w:hint="eastAsia" w:ascii="宋体" w:hAnsi="宋体" w:cs="Times New Roman"/>
          <w:snapToGrid w:val="0"/>
          <w:kern w:val="0"/>
          <w:sz w:val="21"/>
          <w:szCs w:val="21"/>
          <w:highlight w:val="none"/>
          <w:lang w:val="en-US" w:eastAsia="zh-CN"/>
        </w:rPr>
        <w:t>幕墙四性检测</w:t>
      </w:r>
      <w:r>
        <w:rPr>
          <w:rFonts w:hint="eastAsia" w:ascii="宋体" w:hAnsi="宋体" w:eastAsia="宋体" w:cs="Times New Roman"/>
          <w:snapToGrid w:val="0"/>
          <w:kern w:val="0"/>
          <w:sz w:val="21"/>
          <w:szCs w:val="21"/>
          <w:highlight w:val="none"/>
          <w:lang w:val="en-US" w:eastAsia="zh-CN"/>
        </w:rPr>
        <w:t>服务。</w:t>
      </w:r>
    </w:p>
    <w:p w14:paraId="21E19849">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 xml:space="preserve"> 深圳市龙岗区龙城街道。</w:t>
      </w:r>
    </w:p>
    <w:p w14:paraId="780B64A8">
      <w:pPr>
        <w:spacing w:line="360" w:lineRule="auto"/>
        <w:ind w:firstLine="420" w:firstLineChars="200"/>
        <w:jc w:val="left"/>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：深圳建筑产业生态智谷</w:t>
      </w:r>
      <w:r>
        <w:rPr>
          <w:rFonts w:hint="eastAsia" w:ascii="宋体" w:hAnsi="宋体" w:eastAsia="宋体" w:cs="Times New Roman"/>
          <w:snapToGrid w:val="0"/>
          <w:kern w:val="0"/>
          <w:sz w:val="21"/>
          <w:szCs w:val="21"/>
          <w:highlight w:val="none"/>
          <w:lang w:val="en-US" w:eastAsia="zh-CN"/>
        </w:rPr>
        <w:t>以</w:t>
      </w:r>
      <w:r>
        <w:rPr>
          <w:rFonts w:hint="eastAsia" w:ascii="宋体" w:hAnsi="宋体" w:eastAsia="宋体" w:cs="Times New Roman"/>
          <w:snapToGrid w:val="0"/>
          <w:kern w:val="0"/>
          <w:sz w:val="21"/>
          <w:szCs w:val="21"/>
          <w:highlight w:val="none"/>
        </w:rPr>
        <w:t>“总部基地+产业园区”1+1布局的第一个“1”，选址于深圳市龙岗区龙城街道看所守路，是深圳建筑产业生态智谷的核心组成部分。总部基地用地性质为M0，</w:t>
      </w:r>
      <w:r>
        <w:rPr>
          <w:rFonts w:hint="eastAsia" w:ascii="宋体" w:hAnsi="宋体" w:eastAsia="宋体" w:cs="Times New Roman"/>
          <w:snapToGrid w:val="0"/>
          <w:kern w:val="0"/>
          <w:sz w:val="21"/>
          <w:szCs w:val="21"/>
          <w:highlight w:val="none"/>
          <w:lang w:val="en-US" w:eastAsia="zh-CN" w:bidi="ar"/>
        </w:rPr>
        <w:t>项目总建筑面积248294.15平方米，</w:t>
      </w:r>
      <w:r>
        <w:rPr>
          <w:rFonts w:hint="eastAsia" w:ascii="宋体" w:hAnsi="宋体" w:eastAsia="宋体" w:cs="Times New Roman"/>
          <w:snapToGrid w:val="0"/>
          <w:kern w:val="0"/>
          <w:sz w:val="21"/>
          <w:szCs w:val="21"/>
          <w:highlight w:val="none"/>
        </w:rPr>
        <w:t>建设内容包括研发办公、实验室、宿舍、食堂、配套商业、公共配套设施。</w:t>
      </w:r>
    </w:p>
    <w:p w14:paraId="073EBE5D">
      <w:pPr>
        <w:spacing w:line="540" w:lineRule="exact"/>
        <w:ind w:firstLine="420" w:firstLineChars="200"/>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按照相关法律规范要求，对深圳建筑产业生态智谷总部基地一期幕墙四性进行检测，出具检测报告</w:t>
      </w:r>
      <w:r>
        <w:rPr>
          <w:rFonts w:hint="eastAsia" w:ascii="宋体" w:hAnsi="宋体" w:eastAsia="宋体" w:cs="Times New Roman"/>
          <w:snapToGrid w:val="0"/>
          <w:kern w:val="0"/>
          <w:sz w:val="21"/>
          <w:szCs w:val="21"/>
          <w:highlight w:val="none"/>
          <w:lang w:val="en-US" w:eastAsia="zh-CN"/>
        </w:rPr>
        <w:t>。</w:t>
      </w:r>
    </w:p>
    <w:p w14:paraId="5DC9A3E0">
      <w:pPr>
        <w:spacing w:line="520" w:lineRule="exact"/>
        <w:ind w:firstLine="422" w:firstLineChars="200"/>
        <w:jc w:val="left"/>
        <w:rPr>
          <w:rFonts w:hint="eastAsia" w:ascii="宋体" w:hAnsi="宋体" w:eastAsia="宋体" w:cs="Times New Roman"/>
          <w:b/>
          <w:snapToGrid w:val="0"/>
          <w:kern w:val="0"/>
          <w:szCs w:val="21"/>
          <w:highlight w:val="none"/>
          <w:lang w:eastAsia="zh-CN"/>
        </w:rPr>
      </w:pPr>
      <w:r>
        <w:rPr>
          <w:rFonts w:hint="eastAsia" w:ascii="宋体" w:hAnsi="宋体" w:eastAsia="宋体" w:cs="Times New Roman"/>
          <w:b/>
          <w:snapToGrid w:val="0"/>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p>
    <w:p w14:paraId="35C98E08">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lang w:val="en-US" w:eastAsia="zh-CN"/>
        </w:rPr>
        <w:t>2.1投标人须具有建筑幕墙工程检测资质；</w:t>
      </w:r>
    </w:p>
    <w:p w14:paraId="71A069DC">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lang w:val="en-US" w:eastAsia="zh-CN"/>
        </w:rPr>
        <w:t>2.2不接受联合体投标。</w:t>
      </w:r>
    </w:p>
    <w:p w14:paraId="25E379A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3C18156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w:t>
      </w:r>
      <w:r>
        <w:rPr>
          <w:rFonts w:hint="eastAsia" w:ascii="宋体" w:hAnsi="宋体"/>
          <w:snapToGrid w:val="0"/>
          <w:kern w:val="0"/>
          <w:szCs w:val="21"/>
          <w:highlight w:val="none"/>
          <w:lang w:eastAsia="zh-CN"/>
        </w:rPr>
        <w:t>人均</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488A3DF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40197923">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38E7B01B">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63B69941">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60900C5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5C4056F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65725CD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71B225C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583FF91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5AEBB87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30CAD6C0">
      <w:pPr>
        <w:spacing w:line="360" w:lineRule="auto"/>
        <w:ind w:firstLine="420" w:firstLineChars="200"/>
        <w:jc w:val="left"/>
        <w:rPr>
          <w:rFonts w:ascii="宋体" w:hAnsi="宋体"/>
          <w:snapToGrid w:val="0"/>
          <w:kern w:val="0"/>
          <w:szCs w:val="21"/>
          <w:highlight w:val="none"/>
        </w:rPr>
      </w:pPr>
    </w:p>
    <w:p w14:paraId="125E434B">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7D3F7B21">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DF28563">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2210室</w:t>
      </w:r>
      <w:r>
        <w:rPr>
          <w:rFonts w:hint="eastAsia" w:ascii="宋体" w:hAnsi="宋体"/>
          <w:b w:val="0"/>
          <w:snapToGrid w:val="0"/>
          <w:kern w:val="0"/>
          <w:szCs w:val="21"/>
          <w:highlight w:val="none"/>
        </w:rPr>
        <w:t>。</w:t>
      </w:r>
    </w:p>
    <w:p w14:paraId="3A7B866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4686ED8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w:t>
      </w:r>
      <w:r>
        <w:rPr>
          <w:rFonts w:hint="eastAsia" w:ascii="宋体" w:hAnsi="宋体"/>
          <w:snapToGrid w:val="0"/>
          <w:kern w:val="0"/>
          <w:szCs w:val="21"/>
          <w:highlight w:val="none"/>
          <w:lang w:eastAsia="zh-CN"/>
        </w:rPr>
        <w:t>上</w:t>
      </w:r>
      <w:r>
        <w:rPr>
          <w:rFonts w:hint="eastAsia" w:ascii="宋体" w:hAnsi="宋体"/>
          <w:snapToGrid w:val="0"/>
          <w:kern w:val="0"/>
          <w:szCs w:val="21"/>
          <w:highlight w:val="none"/>
        </w:rPr>
        <w:t>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2236D0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w:t>
      </w:r>
      <w:r>
        <w:rPr>
          <w:rFonts w:hint="eastAsia" w:ascii="宋体" w:hAnsi="宋体"/>
          <w:snapToGrid w:val="0"/>
          <w:kern w:val="0"/>
          <w:szCs w:val="21"/>
          <w:highlight w:val="none"/>
          <w:lang w:eastAsia="zh-CN"/>
        </w:rPr>
        <w:t>标注</w:t>
      </w:r>
      <w:r>
        <w:rPr>
          <w:rFonts w:hint="eastAsia" w:ascii="宋体" w:hAnsi="宋体"/>
          <w:snapToGrid w:val="0"/>
          <w:kern w:val="0"/>
          <w:szCs w:val="21"/>
          <w:highlight w:val="none"/>
        </w:rPr>
        <w:t>，招标人不承担投标文件错放或提前开封的责任。</w:t>
      </w:r>
    </w:p>
    <w:p w14:paraId="332D356C">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63D736A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5768464B">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21C1D4A">
      <w:pPr>
        <w:spacing w:line="360" w:lineRule="auto"/>
        <w:jc w:val="center"/>
        <w:outlineLvl w:val="2"/>
        <w:rPr>
          <w:rFonts w:hint="eastAsia" w:ascii="宋体" w:hAnsi="宋体"/>
          <w:b/>
          <w:snapToGrid w:val="0"/>
          <w:kern w:val="0"/>
          <w:sz w:val="32"/>
          <w:szCs w:val="32"/>
          <w:highlight w:val="none"/>
        </w:rPr>
      </w:pPr>
      <w:bookmarkStart w:id="6" w:name="_Toc509669689"/>
    </w:p>
    <w:p w14:paraId="4228D4C3">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602D585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368AE9A9">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3E79903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1006B65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24C93FA8">
      <w:pPr>
        <w:spacing w:line="360" w:lineRule="auto"/>
        <w:jc w:val="center"/>
        <w:outlineLvl w:val="2"/>
        <w:rPr>
          <w:rFonts w:hint="eastAsia" w:ascii="宋体" w:hAnsi="宋体"/>
          <w:b/>
          <w:snapToGrid w:val="0"/>
          <w:kern w:val="0"/>
          <w:sz w:val="32"/>
          <w:szCs w:val="32"/>
          <w:highlight w:val="none"/>
        </w:rPr>
      </w:pPr>
      <w:bookmarkStart w:id="7" w:name="_Toc509669690"/>
    </w:p>
    <w:p w14:paraId="78C3FBCD">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709AB17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5C552177">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2B22516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13F04F0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5B5D451D">
      <w:pPr>
        <w:spacing w:line="360" w:lineRule="auto"/>
        <w:jc w:val="center"/>
        <w:outlineLvl w:val="2"/>
        <w:rPr>
          <w:rFonts w:hint="eastAsia" w:ascii="宋体" w:hAnsi="宋体"/>
          <w:b/>
          <w:snapToGrid w:val="0"/>
          <w:kern w:val="0"/>
          <w:sz w:val="32"/>
          <w:szCs w:val="32"/>
          <w:highlight w:val="none"/>
        </w:rPr>
      </w:pPr>
      <w:bookmarkStart w:id="8" w:name="_Toc509669691"/>
    </w:p>
    <w:p w14:paraId="44537B9E">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6870875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77FA0AFA">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4295789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w:t>
      </w:r>
      <w:r>
        <w:rPr>
          <w:rFonts w:hint="eastAsia" w:ascii="宋体" w:hAnsi="宋体"/>
          <w:snapToGrid w:val="0"/>
          <w:kern w:val="0"/>
          <w:szCs w:val="21"/>
          <w:highlight w:val="none"/>
          <w:lang w:eastAsia="zh-CN"/>
        </w:rPr>
        <w:t>的</w:t>
      </w:r>
      <w:r>
        <w:rPr>
          <w:rFonts w:hint="eastAsia" w:ascii="宋体" w:hAnsi="宋体"/>
          <w:snapToGrid w:val="0"/>
          <w:kern w:val="0"/>
          <w:szCs w:val="21"/>
          <w:highlight w:val="none"/>
        </w:rPr>
        <w:t>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67952F7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3300A8F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5F180F1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eastAsia="zh-CN"/>
        </w:rPr>
        <w:t>（1）公开招标（自主）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76A619E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eastAsia="zh-CN"/>
        </w:rPr>
        <w:t>（2）</w:t>
      </w:r>
      <w:r>
        <w:rPr>
          <w:rFonts w:hint="eastAsia" w:ascii="宋体" w:hAnsi="宋体"/>
          <w:snapToGrid w:val="0"/>
          <w:kern w:val="0"/>
          <w:szCs w:val="21"/>
          <w:highlight w:val="none"/>
        </w:rPr>
        <w:t>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0A2B1E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0FA7C7C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w:t>
      </w:r>
      <w:r>
        <w:rPr>
          <w:rFonts w:hint="eastAsia" w:ascii="宋体" w:hAnsi="宋体"/>
          <w:snapToGrid w:val="0"/>
          <w:kern w:val="0"/>
          <w:szCs w:val="21"/>
          <w:highlight w:val="none"/>
          <w:lang w:eastAsia="zh-CN"/>
        </w:rPr>
        <w:t>做</w:t>
      </w:r>
      <w:r>
        <w:rPr>
          <w:rFonts w:hint="eastAsia" w:ascii="宋体" w:hAnsi="宋体"/>
          <w:snapToGrid w:val="0"/>
          <w:kern w:val="0"/>
          <w:szCs w:val="21"/>
          <w:highlight w:val="none"/>
        </w:rPr>
        <w:t>必要的澄清、说明。澄清、说明应以书面方式进行并不得超出投标文件的范围或改变投标文件的实质性内容。</w:t>
      </w:r>
    </w:p>
    <w:p w14:paraId="5C979AD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60F64AB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45534F8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61AD148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2BAC29C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205726B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eastAsia="zh-CN"/>
        </w:rPr>
        <w:t>14.</w:t>
      </w:r>
      <w:r>
        <w:rPr>
          <w:rFonts w:hint="eastAsia" w:ascii="宋体" w:hAnsi="宋体"/>
          <w:b/>
          <w:snapToGrid w:val="0"/>
          <w:kern w:val="0"/>
          <w:szCs w:val="21"/>
          <w:highlight w:val="none"/>
        </w:rPr>
        <w:t>投标人的推荐</w:t>
      </w:r>
    </w:p>
    <w:p w14:paraId="0D353BC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w:t>
      </w:r>
      <w:r>
        <w:rPr>
          <w:rFonts w:hint="eastAsia" w:ascii="宋体" w:hAnsi="宋体"/>
          <w:snapToGrid w:val="0"/>
          <w:kern w:val="0"/>
          <w:szCs w:val="21"/>
          <w:highlight w:val="none"/>
          <w:lang w:eastAsia="zh-CN"/>
        </w:rPr>
        <w:t>按</w:t>
      </w:r>
      <w:r>
        <w:rPr>
          <w:rFonts w:hint="eastAsia" w:ascii="宋体" w:hAnsi="宋体"/>
          <w:snapToGrid w:val="0"/>
          <w:kern w:val="0"/>
          <w:szCs w:val="21"/>
          <w:highlight w:val="none"/>
        </w:rPr>
        <w:t>“优”项数多少选取排名第一</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且得票超过半数以上</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的投标人作为中标候选人</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如得优数量一致不能满足要求，则根据评审</w:t>
      </w:r>
      <w:r>
        <w:rPr>
          <w:rFonts w:hint="eastAsia" w:ascii="宋体" w:hAnsi="宋体"/>
          <w:snapToGrid w:val="0"/>
          <w:kern w:val="0"/>
          <w:szCs w:val="21"/>
          <w:highlight w:val="none"/>
          <w:lang w:eastAsia="zh-CN"/>
        </w:rPr>
        <w:t>人员</w:t>
      </w:r>
      <w:r>
        <w:rPr>
          <w:rFonts w:hint="eastAsia" w:ascii="宋体" w:hAnsi="宋体"/>
          <w:snapToGrid w:val="0"/>
          <w:kern w:val="0"/>
          <w:szCs w:val="21"/>
          <w:highlight w:val="none"/>
        </w:rPr>
        <w:t>对本项目的理解，再次投票确定中标候选人。</w:t>
      </w:r>
    </w:p>
    <w:p w14:paraId="10299A6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A20652F">
      <w:pPr>
        <w:spacing w:line="360" w:lineRule="auto"/>
        <w:jc w:val="center"/>
        <w:outlineLvl w:val="2"/>
        <w:rPr>
          <w:rFonts w:hint="eastAsia" w:ascii="宋体" w:hAnsi="宋体"/>
          <w:b/>
          <w:snapToGrid w:val="0"/>
          <w:kern w:val="0"/>
          <w:sz w:val="32"/>
          <w:szCs w:val="32"/>
          <w:highlight w:val="none"/>
        </w:rPr>
      </w:pPr>
      <w:bookmarkStart w:id="9" w:name="_Toc509669692"/>
    </w:p>
    <w:p w14:paraId="2EF12F3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5582333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733440C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68071BE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0E649A76">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w:t>
      </w:r>
      <w:r>
        <w:rPr>
          <w:rFonts w:hint="eastAsia" w:ascii="宋体" w:hAnsi="宋体"/>
          <w:snapToGrid w:val="0"/>
          <w:kern w:val="0"/>
          <w:szCs w:val="21"/>
          <w:highlight w:val="none"/>
          <w:lang w:eastAsia="zh-CN"/>
        </w:rPr>
        <w:t>应当</w:t>
      </w:r>
      <w:r>
        <w:rPr>
          <w:rFonts w:hint="eastAsia" w:ascii="宋体" w:hAnsi="宋体"/>
          <w:snapToGrid w:val="0"/>
          <w:kern w:val="0"/>
          <w:szCs w:val="21"/>
          <w:highlight w:val="none"/>
        </w:rPr>
        <w:t>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34F51A17">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217488C3">
      <w:pPr>
        <w:pStyle w:val="100"/>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C89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1AC2D19">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314D3E59">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26904C7A">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3559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1C6AA1D8">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76E521E8">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3C19D0C">
            <w:pPr>
              <w:pStyle w:val="28"/>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2C9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4CB479B">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000A5F6C">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715A00A7">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6AA6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2D841B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06DB1712">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57A3D179">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46786FA6">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560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1F7AB03">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18717D63">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7B2C54BC">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735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62BBAEF2">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5AA74C3">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6202D889">
            <w:pPr>
              <w:pStyle w:val="28"/>
              <w:rPr>
                <w:rFonts w:hAnsi="宋体"/>
                <w:sz w:val="24"/>
                <w:szCs w:val="24"/>
                <w:highlight w:val="none"/>
              </w:rPr>
            </w:pPr>
            <w:r>
              <w:rPr>
                <w:rFonts w:hint="eastAsia" w:hAnsi="宋体"/>
                <w:sz w:val="24"/>
                <w:szCs w:val="24"/>
                <w:highlight w:val="none"/>
              </w:rPr>
              <w:t>如有</w:t>
            </w:r>
          </w:p>
        </w:tc>
      </w:tr>
    </w:tbl>
    <w:p w14:paraId="172E2DB9">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5FB0103">
      <w:pPr>
        <w:widowControl/>
        <w:spacing w:beforeLines="-2147483648" w:afterLines="-2147483648"/>
        <w:jc w:val="left"/>
        <w:rPr>
          <w:rFonts w:hint="eastAsia" w:ascii="黑体" w:eastAsia="黑体"/>
          <w:snapToGrid w:val="0"/>
          <w:kern w:val="0"/>
          <w:sz w:val="32"/>
          <w:szCs w:val="32"/>
          <w:highlight w:val="none"/>
        </w:rPr>
      </w:pPr>
    </w:p>
    <w:p w14:paraId="441DC124">
      <w:pPr>
        <w:pStyle w:val="100"/>
        <w:widowControl/>
        <w:spacing w:line="560" w:lineRule="exact"/>
        <w:rPr>
          <w:rFonts w:ascii="仿宋" w:hAnsi="仿宋" w:eastAsia="仿宋"/>
          <w:b/>
          <w:sz w:val="30"/>
          <w:szCs w:val="30"/>
          <w:highlight w:val="none"/>
        </w:rPr>
      </w:pPr>
    </w:p>
    <w:p w14:paraId="0AA94B4B">
      <w:pPr>
        <w:rPr>
          <w:rFonts w:ascii="仿宋" w:hAnsi="仿宋" w:eastAsia="仿宋"/>
          <w:b/>
          <w:sz w:val="30"/>
          <w:szCs w:val="30"/>
          <w:highlight w:val="none"/>
        </w:rPr>
      </w:pPr>
      <w:r>
        <w:rPr>
          <w:rFonts w:ascii="仿宋" w:hAnsi="仿宋" w:eastAsia="仿宋"/>
          <w:b/>
          <w:sz w:val="30"/>
          <w:szCs w:val="30"/>
          <w:highlight w:val="none"/>
        </w:rPr>
        <w:br w:type="page"/>
      </w:r>
    </w:p>
    <w:p w14:paraId="02BBE586">
      <w:pPr>
        <w:pStyle w:val="100"/>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306716037"/>
      <w:bookmarkStart w:id="11" w:name="_Toc151020524"/>
      <w:bookmarkStart w:id="12" w:name="_Toc50966969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688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766E301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13FB82B4">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5834B52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66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5D1064C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1CB130A6">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投标人类似</w:t>
            </w:r>
            <w:r>
              <w:rPr>
                <w:rFonts w:ascii="仿宋_GB2312" w:hAnsi="仿宋_GB2312" w:eastAsia="仿宋_GB2312" w:cs="仿宋_GB2312"/>
                <w:color w:val="auto"/>
                <w:kern w:val="0"/>
                <w:sz w:val="28"/>
                <w:szCs w:val="28"/>
                <w:highlight w:val="none"/>
              </w:rPr>
              <w:t>工程业绩</w:t>
            </w:r>
          </w:p>
        </w:tc>
        <w:tc>
          <w:tcPr>
            <w:tcW w:w="6012" w:type="dxa"/>
            <w:vAlign w:val="center"/>
          </w:tcPr>
          <w:p w14:paraId="707980C0">
            <w:pPr>
              <w:widowControl/>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投标人提供：</w:t>
            </w:r>
          </w:p>
          <w:p w14:paraId="00B59376">
            <w:pPr>
              <w:widowControl/>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年1月1日至今，投标人类似工程业绩（不超过3项，若超过3项，招标人仅对前3项业绩进行复核及统计，以合同签订时间为准，合同未体现签订时间的，则不予统计此项业绩）</w:t>
            </w:r>
          </w:p>
          <w:p w14:paraId="42BDD1E1">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rPr>
              <w:t>（证明资料为相关合同，应包含工程名称、委托单位名称、受托单位名称、合同金额等信息，可提供合同关键页扫描件，若未体现以上信息，可提供其他相关证明材料。）</w:t>
            </w:r>
          </w:p>
        </w:tc>
      </w:tr>
      <w:tr w14:paraId="4165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773160E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3CEF9B74">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项目负责人类似工程业绩</w:t>
            </w:r>
          </w:p>
        </w:tc>
        <w:tc>
          <w:tcPr>
            <w:tcW w:w="6012" w:type="dxa"/>
            <w:vAlign w:val="center"/>
          </w:tcPr>
          <w:p w14:paraId="64E62BE0">
            <w:pPr>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投标人提供：</w:t>
            </w:r>
          </w:p>
          <w:p w14:paraId="7A47C798">
            <w:pPr>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年1月1日至今，项目负责人类似工程业绩（不超过3项，若超过3项，招标人仅对前3项业绩进行复核及统计，以合同签订时间为准，合同未体现签订时间的，则不予统计此项业绩。）</w:t>
            </w:r>
          </w:p>
          <w:p w14:paraId="39509A13">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rPr>
              <w:t>（证明资料为合同关键页等证明文件扫描件，须体现合同签订时间、合同签订金额和项目负责人任职信息等，如无法体现任职信息，需提供业主证明等证明材料。）</w:t>
            </w:r>
          </w:p>
        </w:tc>
      </w:tr>
      <w:tr w14:paraId="448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2E44C1E4">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30F4C21B">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履约评价</w:t>
            </w:r>
          </w:p>
        </w:tc>
        <w:tc>
          <w:tcPr>
            <w:tcW w:w="6012" w:type="dxa"/>
            <w:vAlign w:val="center"/>
          </w:tcPr>
          <w:p w14:paraId="633841D2">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投标人提供：</w:t>
            </w:r>
          </w:p>
          <w:p w14:paraId="52B68EFB">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w:t>
            </w:r>
            <w:r>
              <w:rPr>
                <w:rFonts w:hint="eastAsia" w:ascii="仿宋_GB2312" w:hAnsi="仿宋_GB2312" w:eastAsia="仿宋_GB2312" w:cs="仿宋_GB2312"/>
                <w:color w:val="auto"/>
                <w:kern w:val="0"/>
                <w:sz w:val="28"/>
                <w:szCs w:val="28"/>
                <w:highlight w:val="none"/>
              </w:rPr>
              <w:t>，类似</w:t>
            </w:r>
            <w:r>
              <w:rPr>
                <w:rFonts w:ascii="仿宋_GB2312" w:hAnsi="仿宋_GB2312" w:eastAsia="仿宋_GB2312" w:cs="仿宋_GB2312"/>
                <w:color w:val="auto"/>
                <w:kern w:val="0"/>
                <w:sz w:val="28"/>
                <w:szCs w:val="28"/>
                <w:highlight w:val="none"/>
              </w:rPr>
              <w:t>工程合同履约情况；（不超过3项，若超过3项，招标人仅对前3项履约进行复核及统计）。</w:t>
            </w:r>
          </w:p>
          <w:p w14:paraId="10AABD18">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cr/>
            </w:r>
            <w:r>
              <w:rPr>
                <w:rFonts w:ascii="仿宋_GB2312" w:hAnsi="仿宋_GB2312" w:eastAsia="仿宋_GB2312" w:cs="仿宋_GB2312"/>
                <w:color w:val="auto"/>
                <w:kern w:val="0"/>
                <w:sz w:val="28"/>
                <w:szCs w:val="28"/>
                <w:highlight w:val="none"/>
              </w:rPr>
              <w:t>证明材料：履约证明等扫描件（应包含工程名称、评价单位名称、被评价单位名称、评价结论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w:t>
            </w:r>
            <w:r>
              <w:rPr>
                <w:rFonts w:hint="eastAsia" w:ascii="仿宋_GB2312" w:hAnsi="仿宋_GB2312" w:eastAsia="仿宋_GB2312" w:cs="仿宋_GB2312"/>
                <w:color w:val="auto"/>
                <w:kern w:val="0"/>
                <w:sz w:val="28"/>
                <w:szCs w:val="28"/>
                <w:highlight w:val="none"/>
                <w:lang w:eastAsia="zh-CN"/>
              </w:rPr>
              <w:t>。</w:t>
            </w:r>
          </w:p>
        </w:tc>
      </w:tr>
      <w:tr w14:paraId="5488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55F0418E">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259C42C7">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投标人诚信</w:t>
            </w:r>
          </w:p>
        </w:tc>
        <w:tc>
          <w:tcPr>
            <w:tcW w:w="6012" w:type="dxa"/>
            <w:vAlign w:val="center"/>
          </w:tcPr>
          <w:p w14:paraId="4A03CEB2">
            <w:pPr>
              <w:widowControl/>
              <w:adjustRightInd w:val="0"/>
              <w:snapToGrid w:val="0"/>
              <w:spacing w:before="80" w:after="8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提供通</w:t>
            </w:r>
            <w:r>
              <w:rPr>
                <w:rFonts w:hint="eastAsia" w:ascii="仿宋_GB2312" w:hAnsi="仿宋_GB2312" w:eastAsia="仿宋_GB2312" w:cs="仿宋_GB2312"/>
                <w:color w:val="auto"/>
                <w:kern w:val="0"/>
                <w:sz w:val="28"/>
                <w:szCs w:val="28"/>
                <w:highlight w:val="none"/>
              </w:rPr>
              <w:t>过“国家企业信用信息公示系统</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sz w:val="28"/>
                <w:szCs w:val="28"/>
                <w:highlight w:val="none"/>
              </w:rPr>
              <w:t>信用中国”、中国政府采购网（www.ccgp.gov.cn）严重违法失信行为查询截图。</w:t>
            </w:r>
          </w:p>
          <w:p w14:paraId="58EEE0EF">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kern w:val="0"/>
                <w:sz w:val="28"/>
                <w:szCs w:val="28"/>
                <w:highlight w:val="none"/>
              </w:rPr>
              <w:t>证明资料为相关查询结果截图</w:t>
            </w:r>
            <w:r>
              <w:rPr>
                <w:rFonts w:hint="eastAsia" w:ascii="仿宋_GB2312" w:hAnsi="仿宋_GB2312" w:eastAsia="仿宋_GB2312" w:cs="仿宋_GB2312"/>
                <w:color w:val="auto"/>
                <w:sz w:val="28"/>
                <w:szCs w:val="28"/>
                <w:highlight w:val="none"/>
              </w:rPr>
              <w:t>）</w:t>
            </w:r>
          </w:p>
        </w:tc>
      </w:tr>
      <w:tr w14:paraId="56C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37DBED6A">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071971C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37B6363F">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投标人提供：</w:t>
            </w:r>
          </w:p>
          <w:p w14:paraId="16D7B38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eastAsia="zh-CN"/>
              </w:rPr>
              <w:t>幕墙四性检测</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w:t>
            </w:r>
            <w:r>
              <w:rPr>
                <w:rFonts w:hint="eastAsia" w:ascii="仿宋_GB2312" w:hAnsi="仿宋_GB2312" w:eastAsia="仿宋_GB2312" w:cs="仿宋_GB2312"/>
                <w:color w:val="auto"/>
                <w:kern w:val="0"/>
                <w:sz w:val="28"/>
                <w:szCs w:val="28"/>
                <w:highlight w:val="none"/>
              </w:rPr>
              <w:t>检测依据、试件情况和风荷载标准值取值、检测程序和要求等</w:t>
            </w:r>
            <w:r>
              <w:rPr>
                <w:rFonts w:hint="eastAsia" w:ascii="仿宋_GB2312" w:hAnsi="仿宋_GB2312" w:eastAsia="仿宋_GB2312" w:cs="仿宋_GB2312"/>
                <w:color w:val="auto"/>
                <w:kern w:val="0"/>
                <w:sz w:val="28"/>
                <w:szCs w:val="28"/>
                <w:highlight w:val="none"/>
                <w:lang w:eastAsia="zh-CN"/>
              </w:rPr>
              <w:t>。</w:t>
            </w:r>
          </w:p>
        </w:tc>
      </w:tr>
    </w:tbl>
    <w:p w14:paraId="7B6EA1E6">
      <w:pPr>
        <w:pStyle w:val="24"/>
        <w:jc w:val="center"/>
        <w:rPr>
          <w:rFonts w:hint="eastAsia"/>
          <w:b/>
          <w:sz w:val="36"/>
          <w:szCs w:val="36"/>
          <w:highlight w:val="none"/>
        </w:rPr>
      </w:pPr>
    </w:p>
    <w:p w14:paraId="3691033B">
      <w:pPr>
        <w:rPr>
          <w:rFonts w:hint="eastAsia"/>
          <w:b/>
          <w:sz w:val="36"/>
          <w:szCs w:val="36"/>
          <w:highlight w:val="none"/>
        </w:rPr>
      </w:pPr>
      <w:r>
        <w:rPr>
          <w:rFonts w:hint="eastAsia"/>
          <w:b/>
          <w:sz w:val="36"/>
          <w:szCs w:val="36"/>
          <w:highlight w:val="none"/>
        </w:rPr>
        <w:br w:type="page"/>
      </w:r>
    </w:p>
    <w:p w14:paraId="7CFD7811">
      <w:pPr>
        <w:pStyle w:val="24"/>
        <w:jc w:val="center"/>
        <w:rPr>
          <w:b/>
          <w:sz w:val="36"/>
          <w:szCs w:val="36"/>
          <w:highlight w:val="none"/>
        </w:rPr>
      </w:pPr>
      <w:r>
        <w:rPr>
          <w:rFonts w:hint="eastAsia"/>
          <w:b/>
          <w:sz w:val="36"/>
          <w:szCs w:val="36"/>
          <w:highlight w:val="none"/>
        </w:rPr>
        <w:t xml:space="preserve">第三章  </w:t>
      </w:r>
      <w:bookmarkEnd w:id="10"/>
      <w:bookmarkEnd w:id="11"/>
      <w:bookmarkEnd w:id="12"/>
      <w:bookmarkStart w:id="13" w:name="_Toc509669699"/>
      <w:r>
        <w:rPr>
          <w:rFonts w:hint="eastAsia"/>
          <w:b/>
          <w:sz w:val="36"/>
          <w:szCs w:val="36"/>
          <w:highlight w:val="none"/>
        </w:rPr>
        <w:t>合同文件</w:t>
      </w:r>
    </w:p>
    <w:p w14:paraId="1542D34A">
      <w:pPr>
        <w:pStyle w:val="28"/>
        <w:wordWrap w:val="0"/>
        <w:jc w:val="right"/>
        <w:rPr>
          <w:rFonts w:hint="eastAsia"/>
          <w:b/>
          <w:bCs/>
          <w:color w:val="auto"/>
          <w:sz w:val="32"/>
          <w:highlight w:val="none"/>
          <w:u w:val="single"/>
        </w:rPr>
      </w:pPr>
      <w:r>
        <w:rPr>
          <w:rFonts w:hint="eastAsia" w:ascii="黑体" w:eastAsia="黑体" w:cs="Times New Roman"/>
          <w:bCs/>
          <w:color w:val="auto"/>
          <w:sz w:val="28"/>
          <w:szCs w:val="28"/>
          <w:highlight w:val="none"/>
          <w:lang w:val="en-US" w:eastAsia="zh-CN"/>
        </w:rPr>
        <w:t xml:space="preserve">合同编号： </w:t>
      </w:r>
      <w:r>
        <w:rPr>
          <w:rFonts w:hint="eastAsia" w:ascii="黑体" w:eastAsia="黑体" w:cs="Times New Roman"/>
          <w:bCs/>
          <w:color w:val="auto"/>
          <w:sz w:val="28"/>
          <w:szCs w:val="28"/>
          <w:highlight w:val="none"/>
        </w:rPr>
        <w:t xml:space="preserve"> </w:t>
      </w:r>
    </w:p>
    <w:p w14:paraId="7C7F2EA7">
      <w:pPr>
        <w:pStyle w:val="28"/>
        <w:jc w:val="center"/>
        <w:rPr>
          <w:rFonts w:ascii="黑体" w:eastAsia="黑体" w:cs="Times New Roman"/>
          <w:b/>
          <w:bCs/>
          <w:color w:val="auto"/>
          <w:sz w:val="36"/>
          <w:szCs w:val="36"/>
          <w:highlight w:val="none"/>
        </w:rPr>
      </w:pPr>
    </w:p>
    <w:p w14:paraId="36F09F19">
      <w:pPr>
        <w:spacing w:line="360" w:lineRule="auto"/>
        <w:jc w:val="center"/>
        <w:rPr>
          <w:rFonts w:hint="eastAsia" w:ascii="黑体" w:eastAsia="黑体" w:cs="Arial"/>
          <w:color w:val="auto"/>
          <w:sz w:val="32"/>
          <w:szCs w:val="32"/>
          <w:highlight w:val="none"/>
        </w:rPr>
      </w:pPr>
    </w:p>
    <w:p w14:paraId="669631D7">
      <w:pPr>
        <w:spacing w:line="480" w:lineRule="auto"/>
        <w:jc w:val="center"/>
        <w:rPr>
          <w:rFonts w:hint="eastAsia" w:ascii="黑体" w:hAnsi="黑体" w:eastAsia="黑体"/>
          <w:b/>
          <w:color w:val="auto"/>
          <w:sz w:val="44"/>
          <w:szCs w:val="44"/>
          <w:highlight w:val="none"/>
        </w:rPr>
      </w:pPr>
    </w:p>
    <w:p w14:paraId="4F210314">
      <w:pPr>
        <w:spacing w:line="480" w:lineRule="auto"/>
        <w:jc w:val="center"/>
        <w:rPr>
          <w:rFonts w:hint="eastAsia" w:ascii="黑体" w:hAnsi="黑体" w:eastAsia="黑体"/>
          <w:b/>
          <w:color w:val="auto"/>
          <w:sz w:val="52"/>
          <w:szCs w:val="52"/>
          <w:highlight w:val="none"/>
        </w:rPr>
      </w:pPr>
      <w:r>
        <w:rPr>
          <w:rFonts w:hint="eastAsia" w:ascii="黑体" w:hAnsi="黑体" w:eastAsia="黑体" w:cs="宋体"/>
          <w:b/>
          <w:bCs/>
          <w:color w:val="auto"/>
          <w:kern w:val="0"/>
          <w:sz w:val="48"/>
          <w:szCs w:val="48"/>
          <w:highlight w:val="none"/>
        </w:rPr>
        <w:t>幕墙四性检测</w:t>
      </w:r>
      <w:r>
        <w:rPr>
          <w:rFonts w:hint="eastAsia" w:ascii="黑体" w:hAnsi="黑体" w:eastAsia="黑体"/>
          <w:b/>
          <w:color w:val="auto"/>
          <w:sz w:val="52"/>
          <w:szCs w:val="52"/>
          <w:highlight w:val="none"/>
        </w:rPr>
        <w:t xml:space="preserve">合同 </w:t>
      </w:r>
    </w:p>
    <w:p w14:paraId="6D150D64">
      <w:pPr>
        <w:pStyle w:val="15"/>
        <w:rPr>
          <w:rFonts w:hint="eastAsia" w:ascii="黑体" w:hAnsi="黑体" w:eastAsia="黑体"/>
          <w:b/>
          <w:color w:val="auto"/>
          <w:sz w:val="52"/>
          <w:szCs w:val="52"/>
          <w:highlight w:val="none"/>
        </w:rPr>
      </w:pPr>
    </w:p>
    <w:p w14:paraId="09364FB9">
      <w:pPr>
        <w:pStyle w:val="15"/>
        <w:rPr>
          <w:rFonts w:hint="eastAsia" w:ascii="黑体" w:hAnsi="黑体" w:eastAsia="黑体"/>
          <w:b/>
          <w:color w:val="auto"/>
          <w:sz w:val="52"/>
          <w:szCs w:val="52"/>
          <w:highlight w:val="none"/>
        </w:rPr>
      </w:pPr>
    </w:p>
    <w:p w14:paraId="09DE09E8">
      <w:pPr>
        <w:spacing w:line="360" w:lineRule="auto"/>
        <w:ind w:firstLine="2400" w:firstLineChars="800"/>
        <w:rPr>
          <w:rFonts w:hint="eastAsia" w:ascii="黑体" w:hAnsi="宋体" w:eastAsia="黑体"/>
          <w:bCs/>
          <w:color w:val="auto"/>
          <w:sz w:val="30"/>
          <w:szCs w:val="30"/>
          <w:highlight w:val="none"/>
        </w:rPr>
      </w:pPr>
    </w:p>
    <w:p w14:paraId="3ED0541C">
      <w:pPr>
        <w:widowControl w:val="0"/>
        <w:spacing w:before="312" w:after="156" w:line="480" w:lineRule="auto"/>
        <w:ind w:firstLine="320"/>
        <w:jc w:val="both"/>
        <w:rPr>
          <w:rFonts w:hint="default" w:ascii="宋体" w:hAnsi="宋体" w:eastAsia="宋体" w:cs="宋体"/>
          <w:b/>
          <w:bCs/>
          <w:color w:val="000000"/>
          <w:kern w:val="2"/>
          <w:sz w:val="32"/>
          <w:szCs w:val="32"/>
          <w:highlight w:val="none"/>
          <w:lang w:val="en-US" w:eastAsia="zh-CN"/>
        </w:rPr>
      </w:pPr>
      <w:r>
        <w:rPr>
          <w:rFonts w:hint="eastAsia" w:ascii="宋体" w:hAnsi="宋体" w:eastAsia="宋体" w:cs="宋体"/>
          <w:b/>
          <w:bCs/>
          <w:color w:val="000000"/>
          <w:kern w:val="2"/>
          <w:sz w:val="32"/>
          <w:szCs w:val="32"/>
          <w:highlight w:val="none"/>
        </w:rPr>
        <w:t>工程名称：</w:t>
      </w:r>
      <w:r>
        <w:rPr>
          <w:rFonts w:hint="eastAsia" w:ascii="宋体" w:hAnsi="宋体" w:eastAsia="宋体" w:cs="宋体"/>
          <w:b/>
          <w:bCs/>
          <w:color w:val="000000"/>
          <w:kern w:val="2"/>
          <w:sz w:val="32"/>
          <w:szCs w:val="32"/>
          <w:highlight w:val="none"/>
          <w:u w:val="single"/>
        </w:rPr>
        <w:t>深圳建筑产业生态智谷总部基地一期</w:t>
      </w:r>
      <w:r>
        <w:rPr>
          <w:rFonts w:hint="eastAsia" w:ascii="宋体" w:hAnsi="宋体" w:eastAsia="宋体" w:cs="宋体"/>
          <w:b/>
          <w:bCs/>
          <w:color w:val="000000"/>
          <w:kern w:val="2"/>
          <w:sz w:val="32"/>
          <w:szCs w:val="32"/>
          <w:highlight w:val="none"/>
          <w:u w:val="single"/>
          <w:lang w:val="en-US" w:eastAsia="zh-CN"/>
        </w:rPr>
        <w:t>幕墙四性检测</w:t>
      </w:r>
    </w:p>
    <w:p w14:paraId="2592E1EF">
      <w:pPr>
        <w:widowControl w:val="0"/>
        <w:spacing w:before="312" w:after="156" w:line="480" w:lineRule="auto"/>
        <w:ind w:firstLine="320"/>
        <w:jc w:val="both"/>
        <w:rPr>
          <w:rFonts w:hint="eastAsia" w:ascii="宋体" w:hAnsi="宋体" w:eastAsia="宋体" w:cs="宋体"/>
          <w:b/>
          <w:bCs/>
          <w:color w:val="000000"/>
          <w:kern w:val="2"/>
          <w:sz w:val="32"/>
          <w:szCs w:val="32"/>
          <w:highlight w:val="none"/>
        </w:rPr>
      </w:pPr>
      <w:r>
        <w:rPr>
          <w:rFonts w:hint="eastAsia" w:ascii="宋体" w:hAnsi="宋体" w:eastAsia="宋体" w:cs="宋体"/>
          <w:b/>
          <w:bCs/>
          <w:color w:val="000000"/>
          <w:kern w:val="2"/>
          <w:sz w:val="32"/>
          <w:szCs w:val="32"/>
          <w:highlight w:val="none"/>
        </w:rPr>
        <w:t>工程地点：</w:t>
      </w:r>
      <w:r>
        <w:rPr>
          <w:rFonts w:hint="eastAsia" w:ascii="宋体" w:hAnsi="宋体" w:eastAsia="宋体" w:cs="宋体"/>
          <w:b/>
          <w:bCs/>
          <w:color w:val="000000"/>
          <w:kern w:val="2"/>
          <w:sz w:val="32"/>
          <w:szCs w:val="32"/>
          <w:highlight w:val="none"/>
          <w:u w:val="single"/>
        </w:rPr>
        <w:t>深圳市龙岗区龙城街道</w:t>
      </w:r>
    </w:p>
    <w:p w14:paraId="157D8E1E">
      <w:pPr>
        <w:widowControl w:val="0"/>
        <w:spacing w:before="312" w:after="156" w:line="480" w:lineRule="auto"/>
        <w:ind w:firstLine="320"/>
        <w:jc w:val="both"/>
        <w:rPr>
          <w:rFonts w:hint="eastAsia" w:ascii="宋体" w:hAnsi="宋体" w:eastAsia="宋体" w:cs="宋体"/>
          <w:b/>
          <w:bCs/>
          <w:color w:val="000000"/>
          <w:kern w:val="2"/>
          <w:sz w:val="32"/>
          <w:szCs w:val="32"/>
          <w:highlight w:val="none"/>
        </w:rPr>
      </w:pPr>
      <w:r>
        <w:rPr>
          <w:rFonts w:hint="eastAsia" w:ascii="宋体" w:hAnsi="宋体" w:cs="宋体"/>
          <w:b/>
          <w:bCs/>
          <w:color w:val="000000"/>
          <w:kern w:val="2"/>
          <w:sz w:val="32"/>
          <w:szCs w:val="32"/>
          <w:highlight w:val="none"/>
          <w:lang w:val="en-US" w:eastAsia="zh-CN"/>
        </w:rPr>
        <w:t>甲  方</w:t>
      </w:r>
      <w:r>
        <w:rPr>
          <w:rFonts w:hint="eastAsia" w:ascii="宋体" w:hAnsi="宋体" w:eastAsia="宋体" w:cs="宋体"/>
          <w:b/>
          <w:bCs/>
          <w:color w:val="000000"/>
          <w:kern w:val="2"/>
          <w:sz w:val="32"/>
          <w:szCs w:val="32"/>
          <w:highlight w:val="none"/>
        </w:rPr>
        <w:t>：</w:t>
      </w:r>
      <w:r>
        <w:rPr>
          <w:rFonts w:hint="eastAsia" w:ascii="宋体" w:hAnsi="宋体" w:eastAsia="宋体" w:cs="宋体"/>
          <w:b/>
          <w:bCs/>
          <w:color w:val="000000"/>
          <w:kern w:val="2"/>
          <w:sz w:val="30"/>
          <w:szCs w:val="30"/>
          <w:highlight w:val="none"/>
          <w:u w:val="single"/>
        </w:rPr>
        <w:t>深圳市龙岗区城投绿色低碳新能源产业发展有限公司</w:t>
      </w:r>
    </w:p>
    <w:p w14:paraId="3E6CE1AE">
      <w:pPr>
        <w:spacing w:before="312" w:after="156" w:line="480" w:lineRule="auto"/>
        <w:ind w:firstLine="321" w:firstLineChars="100"/>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000000"/>
          <w:kern w:val="2"/>
          <w:sz w:val="32"/>
          <w:szCs w:val="32"/>
          <w:highlight w:val="none"/>
          <w:lang w:val="en-US" w:eastAsia="zh-CN"/>
        </w:rPr>
        <w:t>乙 方</w:t>
      </w:r>
      <w:r>
        <w:rPr>
          <w:rFonts w:hint="eastAsia" w:ascii="宋体" w:hAnsi="宋体" w:eastAsia="宋体" w:cs="宋体"/>
          <w:b/>
          <w:bCs/>
          <w:color w:val="000000"/>
          <w:kern w:val="2"/>
          <w:sz w:val="32"/>
          <w:szCs w:val="32"/>
          <w:highlight w:val="none"/>
        </w:rPr>
        <w:t>：</w:t>
      </w:r>
      <w:r>
        <w:rPr>
          <w:rFonts w:hint="eastAsia" w:ascii="宋体" w:hAnsi="宋体" w:cs="宋体"/>
          <w:b/>
          <w:bCs/>
          <w:color w:val="auto"/>
          <w:sz w:val="32"/>
          <w:szCs w:val="32"/>
          <w:highlight w:val="none"/>
          <w:u w:val="single"/>
          <w:lang w:val="en-US" w:eastAsia="zh-CN"/>
        </w:rPr>
        <w:t xml:space="preserve">                    </w:t>
      </w:r>
    </w:p>
    <w:p w14:paraId="0EB31072">
      <w:pPr>
        <w:pStyle w:val="28"/>
        <w:numPr>
          <w:ilvl w:val="0"/>
          <w:numId w:val="0"/>
        </w:numPr>
        <w:spacing w:line="720" w:lineRule="auto"/>
        <w:ind w:left="0" w:firstLine="0"/>
        <w:rPr>
          <w:rStyle w:val="66"/>
          <w:rFonts w:hint="eastAsia" w:hAnsi="宋体" w:cs="黑体"/>
          <w:b w:val="0"/>
          <w:bCs/>
          <w:color w:val="auto"/>
          <w:sz w:val="28"/>
          <w:szCs w:val="28"/>
          <w:highlight w:val="none"/>
          <w:u w:val="none"/>
          <w:lang w:val="en-US" w:eastAsia="zh-CN"/>
        </w:rPr>
      </w:pPr>
    </w:p>
    <w:p w14:paraId="60600ABC">
      <w:pPr>
        <w:pStyle w:val="13"/>
        <w:ind w:left="2940"/>
        <w:rPr>
          <w:highlight w:val="none"/>
        </w:rPr>
      </w:pPr>
    </w:p>
    <w:p w14:paraId="4245C6BA">
      <w:pPr>
        <w:rPr>
          <w:rFonts w:hint="eastAsia" w:ascii="楷体_GB2312" w:hAnsi="楷体_GB2312" w:eastAsia="楷体_GB2312" w:cs="楷体_GB2312"/>
          <w:b/>
          <w:snapToGrid w:val="0"/>
          <w:color w:val="000000"/>
          <w:kern w:val="0"/>
          <w:sz w:val="24"/>
          <w:szCs w:val="24"/>
          <w:highlight w:val="none"/>
        </w:rPr>
      </w:pPr>
      <w:r>
        <w:rPr>
          <w:rFonts w:hint="eastAsia" w:ascii="楷体_GB2312" w:hAnsi="楷体_GB2312" w:eastAsia="楷体_GB2312" w:cs="楷体_GB2312"/>
          <w:b/>
          <w:snapToGrid w:val="0"/>
          <w:color w:val="000000"/>
          <w:kern w:val="0"/>
          <w:sz w:val="24"/>
          <w:szCs w:val="24"/>
          <w:highlight w:val="none"/>
        </w:rPr>
        <w:br w:type="page"/>
      </w:r>
    </w:p>
    <w:p w14:paraId="6263696E">
      <w:pPr>
        <w:spacing w:after="360" w:afterLines="150" w:line="520" w:lineRule="atLeast"/>
        <w:jc w:val="center"/>
        <w:rPr>
          <w:rFonts w:hint="eastAsia" w:ascii="楷体_GB2312" w:hAnsi="楷体_GB2312" w:eastAsia="楷体_GB2312" w:cs="楷体_GB2312"/>
          <w:b/>
          <w:snapToGrid w:val="0"/>
          <w:color w:val="000000"/>
          <w:kern w:val="0"/>
          <w:sz w:val="24"/>
          <w:szCs w:val="24"/>
          <w:highlight w:val="none"/>
        </w:rPr>
      </w:pPr>
      <w:r>
        <w:rPr>
          <w:rFonts w:hint="eastAsia" w:ascii="楷体_GB2312" w:hAnsi="楷体_GB2312" w:eastAsia="楷体_GB2312" w:cs="楷体_GB2312"/>
          <w:b/>
          <w:snapToGrid w:val="0"/>
          <w:color w:val="000000"/>
          <w:kern w:val="0"/>
          <w:sz w:val="24"/>
          <w:szCs w:val="24"/>
          <w:highlight w:val="none"/>
        </w:rPr>
        <w:t>第一部分 合同书</w:t>
      </w:r>
    </w:p>
    <w:p w14:paraId="386518D2">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依据《中华人民共和国民法典》及相关</w:t>
      </w:r>
      <w:r>
        <w:rPr>
          <w:rFonts w:hint="eastAsia" w:ascii="楷体" w:hAnsi="楷体" w:eastAsia="楷体" w:cs="楷体"/>
          <w:snapToGrid w:val="0"/>
          <w:color w:val="000000"/>
          <w:kern w:val="0"/>
          <w:sz w:val="24"/>
          <w:szCs w:val="24"/>
          <w:highlight w:val="none"/>
          <w:lang w:eastAsia="zh-CN"/>
        </w:rPr>
        <w:t>法律法规</w:t>
      </w:r>
      <w:r>
        <w:rPr>
          <w:rFonts w:hint="eastAsia" w:ascii="楷体" w:hAnsi="楷体" w:eastAsia="楷体" w:cs="楷体"/>
          <w:snapToGrid w:val="0"/>
          <w:color w:val="000000"/>
          <w:kern w:val="0"/>
          <w:sz w:val="24"/>
          <w:szCs w:val="24"/>
          <w:highlight w:val="none"/>
        </w:rPr>
        <w:t>的规定，</w:t>
      </w:r>
      <w:r>
        <w:rPr>
          <w:rFonts w:hint="eastAsia" w:ascii="楷体" w:hAnsi="楷体" w:eastAsia="楷体" w:cs="楷体"/>
          <w:snapToGrid w:val="0"/>
          <w:color w:val="000000"/>
          <w:kern w:val="0"/>
          <w:sz w:val="24"/>
          <w:szCs w:val="24"/>
          <w:highlight w:val="none"/>
          <w:lang w:eastAsia="zh-CN"/>
        </w:rPr>
        <w:t>甲乙双方</w:t>
      </w:r>
      <w:r>
        <w:rPr>
          <w:rFonts w:hint="eastAsia" w:ascii="楷体" w:hAnsi="楷体" w:eastAsia="楷体" w:cs="楷体"/>
          <w:snapToGrid w:val="0"/>
          <w:color w:val="000000"/>
          <w:kern w:val="0"/>
          <w:sz w:val="24"/>
          <w:szCs w:val="24"/>
          <w:highlight w:val="none"/>
        </w:rPr>
        <w:t>自愿、平等、互惠互利、诚实信用的原则，经充分友好协商，签署本合同。据此订立如下条款。</w:t>
      </w:r>
    </w:p>
    <w:p w14:paraId="279CA699">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1.1  技术服务内容</w:t>
      </w:r>
    </w:p>
    <w:p w14:paraId="4E84F4FA">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甲方委托乙方开展建设工程技术服务，提供配合条件并支付相应技术服务费用：</w:t>
      </w:r>
    </w:p>
    <w:p w14:paraId="58EF3B6B">
      <w:pPr>
        <w:adjustRightInd w:val="0"/>
        <w:snapToGrid w:val="0"/>
        <w:spacing w:line="520" w:lineRule="atLeast"/>
        <w:ind w:left="2399" w:leftChars="228" w:hanging="1920" w:hangingChars="800"/>
        <w:rPr>
          <w:rFonts w:hint="eastAsia" w:ascii="楷体" w:hAnsi="楷体" w:eastAsia="楷体" w:cs="楷体"/>
          <w:color w:val="00000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工程名称：</w:t>
      </w:r>
      <w:r>
        <w:rPr>
          <w:rFonts w:hint="eastAsia" w:ascii="楷体" w:hAnsi="楷体" w:eastAsia="楷体" w:cs="楷体"/>
          <w:snapToGrid w:val="0"/>
          <w:color w:val="000000"/>
          <w:kern w:val="0"/>
          <w:sz w:val="24"/>
          <w:szCs w:val="24"/>
          <w:highlight w:val="none"/>
          <w:u w:val="single"/>
        </w:rPr>
        <w:t xml:space="preserve">  深圳建筑产业生态智谷总部基地一期幕墙四性检测</w:t>
      </w:r>
      <w:r>
        <w:rPr>
          <w:rFonts w:hint="eastAsia" w:ascii="楷体" w:hAnsi="楷体" w:eastAsia="楷体" w:cs="楷体"/>
          <w:snapToGrid w:val="0"/>
          <w:color w:val="000000"/>
          <w:kern w:val="0"/>
          <w:sz w:val="24"/>
          <w:szCs w:val="24"/>
          <w:highlight w:val="none"/>
        </w:rPr>
        <w:t>；</w:t>
      </w:r>
    </w:p>
    <w:p w14:paraId="33A0DEF5">
      <w:pPr>
        <w:adjustRightInd w:val="0"/>
        <w:snapToGrid w:val="0"/>
        <w:spacing w:line="520" w:lineRule="atLeast"/>
        <w:ind w:firstLine="1080" w:firstLineChars="45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工程地点：</w:t>
      </w:r>
      <w:r>
        <w:rPr>
          <w:rFonts w:hint="eastAsia" w:ascii="楷体" w:hAnsi="楷体" w:eastAsia="楷体" w:cs="楷体"/>
          <w:snapToGrid w:val="0"/>
          <w:color w:val="000000"/>
          <w:kern w:val="0"/>
          <w:sz w:val="24"/>
          <w:szCs w:val="24"/>
          <w:highlight w:val="none"/>
          <w:u w:val="single"/>
        </w:rPr>
        <w:t xml:space="preserve">  深圳市龙岗区龙城街道  </w:t>
      </w:r>
      <w:r>
        <w:rPr>
          <w:rFonts w:hint="eastAsia" w:ascii="楷体" w:hAnsi="楷体" w:eastAsia="楷体" w:cs="楷体"/>
          <w:snapToGrid w:val="0"/>
          <w:color w:val="000000"/>
          <w:kern w:val="0"/>
          <w:sz w:val="24"/>
          <w:szCs w:val="24"/>
          <w:highlight w:val="none"/>
        </w:rPr>
        <w:t>。</w:t>
      </w:r>
    </w:p>
    <w:p w14:paraId="518231AB">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检测项目：</w:t>
      </w:r>
    </w:p>
    <w:p w14:paraId="20D49782">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技术状况评定</w:t>
      </w:r>
    </w:p>
    <w:p w14:paraId="1971E8AC">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定期检测</w:t>
      </w:r>
    </w:p>
    <w:p w14:paraId="47841AB9">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交竣工检测服务</w:t>
      </w:r>
    </w:p>
    <w:p w14:paraId="102F9940">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52"/>
      </w:r>
      <w:r>
        <w:rPr>
          <w:rFonts w:hint="eastAsia" w:ascii="楷体" w:hAnsi="楷体" w:eastAsia="楷体" w:cs="楷体"/>
          <w:snapToGrid w:val="0"/>
          <w:color w:val="000000"/>
          <w:kern w:val="0"/>
          <w:sz w:val="22"/>
          <w:szCs w:val="22"/>
          <w:highlight w:val="none"/>
        </w:rPr>
        <w:t>幕墙物理性能检测</w:t>
      </w:r>
    </w:p>
    <w:p w14:paraId="56945F3D">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门窗物理性能检测</w:t>
      </w:r>
    </w:p>
    <w:p w14:paraId="1876EC5C">
      <w:pPr>
        <w:adjustRightInd w:val="0"/>
        <w:snapToGrid w:val="0"/>
        <w:spacing w:line="520" w:lineRule="atLeast"/>
        <w:ind w:firstLine="660" w:firstLineChars="300"/>
        <w:rPr>
          <w:rFonts w:hint="default" w:ascii="楷体" w:hAnsi="楷体" w:eastAsia="楷体" w:cs="楷体"/>
          <w:snapToGrid w:val="0"/>
          <w:color w:val="000000"/>
          <w:kern w:val="0"/>
          <w:sz w:val="22"/>
          <w:szCs w:val="22"/>
          <w:highlight w:val="none"/>
          <w:lang w:val="en-US" w:eastAsia="zh-CN"/>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其他：</w:t>
      </w:r>
      <w:r>
        <w:rPr>
          <w:rFonts w:hint="eastAsia" w:ascii="楷体" w:hAnsi="楷体" w:eastAsia="楷体" w:cs="楷体"/>
          <w:snapToGrid w:val="0"/>
          <w:color w:val="000000"/>
          <w:kern w:val="0"/>
          <w:sz w:val="22"/>
          <w:szCs w:val="22"/>
          <w:highlight w:val="none"/>
          <w:u w:val="single"/>
          <w:lang w:val="en-US" w:eastAsia="zh-CN"/>
        </w:rPr>
        <w:t xml:space="preserve">       </w:t>
      </w:r>
    </w:p>
    <w:p w14:paraId="5A0CE227">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u w:val="single"/>
        </w:rPr>
      </w:pPr>
      <w:r>
        <w:rPr>
          <w:rFonts w:hint="eastAsia" w:ascii="楷体" w:hAnsi="楷体" w:eastAsia="楷体" w:cs="楷体"/>
          <w:snapToGrid w:val="0"/>
          <w:color w:val="000000"/>
          <w:kern w:val="0"/>
          <w:sz w:val="24"/>
          <w:szCs w:val="24"/>
          <w:highlight w:val="none"/>
          <w:lang w:eastAsia="zh-CN"/>
        </w:rPr>
        <w:t>（3）</w:t>
      </w:r>
      <w:r>
        <w:rPr>
          <w:rFonts w:hint="eastAsia" w:ascii="楷体" w:hAnsi="楷体" w:eastAsia="楷体" w:cs="楷体"/>
          <w:snapToGrid w:val="0"/>
          <w:color w:val="000000"/>
          <w:kern w:val="0"/>
          <w:sz w:val="24"/>
          <w:szCs w:val="24"/>
          <w:highlight w:val="none"/>
        </w:rPr>
        <w:t>工作内容：</w:t>
      </w:r>
      <w:r>
        <w:rPr>
          <w:rFonts w:hint="eastAsia" w:ascii="楷体" w:hAnsi="楷体" w:eastAsia="楷体" w:cs="楷体"/>
          <w:snapToGrid w:val="0"/>
          <w:color w:val="000000"/>
          <w:kern w:val="0"/>
          <w:sz w:val="24"/>
          <w:szCs w:val="24"/>
          <w:highlight w:val="none"/>
          <w:u w:val="single"/>
        </w:rPr>
        <w:t xml:space="preserve">详见本合同“第四部分：技术服务费用清单” </w:t>
      </w:r>
      <w:r>
        <w:rPr>
          <w:rFonts w:hint="eastAsia" w:ascii="楷体" w:hAnsi="楷体" w:eastAsia="楷体" w:cs="楷体"/>
          <w:snapToGrid w:val="0"/>
          <w:color w:val="000000"/>
          <w:kern w:val="0"/>
          <w:sz w:val="24"/>
          <w:szCs w:val="24"/>
          <w:highlight w:val="none"/>
        </w:rPr>
        <w:t>。</w:t>
      </w:r>
    </w:p>
    <w:p w14:paraId="6450DDC0">
      <w:pPr>
        <w:spacing w:before="120" w:beforeLines="50" w:line="520" w:lineRule="atLeast"/>
        <w:rPr>
          <w:rFonts w:hint="eastAsia" w:ascii="楷体" w:hAnsi="楷体" w:eastAsia="楷体_GB2312" w:cs="楷体"/>
          <w:b/>
          <w:snapToGrid w:val="0"/>
          <w:color w:val="000000"/>
          <w:kern w:val="0"/>
          <w:sz w:val="24"/>
          <w:szCs w:val="24"/>
          <w:highlight w:val="none"/>
          <w:u w:val="single"/>
        </w:rPr>
      </w:pPr>
      <w:r>
        <w:rPr>
          <w:rFonts w:hint="eastAsia" w:ascii="楷体" w:hAnsi="楷体" w:eastAsia="楷体" w:cs="楷体"/>
          <w:b/>
          <w:snapToGrid w:val="0"/>
          <w:color w:val="000000"/>
          <w:kern w:val="0"/>
          <w:sz w:val="24"/>
          <w:szCs w:val="24"/>
          <w:highlight w:val="none"/>
        </w:rPr>
        <w:t>1.2  技术服务期限：</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按需</w:t>
      </w:r>
      <w:r>
        <w:rPr>
          <w:rFonts w:hint="eastAsia" w:ascii="楷体" w:hAnsi="楷体" w:eastAsia="楷体" w:cs="楷体"/>
          <w:snapToGrid w:val="0"/>
          <w:color w:val="000000"/>
          <w:kern w:val="0"/>
          <w:sz w:val="24"/>
          <w:szCs w:val="24"/>
          <w:highlight w:val="none"/>
          <w:u w:val="single"/>
        </w:rPr>
        <w:t xml:space="preserve">  </w:t>
      </w:r>
      <w:r>
        <w:rPr>
          <w:rFonts w:hint="eastAsia" w:ascii="楷体_GB2312" w:hAnsi="楷体_GB2312" w:eastAsia="楷体_GB2312" w:cs="楷体_GB2312"/>
          <w:bCs/>
          <w:snapToGrid w:val="0"/>
          <w:kern w:val="0"/>
          <w:sz w:val="24"/>
          <w:szCs w:val="24"/>
          <w:highlight w:val="none"/>
        </w:rPr>
        <w:t>。</w:t>
      </w:r>
    </w:p>
    <w:p w14:paraId="00FC98BD">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1.3  技术服务费用计算方式及合同价格</w:t>
      </w:r>
    </w:p>
    <w:p w14:paraId="56E26995">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 xml:space="preserve">计价方式： 单价包干，按实结算。  </w:t>
      </w:r>
    </w:p>
    <w:p w14:paraId="00DD6C4E">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含税总价：¥</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元（大写：人民币</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整 ）。</w:t>
      </w:r>
    </w:p>
    <w:p w14:paraId="32933D68">
      <w:pPr>
        <w:adjustRightInd w:val="0"/>
        <w:snapToGrid w:val="0"/>
        <w:spacing w:line="520" w:lineRule="atLeast"/>
        <w:ind w:firstLine="480" w:firstLineChars="200"/>
        <w:rPr>
          <w:rFonts w:hint="eastAsia" w:ascii="楷体_GB2312" w:hAnsi="楷体_GB2312" w:eastAsia="楷体_GB2312" w:cs="楷体_GB2312"/>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其中不含税部分：¥</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元 （大写：人民币</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），税：¥</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元 （大写：人民币</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w:t>
      </w:r>
    </w:p>
    <w:p w14:paraId="5C8AF5B7">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1.4  合同的组成部分和优先顺序</w:t>
      </w:r>
    </w:p>
    <w:p w14:paraId="24E6565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下列文件是本合同的组成部分，应作为本合同的有效内容予以遵守和执行，并互为补充和解释。如存在不一致之处，应以最新签署的文件为准。</w:t>
      </w:r>
    </w:p>
    <w:p w14:paraId="11A2CC42">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本合同实施期间双方签订的补充协议或相关修正文件；</w:t>
      </w:r>
    </w:p>
    <w:p w14:paraId="36B01655">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本合同专用条款；</w:t>
      </w:r>
    </w:p>
    <w:p w14:paraId="16E1CD6E">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本合同通用条款；</w:t>
      </w:r>
    </w:p>
    <w:p w14:paraId="6A982E55">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合同书（第一部分）；</w:t>
      </w:r>
    </w:p>
    <w:p w14:paraId="5071CEA1">
      <w:pPr>
        <w:numPr>
          <w:ilvl w:val="0"/>
          <w:numId w:val="4"/>
        </w:numPr>
        <w:suppressAutoHyphens/>
        <w:snapToGrid w:val="0"/>
        <w:spacing w:line="520" w:lineRule="atLeast"/>
        <w:ind w:firstLine="56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color w:val="000000"/>
          <w:kern w:val="0"/>
          <w:sz w:val="24"/>
          <w:szCs w:val="24"/>
          <w:highlight w:val="none"/>
        </w:rPr>
        <w:t>组成本合同的其他文件。</w:t>
      </w:r>
    </w:p>
    <w:p w14:paraId="6564A799">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上述各项合同文件包括本合同双方就该项合同文件所</w:t>
      </w:r>
      <w:r>
        <w:rPr>
          <w:rFonts w:hint="eastAsia" w:ascii="楷体" w:hAnsi="楷体" w:eastAsia="楷体" w:cs="楷体"/>
          <w:snapToGrid w:val="0"/>
          <w:color w:val="000000"/>
          <w:kern w:val="0"/>
          <w:sz w:val="24"/>
          <w:szCs w:val="24"/>
          <w:highlight w:val="none"/>
          <w:lang w:eastAsia="zh-CN"/>
        </w:rPr>
        <w:t>做出</w:t>
      </w:r>
      <w:r>
        <w:rPr>
          <w:rFonts w:hint="eastAsia" w:ascii="楷体" w:hAnsi="楷体" w:eastAsia="楷体" w:cs="楷体"/>
          <w:snapToGrid w:val="0"/>
          <w:color w:val="000000"/>
          <w:kern w:val="0"/>
          <w:sz w:val="24"/>
          <w:szCs w:val="24"/>
          <w:highlight w:val="none"/>
        </w:rPr>
        <w:t>的补充和修改。</w:t>
      </w:r>
    </w:p>
    <w:p w14:paraId="6E94D782">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1.5 合同联系人及送达地址确认</w:t>
      </w:r>
    </w:p>
    <w:p w14:paraId="13B4FC1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本合同双方确认其有效的送达地址为：</w:t>
      </w:r>
    </w:p>
    <w:p w14:paraId="6ACE35E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甲方： </w:t>
      </w:r>
    </w:p>
    <w:p w14:paraId="6300114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通讯地址： </w:t>
      </w:r>
    </w:p>
    <w:p w14:paraId="36142D14">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联系人：                  手机号码：</w:t>
      </w:r>
    </w:p>
    <w:p w14:paraId="44D4F66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p>
    <w:p w14:paraId="64A08518">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乙方：</w:t>
      </w:r>
    </w:p>
    <w:p w14:paraId="36E3EB8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通讯地址：</w:t>
      </w:r>
    </w:p>
    <w:p w14:paraId="236BBF4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联系人：                    手机号码：</w:t>
      </w:r>
    </w:p>
    <w:p w14:paraId="0A1E0096">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一方变更本合同联系人的，应当及时以书面形式通知另一方。未及时通知并影响本合同履行或造成损失的，应承担相应的责任。</w:t>
      </w:r>
    </w:p>
    <w:p w14:paraId="38C8DF2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双方确认本合同地址为约定送达地址，</w:t>
      </w:r>
      <w:r>
        <w:rPr>
          <w:rFonts w:hint="eastAsia" w:ascii="楷体" w:hAnsi="楷体" w:eastAsia="楷体" w:cs="楷体"/>
          <w:snapToGrid w:val="0"/>
          <w:color w:val="000000"/>
          <w:kern w:val="0"/>
          <w:sz w:val="24"/>
          <w:szCs w:val="24"/>
          <w:highlight w:val="none"/>
          <w:lang w:eastAsia="zh-Hans"/>
        </w:rPr>
        <w:t>本</w:t>
      </w:r>
      <w:r>
        <w:rPr>
          <w:rFonts w:hint="eastAsia" w:ascii="楷体" w:hAnsi="楷体" w:eastAsia="楷体" w:cs="楷体"/>
          <w:snapToGrid w:val="0"/>
          <w:color w:val="000000"/>
          <w:kern w:val="0"/>
          <w:sz w:val="24"/>
          <w:szCs w:val="24"/>
          <w:highlight w:val="none"/>
        </w:rPr>
        <w:t>合同地址如有变更，应当书面通知对方，否则仍视</w:t>
      </w:r>
      <w:r>
        <w:rPr>
          <w:rFonts w:hint="eastAsia" w:ascii="楷体" w:hAnsi="楷体" w:eastAsia="楷体" w:cs="楷体"/>
          <w:snapToGrid w:val="0"/>
          <w:color w:val="000000"/>
          <w:kern w:val="0"/>
          <w:sz w:val="24"/>
          <w:szCs w:val="24"/>
          <w:highlight w:val="none"/>
          <w:lang w:eastAsia="zh-Hans"/>
        </w:rPr>
        <w:t>本</w:t>
      </w:r>
      <w:r>
        <w:rPr>
          <w:rFonts w:hint="eastAsia" w:ascii="楷体" w:hAnsi="楷体" w:eastAsia="楷体" w:cs="楷体"/>
          <w:snapToGrid w:val="0"/>
          <w:color w:val="000000"/>
          <w:kern w:val="0"/>
          <w:sz w:val="24"/>
          <w:szCs w:val="24"/>
          <w:highlight w:val="none"/>
        </w:rPr>
        <w:t>合同地址为有效地址。</w:t>
      </w:r>
    </w:p>
    <w:p w14:paraId="1F4F4FB7">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1.6  合同份数及生效</w:t>
      </w:r>
    </w:p>
    <w:p w14:paraId="68E4CAAA">
      <w:pPr>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本合同一式</w:t>
      </w:r>
      <w:r>
        <w:rPr>
          <w:rFonts w:hint="eastAsia" w:ascii="楷体" w:hAnsi="楷体" w:eastAsia="楷体" w:cs="楷体"/>
          <w:snapToGrid w:val="0"/>
          <w:color w:val="000000"/>
          <w:kern w:val="0"/>
          <w:sz w:val="24"/>
          <w:szCs w:val="24"/>
          <w:highlight w:val="none"/>
          <w:u w:val="single"/>
        </w:rPr>
        <w:t xml:space="preserve"> 壹拾贰 </w:t>
      </w:r>
      <w:r>
        <w:rPr>
          <w:rFonts w:hint="eastAsia" w:ascii="楷体" w:hAnsi="楷体" w:eastAsia="楷体" w:cs="楷体"/>
          <w:snapToGrid w:val="0"/>
          <w:color w:val="000000"/>
          <w:kern w:val="0"/>
          <w:sz w:val="24"/>
          <w:szCs w:val="24"/>
          <w:highlight w:val="none"/>
        </w:rPr>
        <w:t>份，甲乙双方各执</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陆</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份，具有同等法律效力，经双方法定代表人或者负责人签（字）章并盖章后生效。本合同未尽事宜，双方可另行签订补充协议。补充协议与本合同具有同等法律效力。</w:t>
      </w:r>
    </w:p>
    <w:p w14:paraId="24424C38">
      <w:pPr>
        <w:spacing w:before="120" w:beforeLines="50" w:after="120" w:after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1.7  合同签署</w:t>
      </w:r>
    </w:p>
    <w:tbl>
      <w:tblPr>
        <w:tblStyle w:val="53"/>
        <w:tblW w:w="8928" w:type="dxa"/>
        <w:tblInd w:w="0" w:type="dxa"/>
        <w:tblLayout w:type="fixed"/>
        <w:tblCellMar>
          <w:top w:w="0" w:type="dxa"/>
          <w:left w:w="108" w:type="dxa"/>
          <w:bottom w:w="0" w:type="dxa"/>
          <w:right w:w="108" w:type="dxa"/>
        </w:tblCellMar>
      </w:tblPr>
      <w:tblGrid>
        <w:gridCol w:w="4786"/>
        <w:gridCol w:w="4142"/>
      </w:tblGrid>
      <w:tr w14:paraId="3A5AF556">
        <w:tblPrEx>
          <w:tblCellMar>
            <w:top w:w="0" w:type="dxa"/>
            <w:left w:w="108" w:type="dxa"/>
            <w:bottom w:w="0" w:type="dxa"/>
            <w:right w:w="108" w:type="dxa"/>
          </w:tblCellMar>
        </w:tblPrEx>
        <w:tc>
          <w:tcPr>
            <w:tcW w:w="4786" w:type="dxa"/>
          </w:tcPr>
          <w:p w14:paraId="01A76E28">
            <w:pPr>
              <w:snapToGrid w:val="0"/>
              <w:spacing w:line="520" w:lineRule="atLeast"/>
              <w:ind w:left="1014" w:leftChars="136" w:right="525" w:rightChars="250" w:hanging="728" w:hangingChars="302"/>
              <w:rPr>
                <w:rFonts w:hint="eastAsia" w:ascii="楷体" w:hAnsi="楷体" w:eastAsia="楷体" w:cs="楷体"/>
                <w:bCs/>
                <w:color w:val="000000"/>
                <w:sz w:val="24"/>
                <w:szCs w:val="24"/>
                <w:highlight w:val="none"/>
              </w:rPr>
            </w:pPr>
            <w:r>
              <w:rPr>
                <w:rFonts w:hint="eastAsia" w:ascii="楷体" w:hAnsi="楷体" w:eastAsia="楷体" w:cs="楷体"/>
                <w:b/>
                <w:bCs/>
                <w:color w:val="000000"/>
                <w:sz w:val="24"/>
                <w:szCs w:val="24"/>
                <w:highlight w:val="none"/>
              </w:rPr>
              <w:t>甲方：</w:t>
            </w:r>
            <w:r>
              <w:rPr>
                <w:rFonts w:hint="eastAsia" w:ascii="楷体" w:hAnsi="楷体" w:eastAsia="楷体" w:cs="楷体"/>
                <w:color w:val="000000"/>
                <w:sz w:val="24"/>
                <w:szCs w:val="24"/>
                <w:highlight w:val="none"/>
              </w:rPr>
              <w:t xml:space="preserve"> </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bCs/>
                <w:color w:val="000000"/>
                <w:sz w:val="24"/>
                <w:szCs w:val="24"/>
                <w:highlight w:val="none"/>
              </w:rPr>
              <w:t>（盖章）</w:t>
            </w:r>
          </w:p>
        </w:tc>
        <w:tc>
          <w:tcPr>
            <w:tcW w:w="4142" w:type="dxa"/>
          </w:tcPr>
          <w:p w14:paraId="5E5276FF">
            <w:pPr>
              <w:snapToGrid w:val="0"/>
              <w:spacing w:after="60" w:afterLines="25" w:line="520" w:lineRule="atLeast"/>
              <w:ind w:right="-105" w:rightChars="-50" w:firstLine="723" w:firstLineChars="300"/>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乙方：</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rPr>
              <w:t>（盖章）</w:t>
            </w:r>
            <w:r>
              <w:rPr>
                <w:rFonts w:hint="eastAsia" w:ascii="楷体" w:hAnsi="楷体" w:eastAsia="楷体" w:cs="楷体"/>
                <w:bCs/>
                <w:color w:val="000000"/>
                <w:sz w:val="24"/>
                <w:szCs w:val="24"/>
                <w:highlight w:val="none"/>
              </w:rPr>
              <w:t xml:space="preserve"> </w:t>
            </w:r>
          </w:p>
        </w:tc>
      </w:tr>
      <w:tr w14:paraId="1AA866D3">
        <w:tblPrEx>
          <w:tblCellMar>
            <w:top w:w="0" w:type="dxa"/>
            <w:left w:w="108" w:type="dxa"/>
            <w:bottom w:w="0" w:type="dxa"/>
            <w:right w:w="108" w:type="dxa"/>
          </w:tblCellMar>
        </w:tblPrEx>
        <w:trPr>
          <w:trHeight w:val="680" w:hRule="atLeast"/>
        </w:trPr>
        <w:tc>
          <w:tcPr>
            <w:tcW w:w="4786" w:type="dxa"/>
            <w:vAlign w:val="bottom"/>
          </w:tcPr>
          <w:p w14:paraId="631828DC">
            <w:pPr>
              <w:snapToGrid w:val="0"/>
              <w:spacing w:line="520" w:lineRule="atLeast"/>
              <w:ind w:firstLine="241" w:firstLineChars="100"/>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法定代表人（授权代表）：</w:t>
            </w:r>
          </w:p>
        </w:tc>
        <w:tc>
          <w:tcPr>
            <w:tcW w:w="4142" w:type="dxa"/>
            <w:vAlign w:val="bottom"/>
          </w:tcPr>
          <w:p w14:paraId="69F08D54">
            <w:pPr>
              <w:snapToGrid w:val="0"/>
              <w:spacing w:line="520" w:lineRule="atLeast"/>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法定代表人（授权代表）：</w:t>
            </w:r>
          </w:p>
        </w:tc>
      </w:tr>
      <w:tr w14:paraId="7C423539">
        <w:tblPrEx>
          <w:tblCellMar>
            <w:top w:w="0" w:type="dxa"/>
            <w:left w:w="108" w:type="dxa"/>
            <w:bottom w:w="0" w:type="dxa"/>
            <w:right w:w="108" w:type="dxa"/>
          </w:tblCellMar>
        </w:tblPrEx>
        <w:trPr>
          <w:trHeight w:val="680" w:hRule="atLeast"/>
        </w:trPr>
        <w:tc>
          <w:tcPr>
            <w:tcW w:w="4786" w:type="dxa"/>
            <w:vAlign w:val="bottom"/>
          </w:tcPr>
          <w:p w14:paraId="78ED0699">
            <w:pPr>
              <w:snapToGrid w:val="0"/>
              <w:spacing w:line="520" w:lineRule="atLeast"/>
              <w:ind w:firstLine="241" w:firstLineChars="100"/>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电    话：</w:t>
            </w:r>
          </w:p>
        </w:tc>
        <w:tc>
          <w:tcPr>
            <w:tcW w:w="4142" w:type="dxa"/>
            <w:vAlign w:val="bottom"/>
          </w:tcPr>
          <w:p w14:paraId="77F501EF">
            <w:pPr>
              <w:snapToGrid w:val="0"/>
              <w:spacing w:line="520" w:lineRule="atLeast"/>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电    话：</w:t>
            </w:r>
          </w:p>
        </w:tc>
      </w:tr>
    </w:tbl>
    <w:p w14:paraId="3FA7A67D">
      <w:pPr>
        <w:spacing w:line="520" w:lineRule="atLeast"/>
        <w:rPr>
          <w:rFonts w:hint="eastAsia" w:ascii="楷体" w:hAnsi="楷体" w:eastAsia="楷体" w:cs="楷体"/>
          <w:snapToGrid w:val="0"/>
          <w:color w:val="000000"/>
          <w:kern w:val="0"/>
          <w:sz w:val="24"/>
          <w:szCs w:val="24"/>
          <w:highlight w:val="none"/>
        </w:rPr>
        <w:sectPr>
          <w:footerReference r:id="rId4" w:type="default"/>
          <w:pgSz w:w="11906" w:h="16838"/>
          <w:pgMar w:top="1418" w:right="1418" w:bottom="1418" w:left="1701" w:header="851" w:footer="567" w:gutter="0"/>
          <w:pgNumType w:start="1"/>
          <w:cols w:space="720" w:num="1"/>
          <w:docGrid w:linePitch="435" w:charSpace="0"/>
        </w:sectPr>
      </w:pPr>
    </w:p>
    <w:p w14:paraId="447F5396">
      <w:pPr>
        <w:spacing w:after="360" w:afterLines="150" w:line="520" w:lineRule="atLeast"/>
        <w:jc w:val="center"/>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第二部分  通用条款</w:t>
      </w:r>
    </w:p>
    <w:p w14:paraId="39AEFBA1">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 甲方的权利和义务</w:t>
      </w:r>
    </w:p>
    <w:p w14:paraId="46B43F1C">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2.1.1  现场监督</w:t>
      </w:r>
    </w:p>
    <w:p w14:paraId="7C3E1590">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甲方有权对技术服务工作实施监督，并要求乙方落实本合同要求。</w:t>
      </w:r>
    </w:p>
    <w:p w14:paraId="538FB893">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2.1.2  提供工程资料</w:t>
      </w:r>
    </w:p>
    <w:p w14:paraId="4A2D188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（1）甲方应按专用条款的约定向乙方提供与本合同技术服务业务有关的工程资料，并对其真实性、准确性、合规性负责。在本合同履行过程中，当发生变化时，甲方应及时向乙方更新有关资料。</w:t>
      </w:r>
    </w:p>
    <w:p w14:paraId="2FB3D13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（2）甲方应在技术服务前向乙方明确技术服务要求（包括但不限于受检工程部位及数量、进度），对技术服务有特别技术要求的，应以书面形式提出。</w:t>
      </w:r>
    </w:p>
    <w:p w14:paraId="1674C9E2">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2.1.3  提供工作条件</w:t>
      </w:r>
    </w:p>
    <w:p w14:paraId="29DBD6E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w:t>
      </w:r>
      <w:r>
        <w:rPr>
          <w:rFonts w:hint="eastAsia" w:ascii="楷体" w:hAnsi="楷体" w:eastAsia="楷体" w:cs="楷体"/>
          <w:snapToGrid w:val="0"/>
          <w:color w:val="000000"/>
          <w:kern w:val="0"/>
          <w:sz w:val="24"/>
          <w:szCs w:val="24"/>
          <w:highlight w:val="none"/>
          <w:lang w:eastAsia="zh-CN"/>
        </w:rPr>
        <w:t>甲方</w:t>
      </w:r>
      <w:r>
        <w:rPr>
          <w:rFonts w:hint="eastAsia" w:ascii="楷体" w:hAnsi="楷体" w:eastAsia="楷体" w:cs="楷体"/>
          <w:snapToGrid w:val="0"/>
          <w:color w:val="000000"/>
          <w:kern w:val="0"/>
          <w:sz w:val="24"/>
          <w:szCs w:val="24"/>
          <w:highlight w:val="none"/>
        </w:rPr>
        <w:t>在开始检测作业前，应消除作业现场及周边存在的安全隐患，确保为乙方作业人员提供安全可靠的作业环境。同时向乙方所有的作业人员告知作业场地和作业过程中可能存在的各类风险及应急防范措施。</w:t>
      </w:r>
    </w:p>
    <w:p w14:paraId="7AD4F77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甲方配合乙方检测作业的机具设备和防护设施应符合安全标准和要求。包括但不限于高空作业平台按相关要求搭设并经验收合格，高处作业时有可靠的安全带系挂点或生命线，临时用电开关箱漏电保护器和接零保护措施齐全，邻边洞口的安全防护设施完整，吊装等交叉作业对乙方作业安全的影响已消除。</w:t>
      </w:r>
    </w:p>
    <w:p w14:paraId="3442BDE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（3）甲方派出的协助乙方工作的辅助人员应经培训合格，并具备相应岗位经验和能力。包括但不限于起重吊装司机、起重信号工、司索工、电/气焊工、电工等特种作业人员应持证上岗。</w:t>
      </w:r>
    </w:p>
    <w:p w14:paraId="04D4CD31">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2.1.4  其他</w:t>
      </w:r>
    </w:p>
    <w:p w14:paraId="3A74979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（1）甲方应负责协调双方履行本合同时发生的所有外部关系，为乙方履行本合同提供所需的外部条件。</w:t>
      </w:r>
    </w:p>
    <w:p w14:paraId="1CC87B7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在现场调查作业范围内，由于非乙方自身原因而发生安全事故，致使乙方发生人身伤害、调查设备损坏或其他经济损失时，由甲方承担相应的民事责任。</w:t>
      </w:r>
    </w:p>
    <w:p w14:paraId="1ED54D8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（3）甲方应保护乙方的方案、报告、专利技术和合理化建议的知识产权。未经乙方书面同意，不得泄露、不得擅自修改、不得向与本项目无关的人员传送或转让、不得用于本合同外的项目。</w:t>
      </w:r>
    </w:p>
    <w:p w14:paraId="2338210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（4）甲方不能干预乙方正常的调查工作，不能明令或暗示乙方而影响调查工作的公正性和准确性。</w:t>
      </w:r>
    </w:p>
    <w:p w14:paraId="6CB4FC46">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  乙方的权利和义务</w:t>
      </w:r>
    </w:p>
    <w:p w14:paraId="17F9A59C">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2.2.1  人员要求</w:t>
      </w:r>
    </w:p>
    <w:p w14:paraId="0FCC8009">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（1）乙方应按本合同要求配备足够的调查人员开展调查工作，调查人员的资格必须符合法律法规、文件规定和标准规范的要求。</w:t>
      </w:r>
    </w:p>
    <w:p w14:paraId="5AB2BC5F">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（2）乙方的技术服务技术人员须具备相应的工程经验。如需要，乙方应向甲方提供相关评估技术服务合同或报告复印件。</w:t>
      </w:r>
    </w:p>
    <w:p w14:paraId="51DCDABD">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2.2.2  工作要求</w:t>
      </w:r>
    </w:p>
    <w:p w14:paraId="3FA1102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（1）乙方应按本合同要求完成技术服务工作以及其他由乙方负责的事宜。</w:t>
      </w:r>
    </w:p>
    <w:p w14:paraId="02DD183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（2）乙方应执行国家、行业、地方的各项安全法律法规、标准规范，以及甲方的安全管理规定。</w:t>
      </w:r>
    </w:p>
    <w:p w14:paraId="5C4383A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乙方人员进入作业现场内，应接受甲方组织的安全教育培训和作业前的安全技术交底，接受甲方对现场作业安全检查，遵从甲方依据现场风险状况做出的安全指令，但乙方有权利拒绝甲方违章冒险的作业指令。</w:t>
      </w:r>
    </w:p>
    <w:p w14:paraId="39A26EEE">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（4）乙方应对自身作业过程中存在的风险进行识别并采取有效控制措施降低风险，确保作业安全受控。</w:t>
      </w:r>
    </w:p>
    <w:p w14:paraId="592C446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（5）乙方用于调查的仪器设备应符合国家、行业和地方标准的要求，并对其安全性和可靠性负责。</w:t>
      </w:r>
    </w:p>
    <w:p w14:paraId="5B603B18">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2.2.3  其他</w:t>
      </w:r>
    </w:p>
    <w:p w14:paraId="1053A385">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在现场工作的乙方人员，应遵守甲方的安全保卫及其他有关的规章制度，承担其有关资料保密义务。</w:t>
      </w:r>
    </w:p>
    <w:p w14:paraId="466AB4BD">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在调查工作中，由于乙方自身原因发生安全事故，致使乙方人员人身伤害、调查设备损坏或造成经济损失时，由乙方承担责任。</w:t>
      </w:r>
    </w:p>
    <w:p w14:paraId="2412E4EA">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2.3  保密义务</w:t>
      </w:r>
    </w:p>
    <w:p w14:paraId="19C9283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w:t>
      </w:r>
      <w:r>
        <w:rPr>
          <w:rFonts w:hint="eastAsia" w:ascii="楷体" w:hAnsi="楷体" w:eastAsia="楷体" w:cs="楷体"/>
          <w:snapToGrid w:val="0"/>
          <w:color w:val="000000"/>
          <w:kern w:val="0"/>
          <w:sz w:val="24"/>
          <w:szCs w:val="24"/>
          <w:highlight w:val="none"/>
          <w:lang w:eastAsia="zh-CN"/>
        </w:rPr>
        <w:t>法律法规</w:t>
      </w:r>
      <w:r>
        <w:rPr>
          <w:rFonts w:hint="eastAsia" w:ascii="楷体" w:hAnsi="楷体" w:eastAsia="楷体" w:cs="楷体"/>
          <w:snapToGrid w:val="0"/>
          <w:color w:val="000000"/>
          <w:kern w:val="0"/>
          <w:sz w:val="24"/>
          <w:szCs w:val="24"/>
          <w:highlight w:val="none"/>
        </w:rPr>
        <w:t>另有规定或双方另有约定的除外。</w:t>
      </w:r>
    </w:p>
    <w:p w14:paraId="5C48B659">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2.4  工期顺延</w:t>
      </w:r>
    </w:p>
    <w:p w14:paraId="5131992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出现以下情况时，乙方工期可顺延并无需承担任何违约责任：</w:t>
      </w:r>
    </w:p>
    <w:p w14:paraId="13E1C9C8">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不可抗力；</w:t>
      </w:r>
    </w:p>
    <w:p w14:paraId="22496CD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影响调查正常安全开展的天气，如雷雨、台风等；</w:t>
      </w:r>
    </w:p>
    <w:p w14:paraId="1D3DFE64">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（3）现场不具备条件或甲方提供的资料不完整等；</w:t>
      </w:r>
    </w:p>
    <w:p w14:paraId="75B4364E">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（4）甲方不按本合同约定支付技术服务费用；</w:t>
      </w:r>
    </w:p>
    <w:p w14:paraId="0F5DE87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（5）</w:t>
      </w:r>
      <w:r>
        <w:rPr>
          <w:rFonts w:hint="eastAsia" w:ascii="楷体" w:hAnsi="楷体" w:eastAsia="楷体" w:cs="楷体"/>
          <w:snapToGrid w:val="0"/>
          <w:color w:val="000000"/>
          <w:kern w:val="0"/>
          <w:sz w:val="24"/>
          <w:szCs w:val="24"/>
          <w:highlight w:val="none"/>
        </w:rPr>
        <w:t>因政府部门或其他原因，导致施工现场停工；</w:t>
      </w:r>
    </w:p>
    <w:p w14:paraId="590D10B4">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（6）</w:t>
      </w:r>
      <w:r>
        <w:rPr>
          <w:rFonts w:hint="eastAsia" w:ascii="楷体" w:hAnsi="楷体" w:eastAsia="楷体" w:cs="楷体"/>
          <w:snapToGrid w:val="0"/>
          <w:color w:val="000000"/>
          <w:kern w:val="0"/>
          <w:sz w:val="24"/>
          <w:szCs w:val="24"/>
          <w:highlight w:val="none"/>
        </w:rPr>
        <w:t>其他。</w:t>
      </w:r>
    </w:p>
    <w:p w14:paraId="2DAE1265">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2.5  成果确认及验收支付</w:t>
      </w:r>
    </w:p>
    <w:p w14:paraId="6F68EB94">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2.5.1  </w:t>
      </w:r>
      <w:r>
        <w:rPr>
          <w:rFonts w:hint="eastAsia" w:ascii="楷体" w:hAnsi="楷体" w:eastAsia="楷体" w:cs="楷体"/>
          <w:snapToGrid w:val="0"/>
          <w:color w:val="000000"/>
          <w:kern w:val="0"/>
          <w:sz w:val="24"/>
          <w:szCs w:val="24"/>
          <w:highlight w:val="none"/>
        </w:rPr>
        <w:t>甲方应对乙方提交的报告进行</w:t>
      </w:r>
      <w:r>
        <w:rPr>
          <w:rFonts w:hint="eastAsia" w:ascii="楷体" w:hAnsi="楷体" w:eastAsia="楷体" w:cs="楷体"/>
          <w:snapToGrid w:val="0"/>
          <w:color w:val="000000"/>
          <w:kern w:val="0"/>
          <w:sz w:val="24"/>
          <w:szCs w:val="24"/>
          <w:highlight w:val="none"/>
          <w:lang w:eastAsia="zh-CN"/>
        </w:rPr>
        <w:t>验收</w:t>
      </w:r>
      <w:r>
        <w:rPr>
          <w:rFonts w:hint="eastAsia" w:ascii="楷体" w:hAnsi="楷体" w:eastAsia="楷体" w:cs="楷体"/>
          <w:snapToGrid w:val="0"/>
          <w:color w:val="000000"/>
          <w:kern w:val="0"/>
          <w:sz w:val="24"/>
          <w:szCs w:val="24"/>
          <w:highlight w:val="none"/>
        </w:rPr>
        <w:t>，对乙方按要求完成的工作量予以签字确认。</w:t>
      </w:r>
    </w:p>
    <w:p w14:paraId="14D870C1">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2.5.2  </w:t>
      </w:r>
      <w:r>
        <w:rPr>
          <w:rFonts w:hint="eastAsia" w:ascii="楷体" w:hAnsi="楷体" w:eastAsia="楷体" w:cs="楷体"/>
          <w:snapToGrid w:val="0"/>
          <w:color w:val="000000"/>
          <w:kern w:val="0"/>
          <w:sz w:val="24"/>
          <w:szCs w:val="24"/>
          <w:highlight w:val="none"/>
        </w:rPr>
        <w:t>若工作内容或工作量等要求发生变化时，甲方应及时以书面形式通知乙方，否则乙方仍按原要求进行技术服务工作，甲方应认可乙方在接到书面通知前所产生的工作量。</w:t>
      </w:r>
    </w:p>
    <w:p w14:paraId="34A3500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上述变化导致技术服务费用减少的，应征得乙方同意，否则乙方有权按本合同的约定完成工程技术服务工作并收取费用。</w:t>
      </w:r>
    </w:p>
    <w:p w14:paraId="3157AC05">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2.5.3  </w:t>
      </w:r>
      <w:r>
        <w:rPr>
          <w:rFonts w:hint="eastAsia" w:ascii="楷体" w:hAnsi="楷体" w:eastAsia="楷体" w:cs="楷体"/>
          <w:snapToGrid w:val="0"/>
          <w:color w:val="000000"/>
          <w:kern w:val="0"/>
          <w:sz w:val="24"/>
          <w:szCs w:val="24"/>
          <w:highlight w:val="none"/>
        </w:rPr>
        <w:t>甲方应按约定的期限和方式对乙方技术服务工作进行验收。</w:t>
      </w:r>
    </w:p>
    <w:p w14:paraId="2C3F36A8">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2.5.4  </w:t>
      </w:r>
      <w:r>
        <w:rPr>
          <w:rFonts w:hint="eastAsia" w:ascii="楷体" w:hAnsi="楷体" w:eastAsia="楷体" w:cs="楷体"/>
          <w:snapToGrid w:val="0"/>
          <w:color w:val="000000"/>
          <w:kern w:val="0"/>
          <w:sz w:val="24"/>
          <w:szCs w:val="24"/>
          <w:highlight w:val="none"/>
        </w:rPr>
        <w:t>甲方应按专用条款的约定支付技术服务费用。</w:t>
      </w:r>
    </w:p>
    <w:p w14:paraId="220F98E2">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  违约责任</w:t>
      </w:r>
    </w:p>
    <w:p w14:paraId="212822AB">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2.6.1</w:t>
      </w:r>
      <w:r>
        <w:rPr>
          <w:rFonts w:hint="eastAsia" w:ascii="楷体" w:hAnsi="楷体" w:eastAsia="楷体" w:cs="楷体"/>
          <w:snapToGrid w:val="0"/>
          <w:color w:val="000000"/>
          <w:kern w:val="0"/>
          <w:sz w:val="24"/>
          <w:szCs w:val="24"/>
          <w:highlight w:val="none"/>
        </w:rPr>
        <w:t xml:space="preserve">  因甲方提供的文件资料错误或不准确、不及时，或现场条件不满足调查要求，以及非乙方原因而致使调查工作无法继续进行的，乙方有权暂停调查工作。造成工期延误或返工的（除工期顺延外），甲方应向乙方支付相关费用；造成质量安全事故的，甲方应承担相应的法律责任和经济责任。</w:t>
      </w:r>
    </w:p>
    <w:p w14:paraId="5159AB07">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2.6.2</w:t>
      </w:r>
      <w:r>
        <w:rPr>
          <w:rFonts w:hint="eastAsia" w:ascii="楷体" w:hAnsi="楷体" w:eastAsia="楷体" w:cs="楷体"/>
          <w:snapToGrid w:val="0"/>
          <w:color w:val="000000"/>
          <w:kern w:val="0"/>
          <w:sz w:val="24"/>
          <w:szCs w:val="24"/>
          <w:highlight w:val="none"/>
        </w:rPr>
        <w:t xml:space="preserve">  甲方未按本合同约定及时支付技术服务费用的，乙方有权暂停工作或不提供技术服务报告。甲方还应</w:t>
      </w:r>
      <w:r>
        <w:rPr>
          <w:rFonts w:hint="eastAsia" w:ascii="楷体" w:hAnsi="楷体" w:eastAsia="楷体" w:cs="楷体"/>
          <w:snapToGrid w:val="0"/>
          <w:color w:val="000000"/>
          <w:kern w:val="0"/>
          <w:sz w:val="24"/>
          <w:szCs w:val="24"/>
          <w:highlight w:val="none"/>
          <w:lang w:eastAsia="zh-Hans"/>
        </w:rPr>
        <w:t>按专用条款约定</w:t>
      </w:r>
      <w:r>
        <w:rPr>
          <w:rFonts w:hint="eastAsia" w:ascii="楷体" w:hAnsi="楷体" w:eastAsia="楷体" w:cs="楷体"/>
          <w:snapToGrid w:val="0"/>
          <w:color w:val="000000"/>
          <w:kern w:val="0"/>
          <w:sz w:val="24"/>
          <w:szCs w:val="24"/>
          <w:highlight w:val="none"/>
        </w:rPr>
        <w:t>向乙方支付逾期违约金。</w:t>
      </w:r>
    </w:p>
    <w:p w14:paraId="5E27201A">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2.6.3  </w:t>
      </w:r>
      <w:r>
        <w:rPr>
          <w:rFonts w:hint="eastAsia" w:ascii="楷体" w:hAnsi="楷体" w:eastAsia="楷体" w:cs="楷体"/>
          <w:snapToGrid w:val="0"/>
          <w:color w:val="000000"/>
          <w:kern w:val="0"/>
          <w:sz w:val="24"/>
          <w:szCs w:val="24"/>
          <w:highlight w:val="none"/>
        </w:rPr>
        <w:t>因乙方原因造成技术服务工期延误的，乙方应承担违约责任。违约金按专用条款约定。</w:t>
      </w:r>
    </w:p>
    <w:p w14:paraId="1FAE6BA7">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2.6.4</w:t>
      </w:r>
      <w:r>
        <w:rPr>
          <w:rFonts w:hint="eastAsia" w:ascii="楷体" w:hAnsi="楷体" w:eastAsia="楷体" w:cs="楷体"/>
          <w:snapToGrid w:val="0"/>
          <w:color w:val="000000"/>
          <w:kern w:val="0"/>
          <w:sz w:val="24"/>
          <w:szCs w:val="24"/>
          <w:highlight w:val="none"/>
        </w:rPr>
        <w:t xml:space="preserve">  因乙方原因造成技术服务报告不符合标准规范及本合同要求的，乙方应在甲方要求的时间内无偿给予修正、补充和完善。</w:t>
      </w:r>
    </w:p>
    <w:p w14:paraId="4B630101">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2.6.5</w:t>
      </w:r>
      <w:r>
        <w:rPr>
          <w:rFonts w:hint="eastAsia" w:ascii="楷体" w:hAnsi="楷体" w:eastAsia="楷体" w:cs="楷体"/>
          <w:snapToGrid w:val="0"/>
          <w:color w:val="000000"/>
          <w:kern w:val="0"/>
          <w:sz w:val="24"/>
          <w:szCs w:val="24"/>
          <w:highlight w:val="none"/>
        </w:rPr>
        <w:t xml:space="preserve">  因出现不可抗力因素致使技术服务工作无法继续的，工期可以顺延。双方承担各自的损失，且不得向对方索赔。</w:t>
      </w:r>
    </w:p>
    <w:p w14:paraId="4CCF89E5">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2.6.6</w:t>
      </w:r>
      <w:r>
        <w:rPr>
          <w:rFonts w:hint="eastAsia" w:ascii="楷体" w:hAnsi="楷体" w:eastAsia="楷体" w:cs="楷体"/>
          <w:snapToGrid w:val="0"/>
          <w:color w:val="000000"/>
          <w:kern w:val="0"/>
          <w:sz w:val="24"/>
          <w:szCs w:val="24"/>
          <w:highlight w:val="none"/>
        </w:rPr>
        <w:t xml:space="preserve">  在本合同正常履行期间单方面要求解除或终止本合同的，提出解除或终止本合同的一方应向另一方支付违约金。</w:t>
      </w:r>
    </w:p>
    <w:p w14:paraId="6842DEAC">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2.6.7</w:t>
      </w:r>
      <w:r>
        <w:rPr>
          <w:rFonts w:hint="eastAsia" w:ascii="楷体" w:hAnsi="楷体" w:eastAsia="楷体" w:cs="楷体"/>
          <w:snapToGrid w:val="0"/>
          <w:color w:val="000000"/>
          <w:kern w:val="0"/>
          <w:sz w:val="24"/>
          <w:szCs w:val="24"/>
          <w:highlight w:val="none"/>
        </w:rPr>
        <w:t xml:space="preserve">  本合同任何一方向另一方要求支付违约金的，应在违约事件发生后15个工作日内以书面形式提出。因本合同一方过错造成本合同另一方经济损失的，守约方要求违约方支付的违约金以本合同额的20%为上限。</w:t>
      </w:r>
    </w:p>
    <w:p w14:paraId="2D98DEE4">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2.7　通知</w:t>
      </w:r>
    </w:p>
    <w:p w14:paraId="5D8AD56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2.7.1根据本合同需要一方向另一方发出的全部通知以及双方的文件往来及与本合同有关的通知和要求等，必须用书面形式，可采用 （书信、传真、电报、当面送交等）方式传递。以上方式无法送达的，方可采取公告送达的方式。</w:t>
      </w:r>
    </w:p>
    <w:p w14:paraId="4B70315F">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2.7.2一方变更通知或通讯地址，应自变更之日起三日内，以书面形式通知对方；否则，由未通知方承担由此而引起的相关责任。</w:t>
      </w:r>
    </w:p>
    <w:p w14:paraId="262DDD90">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2.8  合同的变更、解除与终止</w:t>
      </w:r>
    </w:p>
    <w:p w14:paraId="50C7087F">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2.8.1  合同的变更</w:t>
      </w:r>
    </w:p>
    <w:p w14:paraId="4D11C190">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本合同的变更应当以书面形式进行。任何一方以书面形式提出变更本合同的请求时，双方经协商一致后可进行变更。</w:t>
      </w:r>
    </w:p>
    <w:p w14:paraId="1B6E13DF">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本合同履行过程中，当法律法规、文件规定、标准规范发生变化而导致检测要求变化的，双方应通过协商进行变更。</w:t>
      </w:r>
    </w:p>
    <w:p w14:paraId="0002D35F">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2.8.2  合同的解除和终止</w:t>
      </w:r>
    </w:p>
    <w:p w14:paraId="50CF4D1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（1）甲方与乙方经协商一致，可以解除本合同。</w:t>
      </w:r>
    </w:p>
    <w:p w14:paraId="1058A52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（2）有下列情形之一的，合同当事人一方或双方可以解除本合同：</w:t>
      </w:r>
    </w:p>
    <w:p w14:paraId="0340EE3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①因不可抗力致使本合同无法履行；</w:t>
      </w:r>
    </w:p>
    <w:p w14:paraId="7B184D15">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②因一方违约致使本合同无法实际履行或实际履行已无必要；</w:t>
      </w:r>
    </w:p>
    <w:p w14:paraId="24F1028D">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③任何一方迟延履行其主要义务，经另一方催告后在合理期限内仍未履行。</w:t>
      </w:r>
    </w:p>
    <w:p w14:paraId="5BB4CB0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（3）</w:t>
      </w:r>
      <w:r>
        <w:rPr>
          <w:rFonts w:hint="eastAsia" w:ascii="楷体" w:hAnsi="楷体" w:eastAsia="楷体" w:cs="楷体"/>
          <w:snapToGrid w:val="0"/>
          <w:color w:val="000000"/>
          <w:kern w:val="0"/>
          <w:sz w:val="24"/>
          <w:szCs w:val="24"/>
          <w:highlight w:val="none"/>
        </w:rPr>
        <w:t>因甲方提出终止或解除本合同的，甲方应按照本合同约定根据乙方实际完成的工作量支付乙方检测费用和违约金。</w:t>
      </w:r>
    </w:p>
    <w:p w14:paraId="3E8E4FCE">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（4）</w:t>
      </w:r>
      <w:r>
        <w:rPr>
          <w:rFonts w:hint="eastAsia" w:ascii="楷体" w:hAnsi="楷体" w:eastAsia="楷体" w:cs="楷体"/>
          <w:snapToGrid w:val="0"/>
          <w:color w:val="000000"/>
          <w:kern w:val="0"/>
          <w:sz w:val="24"/>
          <w:szCs w:val="24"/>
          <w:highlight w:val="none"/>
        </w:rPr>
        <w:t>本合同的解除或终止，</w:t>
      </w:r>
      <w:r>
        <w:rPr>
          <w:rFonts w:hint="eastAsia" w:ascii="楷体" w:hAnsi="楷体" w:eastAsia="楷体" w:cs="楷体"/>
          <w:snapToGrid w:val="0"/>
          <w:color w:val="000000"/>
          <w:kern w:val="0"/>
          <w:sz w:val="24"/>
          <w:szCs w:val="24"/>
          <w:highlight w:val="none"/>
          <w:lang w:eastAsia="zh-CN"/>
        </w:rPr>
        <w:t>以</w:t>
      </w:r>
      <w:r>
        <w:rPr>
          <w:rFonts w:hint="eastAsia" w:ascii="楷体" w:hAnsi="楷体" w:eastAsia="楷体" w:cs="楷体"/>
          <w:snapToGrid w:val="0"/>
          <w:color w:val="000000"/>
          <w:kern w:val="0"/>
          <w:sz w:val="24"/>
          <w:szCs w:val="24"/>
          <w:highlight w:val="none"/>
        </w:rPr>
        <w:t>双方签订的补充合同为准。</w:t>
      </w:r>
    </w:p>
    <w:p w14:paraId="1E964FC8">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（5）</w:t>
      </w:r>
      <w:r>
        <w:rPr>
          <w:rFonts w:hint="eastAsia" w:ascii="楷体" w:hAnsi="楷体" w:eastAsia="楷体" w:cs="楷体"/>
          <w:snapToGrid w:val="0"/>
          <w:color w:val="000000"/>
          <w:kern w:val="0"/>
          <w:sz w:val="24"/>
          <w:szCs w:val="24"/>
          <w:highlight w:val="none"/>
        </w:rPr>
        <w:t>甲乙双方履行完本合同约定，本合同自行终止。</w:t>
      </w:r>
    </w:p>
    <w:p w14:paraId="1086A879">
      <w:pPr>
        <w:spacing w:before="120" w:beforeLines="50" w:line="520" w:lineRule="atLeast"/>
        <w:rPr>
          <w:rFonts w:hint="eastAsia" w:ascii="楷体" w:hAnsi="楷体" w:eastAsia="楷体" w:cs="楷体"/>
          <w:b/>
          <w:snapToGrid w:val="0"/>
          <w:color w:val="000000"/>
          <w:kern w:val="0"/>
          <w:sz w:val="24"/>
          <w:szCs w:val="24"/>
          <w:highlight w:val="none"/>
        </w:rPr>
      </w:pPr>
      <w:bookmarkStart w:id="14" w:name="_Toc469384398"/>
      <w:r>
        <w:rPr>
          <w:rFonts w:hint="eastAsia" w:ascii="楷体" w:hAnsi="楷体" w:eastAsia="楷体" w:cs="楷体"/>
          <w:b/>
          <w:snapToGrid w:val="0"/>
          <w:color w:val="000000"/>
          <w:kern w:val="0"/>
          <w:sz w:val="24"/>
          <w:szCs w:val="24"/>
          <w:highlight w:val="none"/>
        </w:rPr>
        <w:t>2.9  争议解决</w:t>
      </w:r>
      <w:bookmarkEnd w:id="14"/>
    </w:p>
    <w:p w14:paraId="0C4CE819">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bookmarkStart w:id="15" w:name="_Toc469384399"/>
      <w:r>
        <w:rPr>
          <w:rFonts w:hint="eastAsia" w:ascii="楷体" w:hAnsi="楷体" w:eastAsia="楷体" w:cs="楷体"/>
          <w:b/>
          <w:snapToGrid w:val="0"/>
          <w:color w:val="000000"/>
          <w:kern w:val="0"/>
          <w:sz w:val="24"/>
          <w:szCs w:val="24"/>
          <w:highlight w:val="none"/>
        </w:rPr>
        <w:t>2.9.1  协商</w:t>
      </w:r>
      <w:bookmarkEnd w:id="15"/>
    </w:p>
    <w:p w14:paraId="53D07AE8">
      <w:pPr>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在本合同履行过程中，若双方之间因本合同的签订、解释或履行发生分歧或争议，或有任何未尽事宜，均应协商解决。</w:t>
      </w:r>
    </w:p>
    <w:p w14:paraId="700D2E0D">
      <w:pPr>
        <w:spacing w:before="120" w:beforeLines="50" w:line="520" w:lineRule="atLeast"/>
        <w:ind w:firstLine="482" w:firstLineChars="200"/>
        <w:rPr>
          <w:rFonts w:hint="eastAsia" w:ascii="楷体" w:hAnsi="楷体" w:eastAsia="楷体" w:cs="楷体"/>
          <w:b/>
          <w:snapToGrid w:val="0"/>
          <w:color w:val="000000"/>
          <w:kern w:val="0"/>
          <w:sz w:val="24"/>
          <w:szCs w:val="24"/>
          <w:highlight w:val="none"/>
        </w:rPr>
      </w:pPr>
      <w:bookmarkStart w:id="16" w:name="_Toc469384400"/>
      <w:r>
        <w:rPr>
          <w:rFonts w:hint="eastAsia" w:ascii="楷体" w:hAnsi="楷体" w:eastAsia="楷体" w:cs="楷体"/>
          <w:b/>
          <w:snapToGrid w:val="0"/>
          <w:color w:val="000000"/>
          <w:kern w:val="0"/>
          <w:sz w:val="24"/>
          <w:szCs w:val="24"/>
          <w:highlight w:val="none"/>
        </w:rPr>
        <w:t>2.9.2  诉讼</w:t>
      </w:r>
      <w:bookmarkEnd w:id="16"/>
    </w:p>
    <w:p w14:paraId="483D813A">
      <w:pPr>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协商不成时，双方均有权向本合同涉及项目所在地有管辖权的人民法院提起诉讼。</w:t>
      </w:r>
    </w:p>
    <w:p w14:paraId="4569E6EC">
      <w:pPr>
        <w:spacing w:after="360" w:afterLines="150" w:line="520" w:lineRule="atLeast"/>
        <w:jc w:val="center"/>
        <w:rPr>
          <w:rFonts w:hint="eastAsia" w:ascii="楷体" w:hAnsi="楷体" w:eastAsia="楷体" w:cs="楷体"/>
          <w:b/>
          <w:snapToGrid w:val="0"/>
          <w:color w:val="000000"/>
          <w:kern w:val="0"/>
          <w:sz w:val="24"/>
          <w:szCs w:val="24"/>
          <w:highlight w:val="none"/>
        </w:rPr>
      </w:pPr>
    </w:p>
    <w:p w14:paraId="28C5A157">
      <w:pPr>
        <w:jc w:val="lef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br w:type="page"/>
      </w:r>
    </w:p>
    <w:p w14:paraId="3225FA94">
      <w:pPr>
        <w:pStyle w:val="34"/>
        <w:rPr>
          <w:rFonts w:hint="eastAsia" w:ascii="楷体" w:hAnsi="楷体" w:eastAsia="楷体" w:cs="楷体"/>
          <w:highlight w:val="none"/>
        </w:rPr>
      </w:pPr>
    </w:p>
    <w:p w14:paraId="7B2B2DC9">
      <w:pPr>
        <w:spacing w:after="360" w:afterLines="150" w:line="520" w:lineRule="atLeast"/>
        <w:jc w:val="center"/>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第三部分 专用条款</w:t>
      </w:r>
    </w:p>
    <w:p w14:paraId="7A9F68BE">
      <w:pPr>
        <w:spacing w:before="120" w:beforeLines="50" w:line="530" w:lineRule="exac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  甲方的权利和义务</w:t>
      </w:r>
    </w:p>
    <w:p w14:paraId="04D91D55">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3.1.1  人员安排</w:t>
      </w:r>
    </w:p>
    <w:p w14:paraId="641EB737">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甲方选派</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 xml:space="preserve">      </w:t>
      </w:r>
      <w:r>
        <w:rPr>
          <w:rFonts w:hint="eastAsia" w:ascii="楷体" w:hAnsi="楷体" w:eastAsia="楷体" w:cs="楷体"/>
          <w:snapToGrid w:val="0"/>
          <w:color w:val="000000"/>
          <w:kern w:val="0"/>
          <w:sz w:val="24"/>
          <w:szCs w:val="24"/>
          <w:highlight w:val="none"/>
        </w:rPr>
        <w:t>（联系电话：</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）为本项目负责人，负责本合同履行的有关事项，包括但不限于布置检测任务、指挥联络、现场协助、确认检测工作量、支付费用等工作。</w:t>
      </w:r>
    </w:p>
    <w:p w14:paraId="76912C09">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3.1.2  提供资料及工作条件</w:t>
      </w:r>
    </w:p>
    <w:p w14:paraId="1355D35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甲方应提前【2】日向乙方提供与本合同检测业务有关的工程资料，并对其真实性、准确性、合规性负责：</w:t>
      </w:r>
    </w:p>
    <w:p w14:paraId="3D0EA0F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甲方应为乙方完成检测工作提供必要的现场条件，及时为乙方解决检测过程中出现的问题，并承担其费用。</w:t>
      </w:r>
    </w:p>
    <w:p w14:paraId="1D60B149">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具体包含：</w:t>
      </w:r>
    </w:p>
    <w:p w14:paraId="314F7D39">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技术资料：提供检测图纸、工程相关资料、相关材料信息、检测指标等。</w:t>
      </w:r>
    </w:p>
    <w:p w14:paraId="21B61966">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检测委托单。</w:t>
      </w:r>
    </w:p>
    <w:p w14:paraId="27AA7024">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（3）</w:t>
      </w:r>
      <w:r>
        <w:rPr>
          <w:rFonts w:hint="eastAsia" w:ascii="楷体" w:hAnsi="楷体" w:eastAsia="楷体" w:cs="楷体"/>
          <w:snapToGrid w:val="0"/>
          <w:color w:val="000000"/>
          <w:kern w:val="0"/>
          <w:sz w:val="24"/>
          <w:szCs w:val="24"/>
          <w:highlight w:val="none"/>
        </w:rPr>
        <w:t>提供工作条件：</w:t>
      </w:r>
    </w:p>
    <w:p w14:paraId="5239B58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      1.负责试件构件加工、运输、试件安装、封边、调整、拆卸。</w:t>
      </w:r>
    </w:p>
    <w:p w14:paraId="441D1E48">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2.协调各相关单位有关事务。</w:t>
      </w:r>
    </w:p>
    <w:p w14:paraId="6A8F2FE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（4）在检测过程中，允许乙方根据工程实际情况与甲方协商适当调整方案。</w:t>
      </w:r>
    </w:p>
    <w:p w14:paraId="237FDC87">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（5）按合同要求及时向乙方支付技术服务费。</w:t>
      </w:r>
    </w:p>
    <w:p w14:paraId="269BEA67">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（6）检测完成后三日内将所有权归甲方的材料运离乙方场地。</w:t>
      </w:r>
    </w:p>
    <w:p w14:paraId="7AC1408A">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3.1.3  成果确认及验收</w:t>
      </w:r>
    </w:p>
    <w:p w14:paraId="033747AF">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（1）检测报告交付日期： 检测报告交付日期为满足以下条件后十五个工作日内（节假日顺延）： </w:t>
      </w:r>
    </w:p>
    <w:p w14:paraId="559BDBDA">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A</w:t>
      </w:r>
      <w:r>
        <w:rPr>
          <w:rFonts w:hint="eastAsia" w:ascii="楷体" w:hAnsi="楷体" w:eastAsia="楷体" w:cs="楷体"/>
          <w:snapToGrid w:val="0"/>
          <w:color w:val="000000"/>
          <w:kern w:val="0"/>
          <w:sz w:val="24"/>
          <w:szCs w:val="24"/>
          <w:highlight w:val="none"/>
          <w:lang w:eastAsia="zh-CN"/>
        </w:rPr>
        <w:t>.</w:t>
      </w:r>
      <w:r>
        <w:rPr>
          <w:rFonts w:hint="eastAsia" w:ascii="楷体" w:hAnsi="楷体" w:eastAsia="楷体" w:cs="楷体"/>
          <w:snapToGrid w:val="0"/>
          <w:color w:val="000000"/>
          <w:kern w:val="0"/>
          <w:sz w:val="24"/>
          <w:szCs w:val="24"/>
          <w:highlight w:val="none"/>
        </w:rPr>
        <w:t>检测完毕；</w:t>
      </w:r>
    </w:p>
    <w:p w14:paraId="4E0E467C">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B</w:t>
      </w:r>
      <w:r>
        <w:rPr>
          <w:rFonts w:hint="eastAsia" w:ascii="楷体" w:hAnsi="楷体" w:eastAsia="楷体" w:cs="楷体"/>
          <w:snapToGrid w:val="0"/>
          <w:color w:val="000000"/>
          <w:kern w:val="0"/>
          <w:sz w:val="24"/>
          <w:szCs w:val="24"/>
          <w:highlight w:val="none"/>
          <w:lang w:eastAsia="zh-CN"/>
        </w:rPr>
        <w:t>.</w:t>
      </w:r>
      <w:r>
        <w:rPr>
          <w:rFonts w:hint="eastAsia" w:ascii="楷体" w:hAnsi="楷体" w:eastAsia="楷体" w:cs="楷体"/>
          <w:snapToGrid w:val="0"/>
          <w:color w:val="000000"/>
          <w:kern w:val="0"/>
          <w:sz w:val="24"/>
          <w:szCs w:val="24"/>
          <w:highlight w:val="none"/>
        </w:rPr>
        <w:t>检测报告所需资料齐全；</w:t>
      </w:r>
    </w:p>
    <w:p w14:paraId="15035930">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若有异议的，在收到报告之日起15日内以书面形式向乙方提出。</w:t>
      </w:r>
    </w:p>
    <w:p w14:paraId="5D6217F0">
      <w:pPr>
        <w:spacing w:before="120" w:beforeLines="50" w:line="530" w:lineRule="exac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3.2  乙方的权利和义务</w:t>
      </w:r>
    </w:p>
    <w:p w14:paraId="622D2DA8">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3.2.1  人员配备</w:t>
      </w:r>
    </w:p>
    <w:p w14:paraId="240F54B7">
      <w:p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color w:val="000000"/>
          <w:kern w:val="0"/>
          <w:sz w:val="24"/>
          <w:szCs w:val="24"/>
          <w:highlight w:val="none"/>
        </w:rPr>
        <w:t>乙方选派</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 xml:space="preserve">    </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（联系电话：</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 xml:space="preserve">        </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）为本项目负责人，负责与甲方派出的项目负责人对接，协调处理与检测服务有关</w:t>
      </w:r>
      <w:r>
        <w:rPr>
          <w:rFonts w:hint="eastAsia" w:ascii="楷体" w:hAnsi="楷体" w:eastAsia="楷体" w:cs="楷体"/>
          <w:snapToGrid w:val="0"/>
          <w:kern w:val="0"/>
          <w:sz w:val="24"/>
          <w:szCs w:val="24"/>
          <w:highlight w:val="none"/>
        </w:rPr>
        <w:t>事宜。</w:t>
      </w:r>
    </w:p>
    <w:p w14:paraId="6A8EA2D1">
      <w:pPr>
        <w:snapToGrid w:val="0"/>
        <w:spacing w:line="530" w:lineRule="exact"/>
        <w:ind w:firstLine="482" w:firstLineChars="200"/>
        <w:contextualSpacing/>
        <w:rPr>
          <w:rFonts w:hint="eastAsia" w:ascii="楷体" w:hAnsi="楷体" w:eastAsia="楷体" w:cs="楷体"/>
          <w:b/>
          <w:snapToGrid w:val="0"/>
          <w:kern w:val="0"/>
          <w:sz w:val="24"/>
          <w:szCs w:val="24"/>
          <w:highlight w:val="none"/>
        </w:rPr>
      </w:pPr>
      <w:r>
        <w:rPr>
          <w:rFonts w:hint="eastAsia" w:ascii="楷体" w:hAnsi="楷体" w:eastAsia="楷体" w:cs="楷体"/>
          <w:b/>
          <w:snapToGrid w:val="0"/>
          <w:kern w:val="0"/>
          <w:sz w:val="24"/>
          <w:szCs w:val="24"/>
          <w:highlight w:val="none"/>
        </w:rPr>
        <w:t>3.2.2  检测成果</w:t>
      </w:r>
    </w:p>
    <w:p w14:paraId="13F01518">
      <w:p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（1）乙方在规定时间内出具符合国家、地方或行业标准规范的技术服务报告。</w:t>
      </w:r>
    </w:p>
    <w:p w14:paraId="55C54D0D">
      <w:p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若以上规范或标准有更新，以最新规范或标准为准。</w:t>
      </w:r>
    </w:p>
    <w:p w14:paraId="4380F0A0">
      <w:pPr>
        <w:numPr>
          <w:ilvl w:val="0"/>
          <w:numId w:val="5"/>
        </w:num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在单项（或综合）检测完成后，乙方按照标准、规范及有关要求出具检测报告</w:t>
      </w:r>
      <w:r>
        <w:rPr>
          <w:rFonts w:hint="eastAsia" w:ascii="楷体" w:hAnsi="楷体" w:eastAsia="楷体" w:cs="楷体"/>
          <w:snapToGrid w:val="0"/>
          <w:kern w:val="0"/>
          <w:sz w:val="24"/>
          <w:szCs w:val="24"/>
          <w:highlight w:val="none"/>
          <w:u w:val="single"/>
        </w:rPr>
        <w:t xml:space="preserve">  壹  </w:t>
      </w:r>
      <w:r>
        <w:rPr>
          <w:rFonts w:hint="eastAsia" w:ascii="楷体" w:hAnsi="楷体" w:eastAsia="楷体" w:cs="楷体"/>
          <w:snapToGrid w:val="0"/>
          <w:kern w:val="0"/>
          <w:sz w:val="24"/>
          <w:szCs w:val="24"/>
          <w:highlight w:val="none"/>
        </w:rPr>
        <w:t>式</w:t>
      </w:r>
      <w:r>
        <w:rPr>
          <w:rFonts w:hint="eastAsia" w:ascii="楷体" w:hAnsi="楷体" w:eastAsia="楷体" w:cs="楷体"/>
          <w:snapToGrid w:val="0"/>
          <w:kern w:val="0"/>
          <w:sz w:val="24"/>
          <w:szCs w:val="24"/>
          <w:highlight w:val="none"/>
          <w:u w:val="single"/>
        </w:rPr>
        <w:t xml:space="preserve">  叁  </w:t>
      </w:r>
      <w:r>
        <w:rPr>
          <w:rFonts w:hint="eastAsia" w:ascii="楷体" w:hAnsi="楷体" w:eastAsia="楷体" w:cs="楷体"/>
          <w:snapToGrid w:val="0"/>
          <w:kern w:val="0"/>
          <w:sz w:val="24"/>
          <w:szCs w:val="24"/>
          <w:highlight w:val="none"/>
        </w:rPr>
        <w:t>份 。</w:t>
      </w:r>
    </w:p>
    <w:p w14:paraId="17BDDBF5">
      <w:pPr>
        <w:numPr>
          <w:ilvl w:val="-1"/>
          <w:numId w:val="0"/>
        </w:numPr>
        <w:tabs>
          <w:tab w:val="left" w:pos="420"/>
          <w:tab w:val="left" w:pos="630"/>
        </w:tabs>
        <w:adjustRightInd w:val="0"/>
        <w:snapToGrid w:val="0"/>
        <w:spacing w:line="530" w:lineRule="exact"/>
        <w:ind w:firstLine="240" w:firstLineChars="100"/>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（3）若甲方对检测报告存在异议，乙方应在接到甲方书面通知后10日内给予修改或补充，直至符合合同要求，相关付款时间相应顺延。</w:t>
      </w:r>
    </w:p>
    <w:p w14:paraId="2E7CB49E">
      <w:pPr>
        <w:snapToGrid w:val="0"/>
        <w:spacing w:line="530" w:lineRule="exact"/>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3.3  违约金的计算</w:t>
      </w:r>
    </w:p>
    <w:p w14:paraId="3AB473D2">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3.3.1甲方违约责任</w:t>
      </w:r>
    </w:p>
    <w:p w14:paraId="3B8FC365">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（1）无正当理由不按时向乙方支付合同款项，甲方应按应付款额*延期时间（天）*0.1%向乙方支付违约金，最高不超过合同额20%，超过30天的，乙方有权解除合同，甲方应向乙方支付违约金并赔偿乙方损失。</w:t>
      </w:r>
    </w:p>
    <w:p w14:paraId="7FF35AF5">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甲方违反合同约定，拒绝提供技术资料或工作条件或未按乙方要求配合开展工作，导致乙方无法按期完成并提交成果的，乙方有权按延误的时间予以顺延检测工期。甲方无正当理由未配合乙方工作导致项目停滞达30天的，乙方有权解除合同，甲方应按合同金额的20%向乙方支付违约金并赔偿乙方损失。</w:t>
      </w:r>
    </w:p>
    <w:p w14:paraId="2199BA71">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3.3.2乙方违约责任</w:t>
      </w:r>
    </w:p>
    <w:p w14:paraId="6330BE71">
      <w:pPr>
        <w:numPr>
          <w:ilvl w:val="0"/>
          <w:numId w:val="6"/>
        </w:num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乙方如因自身原因延期完成的，乙方每延误一日需向甲方支付合同金额 1‰ 的违约金</w:t>
      </w:r>
      <w:r>
        <w:rPr>
          <w:rFonts w:hint="eastAsia" w:ascii="楷体" w:hAnsi="楷体" w:eastAsia="楷体" w:cs="楷体"/>
          <w:snapToGrid w:val="0"/>
          <w:color w:val="000000"/>
          <w:kern w:val="0"/>
          <w:sz w:val="24"/>
          <w:szCs w:val="24"/>
          <w:highlight w:val="none"/>
          <w:lang w:eastAsia="zh-CN"/>
        </w:rPr>
        <w:t>（不</w:t>
      </w:r>
      <w:r>
        <w:rPr>
          <w:rFonts w:hint="eastAsia" w:ascii="楷体" w:hAnsi="楷体" w:eastAsia="楷体" w:cs="楷体"/>
          <w:snapToGrid w:val="0"/>
          <w:color w:val="000000"/>
          <w:kern w:val="0"/>
          <w:sz w:val="24"/>
          <w:szCs w:val="24"/>
          <w:highlight w:val="none"/>
        </w:rPr>
        <w:t>排除合同另行约定或经双方协商和不可抗力导致的工期顺延），最高不</w:t>
      </w:r>
      <w:r>
        <w:rPr>
          <w:rFonts w:hint="eastAsia" w:ascii="楷体" w:hAnsi="楷体" w:eastAsia="楷体" w:cs="楷体"/>
          <w:snapToGrid w:val="0"/>
          <w:color w:val="000000"/>
          <w:kern w:val="0"/>
          <w:sz w:val="24"/>
          <w:szCs w:val="24"/>
          <w:highlight w:val="none"/>
          <w:lang w:eastAsia="zh-CN"/>
        </w:rPr>
        <w:t>超过</w:t>
      </w:r>
      <w:r>
        <w:rPr>
          <w:rFonts w:hint="eastAsia" w:ascii="楷体" w:hAnsi="楷体" w:eastAsia="楷体" w:cs="楷体"/>
          <w:snapToGrid w:val="0"/>
          <w:color w:val="000000"/>
          <w:kern w:val="0"/>
          <w:sz w:val="24"/>
          <w:szCs w:val="24"/>
          <w:highlight w:val="none"/>
        </w:rPr>
        <w:t>合同金额的 20% ；</w:t>
      </w:r>
    </w:p>
    <w:p w14:paraId="7DAB41FF">
      <w:pPr>
        <w:numPr>
          <w:ilvl w:val="0"/>
          <w:numId w:val="6"/>
        </w:num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如因乙方原因导致技术服务报告不符合规范标准或内容不准确，导致甲方损失的，甲方有权单方解除合同，要求乙方退还已支付的全部费用，并要求乙方按照合同总金额的30%向甲方支付违约金，乙方还应赔偿甲方因此产生的全部其他损失，包括但不限于项目延误损失、经济损失、第三方索赔及相关费用。</w:t>
      </w:r>
    </w:p>
    <w:p w14:paraId="2148EA7A">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w:t>
      </w:r>
      <w:r>
        <w:rPr>
          <w:rFonts w:hint="eastAsia" w:ascii="楷体" w:hAnsi="楷体" w:eastAsia="楷体" w:cs="楷体"/>
          <w:snapToGrid w:val="0"/>
          <w:color w:val="000000"/>
          <w:kern w:val="0"/>
          <w:sz w:val="24"/>
          <w:szCs w:val="24"/>
          <w:highlight w:val="none"/>
          <w:lang w:val="en-US" w:eastAsia="zh-CN"/>
        </w:rPr>
        <w:t>3</w:t>
      </w:r>
      <w:r>
        <w:rPr>
          <w:rFonts w:hint="eastAsia" w:ascii="楷体" w:hAnsi="楷体" w:eastAsia="楷体" w:cs="楷体"/>
          <w:snapToGrid w:val="0"/>
          <w:color w:val="000000"/>
          <w:kern w:val="0"/>
          <w:sz w:val="24"/>
          <w:szCs w:val="24"/>
          <w:highlight w:val="none"/>
        </w:rPr>
        <w:t>）乙方不履行或不按约定履行合同的其他义务时，应赔偿给甲方造成的损失。</w:t>
      </w:r>
    </w:p>
    <w:p w14:paraId="4C4549CC">
      <w:pPr>
        <w:spacing w:before="120" w:beforeLines="50" w:line="520" w:lineRule="atLeast"/>
        <w:outlineLvl w:val="0"/>
        <w:rPr>
          <w:rFonts w:hint="eastAsia" w:ascii="楷体_GB2312" w:hAnsi="楷体_GB2312" w:eastAsia="楷体_GB2312" w:cs="楷体_GB2312"/>
          <w:b/>
          <w:snapToGrid w:val="0"/>
          <w:kern w:val="0"/>
          <w:sz w:val="24"/>
          <w:szCs w:val="24"/>
          <w:highlight w:val="none"/>
        </w:rPr>
      </w:pPr>
      <w:r>
        <w:rPr>
          <w:rFonts w:hint="eastAsia" w:ascii="楷体_GB2312" w:hAnsi="楷体_GB2312" w:eastAsia="楷体_GB2312" w:cs="楷体_GB2312"/>
          <w:b/>
          <w:snapToGrid w:val="0"/>
          <w:kern w:val="0"/>
          <w:sz w:val="24"/>
          <w:szCs w:val="24"/>
          <w:highlight w:val="none"/>
        </w:rPr>
        <w:t xml:space="preserve">4 </w:t>
      </w:r>
      <w:r>
        <w:rPr>
          <w:rFonts w:hint="eastAsia" w:ascii="楷体_GB2312" w:hAnsi="楷体_GB2312" w:eastAsia="楷体_GB2312" w:cs="楷体_GB2312"/>
          <w:b/>
          <w:snapToGrid w:val="0"/>
          <w:kern w:val="0"/>
          <w:sz w:val="24"/>
          <w:szCs w:val="24"/>
          <w:highlight w:val="none"/>
          <w:lang w:eastAsia="zh-CN"/>
        </w:rPr>
        <w:t>。</w:t>
      </w:r>
      <w:r>
        <w:rPr>
          <w:rFonts w:hint="eastAsia" w:ascii="楷体_GB2312" w:hAnsi="楷体_GB2312" w:eastAsia="楷体_GB2312" w:cs="楷体_GB2312"/>
          <w:b/>
          <w:snapToGrid w:val="0"/>
          <w:color w:val="000000"/>
          <w:kern w:val="0"/>
          <w:sz w:val="24"/>
          <w:szCs w:val="24"/>
          <w:highlight w:val="none"/>
        </w:rPr>
        <w:t>技术服务费费用的支付</w:t>
      </w:r>
    </w:p>
    <w:p w14:paraId="2B830AD4">
      <w:pPr>
        <w:snapToGrid w:val="0"/>
        <w:spacing w:line="520" w:lineRule="atLeast"/>
        <w:ind w:firstLine="482" w:firstLineChars="200"/>
        <w:contextualSpacing/>
        <w:outlineLvl w:val="0"/>
        <w:rPr>
          <w:rFonts w:hint="eastAsia" w:ascii="楷体_GB2312" w:hAnsi="楷体_GB2312" w:eastAsia="楷体_GB2312" w:cs="楷体_GB2312"/>
          <w:b/>
          <w:snapToGrid w:val="0"/>
          <w:kern w:val="0"/>
          <w:sz w:val="24"/>
          <w:szCs w:val="24"/>
          <w:highlight w:val="none"/>
        </w:rPr>
      </w:pPr>
      <w:r>
        <w:rPr>
          <w:rFonts w:hint="eastAsia" w:ascii="楷体_GB2312" w:hAnsi="楷体_GB2312" w:eastAsia="楷体_GB2312" w:cs="楷体_GB2312"/>
          <w:b/>
          <w:snapToGrid w:val="0"/>
          <w:kern w:val="0"/>
          <w:sz w:val="24"/>
          <w:szCs w:val="24"/>
          <w:highlight w:val="none"/>
        </w:rPr>
        <w:t>4.1  支付方式</w:t>
      </w:r>
    </w:p>
    <w:p w14:paraId="22B6B21B">
      <w:pPr>
        <w:pStyle w:val="24"/>
        <w:snapToGrid w:val="0"/>
        <w:spacing w:after="0" w:line="520" w:lineRule="atLeast"/>
        <w:ind w:left="0" w:leftChars="0" w:firstLine="480" w:firstLineChars="200"/>
        <w:contextualSpacing/>
        <w:jc w:val="left"/>
        <w:rPr>
          <w:rFonts w:hint="eastAsia" w:ascii="楷体_GB2312" w:hAnsi="楷体_GB2312" w:eastAsia="楷体_GB2312" w:cs="楷体_GB2312"/>
          <w:bCs/>
          <w:snapToGrid w:val="0"/>
          <w:kern w:val="0"/>
          <w:sz w:val="24"/>
          <w:szCs w:val="24"/>
          <w:highlight w:val="none"/>
        </w:rPr>
      </w:pPr>
      <w:r>
        <w:rPr>
          <w:rFonts w:hint="eastAsia" w:ascii="楷体" w:hAnsi="楷体" w:eastAsia="楷体" w:cs="楷体"/>
          <w:snapToGrid w:val="0"/>
          <w:color w:val="000000"/>
          <w:kern w:val="0"/>
          <w:sz w:val="24"/>
          <w:szCs w:val="24"/>
          <w:highlight w:val="none"/>
        </w:rPr>
        <w:t>本合同签订生效后，</w:t>
      </w:r>
      <w:r>
        <w:rPr>
          <w:rFonts w:hint="eastAsia" w:ascii="楷体" w:hAnsi="楷体" w:eastAsia="楷体" w:cs="楷体"/>
          <w:snapToGrid w:val="0"/>
          <w:color w:val="000000"/>
          <w:kern w:val="0"/>
          <w:sz w:val="24"/>
          <w:szCs w:val="24"/>
          <w:highlight w:val="none"/>
          <w:lang w:val="en-US" w:eastAsia="zh-CN"/>
        </w:rPr>
        <w:t>检测工作完成，</w:t>
      </w:r>
      <w:r>
        <w:rPr>
          <w:rFonts w:hint="eastAsia" w:ascii="楷体" w:hAnsi="楷体" w:eastAsia="楷体" w:cs="楷体"/>
          <w:snapToGrid w:val="0"/>
          <w:color w:val="000000"/>
          <w:kern w:val="0"/>
          <w:sz w:val="24"/>
          <w:szCs w:val="24"/>
          <w:highlight w:val="none"/>
        </w:rPr>
        <w:t>甲方在领取正式报告</w:t>
      </w:r>
      <w:r>
        <w:rPr>
          <w:rFonts w:hint="eastAsia" w:ascii="楷体" w:hAnsi="楷体" w:eastAsia="楷体" w:cs="楷体"/>
          <w:snapToGrid w:val="0"/>
          <w:color w:val="000000"/>
          <w:kern w:val="0"/>
          <w:sz w:val="24"/>
          <w:szCs w:val="24"/>
          <w:highlight w:val="none"/>
          <w:lang w:val="en-US" w:eastAsia="zh-CN"/>
        </w:rPr>
        <w:t>后</w:t>
      </w:r>
      <w:r>
        <w:rPr>
          <w:rFonts w:hint="eastAsia" w:ascii="楷体" w:hAnsi="楷体" w:eastAsia="楷体" w:cs="楷体"/>
          <w:snapToGrid w:val="0"/>
          <w:color w:val="000000"/>
          <w:kern w:val="0"/>
          <w:sz w:val="24"/>
          <w:szCs w:val="24"/>
          <w:highlight w:val="none"/>
        </w:rPr>
        <w:t>向乙方支付</w:t>
      </w:r>
      <w:r>
        <w:rPr>
          <w:rFonts w:hint="eastAsia" w:ascii="楷体" w:hAnsi="楷体" w:eastAsia="楷体" w:cs="楷体"/>
          <w:snapToGrid w:val="0"/>
          <w:color w:val="000000"/>
          <w:kern w:val="0"/>
          <w:sz w:val="24"/>
          <w:szCs w:val="24"/>
          <w:highlight w:val="none"/>
          <w:lang w:val="en-US" w:eastAsia="zh-CN"/>
        </w:rPr>
        <w:t>80%</w:t>
      </w:r>
      <w:r>
        <w:rPr>
          <w:rFonts w:hint="eastAsia" w:ascii="楷体" w:hAnsi="楷体" w:eastAsia="楷体" w:cs="楷体"/>
          <w:snapToGrid w:val="0"/>
          <w:color w:val="000000"/>
          <w:kern w:val="0"/>
          <w:sz w:val="24"/>
          <w:szCs w:val="24"/>
          <w:highlight w:val="none"/>
        </w:rPr>
        <w:t>技术服务费用</w:t>
      </w:r>
      <w:r>
        <w:rPr>
          <w:rFonts w:hint="eastAsia" w:ascii="楷体" w:hAnsi="楷体" w:eastAsia="楷体" w:cs="楷体"/>
          <w:snapToGrid w:val="0"/>
          <w:color w:val="000000"/>
          <w:kern w:val="0"/>
          <w:sz w:val="24"/>
          <w:szCs w:val="24"/>
          <w:highlight w:val="none"/>
          <w:lang w:eastAsia="zh-CN"/>
        </w:rPr>
        <w:t>，</w:t>
      </w:r>
      <w:r>
        <w:rPr>
          <w:rFonts w:hint="eastAsia" w:ascii="楷体" w:hAnsi="楷体" w:eastAsia="楷体" w:cs="楷体"/>
          <w:snapToGrid w:val="0"/>
          <w:color w:val="000000"/>
          <w:kern w:val="0"/>
          <w:sz w:val="24"/>
          <w:szCs w:val="24"/>
          <w:highlight w:val="none"/>
          <w:lang w:val="en-US" w:eastAsia="zh-CN"/>
        </w:rPr>
        <w:t>余款待本合同结算完成后支付</w:t>
      </w:r>
      <w:r>
        <w:rPr>
          <w:rFonts w:hint="eastAsia" w:ascii="楷体_GB2312" w:hAnsi="楷体_GB2312" w:eastAsia="楷体_GB2312" w:cs="楷体_GB2312"/>
          <w:bCs/>
          <w:snapToGrid w:val="0"/>
          <w:kern w:val="0"/>
          <w:sz w:val="24"/>
          <w:szCs w:val="24"/>
          <w:highlight w:val="none"/>
        </w:rPr>
        <w:t>。</w:t>
      </w:r>
    </w:p>
    <w:p w14:paraId="1748C0EF">
      <w:pPr>
        <w:spacing w:line="520" w:lineRule="atLeast"/>
        <w:ind w:firstLine="482" w:firstLineChars="200"/>
        <w:rPr>
          <w:rFonts w:hint="eastAsia" w:ascii="楷体_GB2312" w:hAnsi="楷体_GB2312" w:eastAsia="楷体_GB2312" w:cs="楷体_GB2312"/>
          <w:b/>
          <w:bCs/>
          <w:snapToGrid w:val="0"/>
          <w:color w:val="000000"/>
          <w:kern w:val="0"/>
          <w:sz w:val="24"/>
          <w:szCs w:val="24"/>
          <w:highlight w:val="none"/>
        </w:rPr>
      </w:pPr>
      <w:r>
        <w:rPr>
          <w:rFonts w:ascii="楷体_GB2312" w:hAnsi="楷体_GB2312" w:eastAsia="楷体_GB2312" w:cs="楷体_GB2312"/>
          <w:b/>
          <w:bCs/>
          <w:snapToGrid w:val="0"/>
          <w:color w:val="000000"/>
          <w:kern w:val="0"/>
          <w:sz w:val="24"/>
          <w:szCs w:val="24"/>
          <w:highlight w:val="none"/>
        </w:rPr>
        <w:t>4.</w:t>
      </w:r>
      <w:r>
        <w:rPr>
          <w:rFonts w:hint="eastAsia" w:ascii="楷体_GB2312" w:hAnsi="楷体_GB2312" w:eastAsia="楷体_GB2312" w:cs="楷体_GB2312"/>
          <w:b/>
          <w:bCs/>
          <w:snapToGrid w:val="0"/>
          <w:color w:val="000000"/>
          <w:kern w:val="0"/>
          <w:sz w:val="24"/>
          <w:szCs w:val="24"/>
          <w:highlight w:val="none"/>
        </w:rPr>
        <w:t>2  乙方银行账号</w:t>
      </w:r>
    </w:p>
    <w:p w14:paraId="4EB8E6C2">
      <w:pPr>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甲方应将技术服务费以转账方式支付至乙方如下银行账号： </w:t>
      </w:r>
    </w:p>
    <w:p w14:paraId="488C225A">
      <w:pPr>
        <w:spacing w:line="520" w:lineRule="atLeast"/>
        <w:ind w:firstLine="480" w:firstLineChars="200"/>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户  名：</w:t>
      </w:r>
    </w:p>
    <w:p w14:paraId="4654185E">
      <w:pPr>
        <w:spacing w:line="520" w:lineRule="atLeast"/>
        <w:ind w:firstLine="480" w:firstLineChars="200"/>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开户行：</w:t>
      </w:r>
      <w:r>
        <w:rPr>
          <w:rFonts w:hint="eastAsia" w:ascii="楷体" w:hAnsi="楷体" w:eastAsia="楷体" w:cs="楷体"/>
          <w:snapToGrid w:val="0"/>
          <w:color w:val="000000"/>
          <w:kern w:val="0"/>
          <w:sz w:val="24"/>
          <w:szCs w:val="24"/>
          <w:highlight w:val="none"/>
          <w:lang w:val="en-US" w:eastAsia="zh-CN"/>
        </w:rPr>
        <w:t xml:space="preserve"> </w:t>
      </w:r>
    </w:p>
    <w:p w14:paraId="66257811">
      <w:pPr>
        <w:spacing w:line="520" w:lineRule="atLeast"/>
        <w:ind w:firstLine="480" w:firstLineChars="200"/>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账  号：</w:t>
      </w:r>
      <w:r>
        <w:rPr>
          <w:rFonts w:hint="eastAsia" w:ascii="楷体" w:hAnsi="楷体" w:eastAsia="楷体" w:cs="楷体"/>
          <w:snapToGrid w:val="0"/>
          <w:color w:val="000000"/>
          <w:kern w:val="0"/>
          <w:sz w:val="24"/>
          <w:szCs w:val="24"/>
          <w:highlight w:val="none"/>
          <w:lang w:val="en-US" w:eastAsia="zh-CN"/>
        </w:rPr>
        <w:t xml:space="preserve"> </w:t>
      </w:r>
    </w:p>
    <w:p w14:paraId="068559DF">
      <w:pPr>
        <w:spacing w:line="520" w:lineRule="atLeast"/>
        <w:rPr>
          <w:rFonts w:hint="eastAsia" w:ascii="楷体" w:hAnsi="楷体" w:eastAsia="楷体" w:cs="楷体"/>
          <w:snapToGrid w:val="0"/>
          <w:color w:val="000000"/>
          <w:kern w:val="0"/>
          <w:sz w:val="24"/>
          <w:szCs w:val="24"/>
          <w:highlight w:val="none"/>
        </w:rPr>
      </w:pPr>
    </w:p>
    <w:p w14:paraId="3BAF2279">
      <w:pPr>
        <w:pStyle w:val="24"/>
        <w:spacing w:line="520" w:lineRule="atLeast"/>
        <w:contextualSpacing/>
        <w:jc w:val="left"/>
        <w:rPr>
          <w:rFonts w:hint="eastAsia" w:ascii="楷体_GB2312" w:hAnsi="楷体_GB2312" w:eastAsia="楷体_GB2312" w:cs="楷体_GB2312"/>
          <w:bCs/>
          <w:snapToGrid w:val="0"/>
          <w:kern w:val="0"/>
          <w:sz w:val="24"/>
          <w:szCs w:val="24"/>
          <w:highlight w:val="none"/>
        </w:rPr>
      </w:pPr>
      <w:r>
        <w:rPr>
          <w:rFonts w:hint="eastAsia" w:ascii="楷体" w:hAnsi="楷体" w:eastAsia="楷体" w:cs="楷体"/>
          <w:snapToGrid w:val="0"/>
          <w:color w:val="000000"/>
          <w:kern w:val="0"/>
          <w:sz w:val="24"/>
          <w:szCs w:val="24"/>
          <w:highlight w:val="none"/>
        </w:rPr>
        <w:t>（以下无正文）</w:t>
      </w:r>
    </w:p>
    <w:p w14:paraId="5A1DFE95">
      <w:pPr>
        <w:spacing w:line="360" w:lineRule="auto"/>
        <w:rPr>
          <w:highlight w:val="none"/>
        </w:rPr>
        <w:sectPr>
          <w:pgSz w:w="11906" w:h="16838"/>
          <w:pgMar w:top="1418" w:right="1418" w:bottom="1418" w:left="1701" w:header="851" w:footer="454" w:gutter="0"/>
          <w:cols w:space="720" w:num="1"/>
          <w:docGrid w:linePitch="435" w:charSpace="0"/>
        </w:sectPr>
      </w:pPr>
    </w:p>
    <w:p w14:paraId="778CD2F7">
      <w:pPr>
        <w:spacing w:after="468" w:afterLines="150" w:line="520" w:lineRule="atLeast"/>
        <w:jc w:val="center"/>
        <w:rPr>
          <w:rFonts w:hint="eastAsia" w:ascii="楷体_GB2312" w:hAnsi="楷体_GB2312" w:eastAsia="楷体_GB2312" w:cs="楷体_GB2312"/>
          <w:b/>
          <w:snapToGrid w:val="0"/>
          <w:color w:val="000000"/>
          <w:kern w:val="0"/>
          <w:sz w:val="24"/>
          <w:szCs w:val="24"/>
          <w:highlight w:val="none"/>
        </w:rPr>
      </w:pPr>
      <w:r>
        <w:rPr>
          <w:rFonts w:hint="eastAsia" w:ascii="楷体" w:hAnsi="楷体" w:eastAsia="楷体" w:cs="楷体"/>
          <w:b/>
          <w:bCs/>
          <w:snapToGrid w:val="0"/>
          <w:color w:val="000000"/>
          <w:kern w:val="0"/>
          <w:sz w:val="28"/>
          <w:szCs w:val="28"/>
          <w:highlight w:val="none"/>
        </w:rPr>
        <w:t>第四部分 技术服务费用清单</w:t>
      </w:r>
    </w:p>
    <w:p w14:paraId="60014AA3">
      <w:pPr>
        <w:snapToGrid w:val="0"/>
        <w:spacing w:line="530" w:lineRule="exact"/>
        <w:ind w:firstLine="480" w:firstLineChars="200"/>
        <w:contextualSpacing/>
        <w:jc w:val="left"/>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一、幕墙检测费用清单</w:t>
      </w:r>
    </w:p>
    <w:tbl>
      <w:tblPr>
        <w:tblStyle w:val="53"/>
        <w:tblW w:w="9538" w:type="dxa"/>
        <w:jc w:val="center"/>
        <w:tblLayout w:type="fixed"/>
        <w:tblCellMar>
          <w:top w:w="0" w:type="dxa"/>
          <w:left w:w="108" w:type="dxa"/>
          <w:bottom w:w="0" w:type="dxa"/>
          <w:right w:w="108" w:type="dxa"/>
        </w:tblCellMar>
      </w:tblPr>
      <w:tblGrid>
        <w:gridCol w:w="763"/>
        <w:gridCol w:w="1350"/>
        <w:gridCol w:w="3591"/>
        <w:gridCol w:w="2260"/>
        <w:gridCol w:w="1574"/>
      </w:tblGrid>
      <w:tr w14:paraId="709E3D0A">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7B85553">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序号</w:t>
            </w:r>
          </w:p>
        </w:tc>
        <w:tc>
          <w:tcPr>
            <w:tcW w:w="1350" w:type="dxa"/>
            <w:tcBorders>
              <w:top w:val="single" w:color="auto" w:sz="4" w:space="0"/>
              <w:left w:val="nil"/>
              <w:bottom w:val="single" w:color="auto" w:sz="4" w:space="0"/>
              <w:right w:val="single" w:color="auto" w:sz="4" w:space="0"/>
            </w:tcBorders>
            <w:vAlign w:val="center"/>
          </w:tcPr>
          <w:p w14:paraId="7434ABD5">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试件型式</w:t>
            </w:r>
          </w:p>
        </w:tc>
        <w:tc>
          <w:tcPr>
            <w:tcW w:w="3591" w:type="dxa"/>
            <w:tcBorders>
              <w:top w:val="single" w:color="auto" w:sz="4" w:space="0"/>
              <w:left w:val="nil"/>
              <w:bottom w:val="single" w:color="auto" w:sz="4" w:space="0"/>
              <w:right w:val="single" w:color="auto" w:sz="4" w:space="0"/>
            </w:tcBorders>
            <w:vAlign w:val="center"/>
          </w:tcPr>
          <w:p w14:paraId="62689268">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试件尺寸</w:t>
            </w:r>
          </w:p>
        </w:tc>
        <w:tc>
          <w:tcPr>
            <w:tcW w:w="2260" w:type="dxa"/>
            <w:tcBorders>
              <w:top w:val="single" w:color="auto" w:sz="4" w:space="0"/>
              <w:left w:val="nil"/>
              <w:bottom w:val="single" w:color="auto" w:sz="4" w:space="0"/>
              <w:right w:val="single" w:color="auto" w:sz="4" w:space="0"/>
            </w:tcBorders>
            <w:vAlign w:val="center"/>
          </w:tcPr>
          <w:p w14:paraId="613B3A89">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检测费用（万元）</w:t>
            </w:r>
          </w:p>
        </w:tc>
        <w:tc>
          <w:tcPr>
            <w:tcW w:w="1574" w:type="dxa"/>
            <w:tcBorders>
              <w:top w:val="single" w:color="auto" w:sz="4" w:space="0"/>
              <w:left w:val="nil"/>
              <w:bottom w:val="single" w:color="auto" w:sz="4" w:space="0"/>
              <w:right w:val="single" w:color="auto" w:sz="4" w:space="0"/>
            </w:tcBorders>
            <w:vAlign w:val="center"/>
          </w:tcPr>
          <w:p w14:paraId="2445A96B">
            <w:pPr>
              <w:snapToGrid w:val="0"/>
              <w:contextualSpacing/>
              <w:jc w:val="center"/>
              <w:rPr>
                <w:rFonts w:hint="eastAsia" w:ascii="楷体" w:hAnsi="楷体" w:eastAsia="楷体" w:cs="楷体"/>
                <w:snapToGrid w:val="0"/>
                <w:color w:val="000000"/>
                <w:kern w:val="0"/>
                <w:sz w:val="24"/>
                <w:szCs w:val="24"/>
                <w:highlight w:val="none"/>
                <w:lang w:val="en-US" w:eastAsia="zh-CN"/>
              </w:rPr>
            </w:pPr>
            <w:r>
              <w:rPr>
                <w:rFonts w:hint="eastAsia" w:ascii="楷体" w:hAnsi="楷体" w:eastAsia="楷体" w:cs="楷体"/>
                <w:snapToGrid w:val="0"/>
                <w:color w:val="000000"/>
                <w:kern w:val="0"/>
                <w:sz w:val="24"/>
                <w:szCs w:val="24"/>
                <w:highlight w:val="none"/>
                <w:lang w:val="en-US" w:eastAsia="zh-CN"/>
              </w:rPr>
              <w:t>备注</w:t>
            </w:r>
          </w:p>
        </w:tc>
      </w:tr>
      <w:tr w14:paraId="266C5B9A">
        <w:tblPrEx>
          <w:tblCellMar>
            <w:top w:w="0" w:type="dxa"/>
            <w:left w:w="108" w:type="dxa"/>
            <w:bottom w:w="0" w:type="dxa"/>
            <w:right w:w="108" w:type="dxa"/>
          </w:tblCellMar>
        </w:tblPrEx>
        <w:trPr>
          <w:trHeight w:val="76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6AD5CE5">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w:t>
            </w:r>
          </w:p>
        </w:tc>
        <w:tc>
          <w:tcPr>
            <w:tcW w:w="1350" w:type="dxa"/>
            <w:tcBorders>
              <w:top w:val="single" w:color="auto" w:sz="4" w:space="0"/>
              <w:left w:val="nil"/>
              <w:bottom w:val="single" w:color="auto" w:sz="4" w:space="0"/>
              <w:right w:val="single" w:color="auto" w:sz="4" w:space="0"/>
            </w:tcBorders>
            <w:vAlign w:val="center"/>
          </w:tcPr>
          <w:p w14:paraId="2F7A4A34">
            <w:pPr>
              <w:snapToGrid w:val="0"/>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单元式玻璃幕墙</w:t>
            </w:r>
          </w:p>
        </w:tc>
        <w:tc>
          <w:tcPr>
            <w:tcW w:w="3591" w:type="dxa"/>
            <w:tcBorders>
              <w:top w:val="single" w:color="auto" w:sz="4" w:space="0"/>
              <w:left w:val="nil"/>
              <w:bottom w:val="single" w:color="auto" w:sz="4" w:space="0"/>
              <w:right w:val="single" w:color="auto" w:sz="4" w:space="0"/>
            </w:tcBorders>
            <w:vAlign w:val="center"/>
          </w:tcPr>
          <w:p w14:paraId="7741CAF5">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10600mm×10200mm</w:t>
            </w:r>
          </w:p>
        </w:tc>
        <w:tc>
          <w:tcPr>
            <w:tcW w:w="2260" w:type="dxa"/>
            <w:tcBorders>
              <w:top w:val="single" w:color="auto" w:sz="4" w:space="0"/>
              <w:left w:val="nil"/>
              <w:bottom w:val="single" w:color="auto" w:sz="4" w:space="0"/>
              <w:right w:val="single" w:color="auto" w:sz="4" w:space="0"/>
            </w:tcBorders>
            <w:vAlign w:val="center"/>
          </w:tcPr>
          <w:p w14:paraId="2F3E9337">
            <w:pPr>
              <w:snapToGrid w:val="0"/>
              <w:contextualSpacing/>
              <w:jc w:val="center"/>
              <w:rPr>
                <w:rFonts w:hint="eastAsia" w:ascii="楷体" w:hAnsi="楷体" w:eastAsia="楷体" w:cs="楷体"/>
                <w:snapToGrid w:val="0"/>
                <w:color w:val="000000"/>
                <w:kern w:val="0"/>
                <w:sz w:val="24"/>
                <w:szCs w:val="24"/>
                <w:highlight w:val="none"/>
              </w:rPr>
            </w:pPr>
          </w:p>
        </w:tc>
        <w:tc>
          <w:tcPr>
            <w:tcW w:w="1574" w:type="dxa"/>
            <w:tcBorders>
              <w:top w:val="single" w:color="auto" w:sz="4" w:space="0"/>
              <w:left w:val="nil"/>
              <w:bottom w:val="single" w:color="auto" w:sz="4" w:space="0"/>
              <w:right w:val="single" w:color="auto" w:sz="4" w:space="0"/>
            </w:tcBorders>
            <w:vAlign w:val="center"/>
          </w:tcPr>
          <w:p w14:paraId="4DC6B3FE">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详见大样图TPE-PMU-01</w:t>
            </w:r>
          </w:p>
        </w:tc>
      </w:tr>
      <w:tr w14:paraId="61A1CD43">
        <w:tblPrEx>
          <w:tblCellMar>
            <w:top w:w="0" w:type="dxa"/>
            <w:left w:w="108" w:type="dxa"/>
            <w:bottom w:w="0" w:type="dxa"/>
            <w:right w:w="108" w:type="dxa"/>
          </w:tblCellMar>
        </w:tblPrEx>
        <w:trPr>
          <w:trHeight w:val="71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566A954">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w:t>
            </w:r>
          </w:p>
        </w:tc>
        <w:tc>
          <w:tcPr>
            <w:tcW w:w="1350" w:type="dxa"/>
            <w:tcBorders>
              <w:top w:val="single" w:color="auto" w:sz="4" w:space="0"/>
              <w:left w:val="nil"/>
              <w:bottom w:val="single" w:color="auto" w:sz="4" w:space="0"/>
              <w:right w:val="single" w:color="auto" w:sz="4" w:space="0"/>
            </w:tcBorders>
            <w:vAlign w:val="center"/>
          </w:tcPr>
          <w:p w14:paraId="34C4A7E9">
            <w:pPr>
              <w:snapToGrid w:val="0"/>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明框玻璃幕墙</w:t>
            </w:r>
          </w:p>
        </w:tc>
        <w:tc>
          <w:tcPr>
            <w:tcW w:w="3591" w:type="dxa"/>
            <w:tcBorders>
              <w:top w:val="single" w:color="auto" w:sz="4" w:space="0"/>
              <w:left w:val="nil"/>
              <w:bottom w:val="single" w:color="auto" w:sz="4" w:space="0"/>
              <w:right w:val="single" w:color="auto" w:sz="4" w:space="0"/>
            </w:tcBorders>
            <w:vAlign w:val="center"/>
          </w:tcPr>
          <w:p w14:paraId="3D10360C">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4850mm×9750mm</w:t>
            </w:r>
          </w:p>
        </w:tc>
        <w:tc>
          <w:tcPr>
            <w:tcW w:w="2260" w:type="dxa"/>
            <w:tcBorders>
              <w:top w:val="single" w:color="auto" w:sz="4" w:space="0"/>
              <w:left w:val="nil"/>
              <w:bottom w:val="single" w:color="auto" w:sz="4" w:space="0"/>
              <w:right w:val="single" w:color="auto" w:sz="4" w:space="0"/>
            </w:tcBorders>
            <w:vAlign w:val="center"/>
          </w:tcPr>
          <w:p w14:paraId="610286E5">
            <w:pPr>
              <w:snapToGrid w:val="0"/>
              <w:contextualSpacing/>
              <w:jc w:val="center"/>
              <w:rPr>
                <w:rFonts w:hint="eastAsia" w:ascii="楷体" w:hAnsi="楷体" w:eastAsia="楷体" w:cs="楷体"/>
                <w:snapToGrid w:val="0"/>
                <w:color w:val="000000"/>
                <w:kern w:val="0"/>
                <w:sz w:val="24"/>
                <w:szCs w:val="24"/>
                <w:highlight w:val="none"/>
              </w:rPr>
            </w:pPr>
          </w:p>
        </w:tc>
        <w:tc>
          <w:tcPr>
            <w:tcW w:w="1574" w:type="dxa"/>
            <w:tcBorders>
              <w:top w:val="single" w:color="auto" w:sz="4" w:space="0"/>
              <w:left w:val="nil"/>
              <w:bottom w:val="single" w:color="auto" w:sz="4" w:space="0"/>
              <w:right w:val="single" w:color="auto" w:sz="4" w:space="0"/>
            </w:tcBorders>
            <w:vAlign w:val="center"/>
          </w:tcPr>
          <w:p w14:paraId="10774DA8">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详见大样图TPE-PMU-02</w:t>
            </w:r>
          </w:p>
        </w:tc>
      </w:tr>
      <w:tr w14:paraId="4E6EF5D1">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66CB726">
            <w:pPr>
              <w:snapToGrid w:val="0"/>
              <w:contextualSpacing/>
              <w:jc w:val="center"/>
              <w:rPr>
                <w:rFonts w:hint="eastAsia" w:ascii="楷体" w:hAnsi="楷体" w:eastAsia="楷体" w:cs="楷体"/>
                <w:snapToGrid w:val="0"/>
                <w:color w:val="000000"/>
                <w:kern w:val="0"/>
                <w:sz w:val="24"/>
                <w:szCs w:val="24"/>
                <w:highlight w:val="none"/>
                <w:lang w:val="en-US" w:eastAsia="zh-CN"/>
              </w:rPr>
            </w:pPr>
            <w:r>
              <w:rPr>
                <w:rFonts w:hint="eastAsia" w:ascii="楷体" w:hAnsi="楷体" w:eastAsia="楷体" w:cs="楷体"/>
                <w:snapToGrid w:val="0"/>
                <w:color w:val="000000"/>
                <w:kern w:val="0"/>
                <w:sz w:val="24"/>
                <w:szCs w:val="24"/>
                <w:highlight w:val="none"/>
                <w:lang w:val="en-US" w:eastAsia="zh-CN"/>
              </w:rPr>
              <w:t>3</w:t>
            </w:r>
          </w:p>
        </w:tc>
        <w:tc>
          <w:tcPr>
            <w:tcW w:w="1350" w:type="dxa"/>
            <w:tcBorders>
              <w:top w:val="single" w:color="auto" w:sz="4" w:space="0"/>
              <w:left w:val="nil"/>
              <w:bottom w:val="single" w:color="auto" w:sz="4" w:space="0"/>
              <w:right w:val="single" w:color="auto" w:sz="4" w:space="0"/>
            </w:tcBorders>
            <w:vAlign w:val="center"/>
          </w:tcPr>
          <w:p w14:paraId="27AC4E2C">
            <w:pPr>
              <w:snapToGrid w:val="0"/>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半</w:t>
            </w:r>
            <w:bookmarkStart w:id="28" w:name="_GoBack"/>
            <w:r>
              <w:rPr>
                <w:rFonts w:hint="eastAsia" w:ascii="宋体" w:hAnsi="宋体" w:cs="宋体"/>
                <w:color w:val="000000"/>
                <w:sz w:val="24"/>
              </w:rPr>
              <w:t>隐框</w:t>
            </w:r>
            <w:bookmarkEnd w:id="28"/>
            <w:r>
              <w:rPr>
                <w:rFonts w:hint="eastAsia" w:ascii="宋体" w:hAnsi="宋体" w:cs="宋体"/>
                <w:color w:val="000000"/>
                <w:sz w:val="24"/>
              </w:rPr>
              <w:t>玻璃幕墙</w:t>
            </w:r>
          </w:p>
        </w:tc>
        <w:tc>
          <w:tcPr>
            <w:tcW w:w="3591" w:type="dxa"/>
            <w:tcBorders>
              <w:top w:val="single" w:color="auto" w:sz="4" w:space="0"/>
              <w:left w:val="nil"/>
              <w:bottom w:val="single" w:color="auto" w:sz="4" w:space="0"/>
              <w:right w:val="single" w:color="auto" w:sz="4" w:space="0"/>
            </w:tcBorders>
            <w:vAlign w:val="center"/>
          </w:tcPr>
          <w:p w14:paraId="10F0A6F9">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5343mm×12710mm</w:t>
            </w:r>
          </w:p>
        </w:tc>
        <w:tc>
          <w:tcPr>
            <w:tcW w:w="2260" w:type="dxa"/>
            <w:tcBorders>
              <w:top w:val="single" w:color="auto" w:sz="4" w:space="0"/>
              <w:left w:val="nil"/>
              <w:bottom w:val="single" w:color="auto" w:sz="4" w:space="0"/>
              <w:right w:val="single" w:color="auto" w:sz="4" w:space="0"/>
            </w:tcBorders>
            <w:vAlign w:val="center"/>
          </w:tcPr>
          <w:p w14:paraId="24711859">
            <w:pPr>
              <w:snapToGrid w:val="0"/>
              <w:contextualSpacing/>
              <w:jc w:val="center"/>
              <w:rPr>
                <w:rFonts w:hint="eastAsia" w:ascii="楷体" w:hAnsi="楷体" w:eastAsia="楷体" w:cs="楷体"/>
                <w:snapToGrid w:val="0"/>
                <w:color w:val="000000"/>
                <w:kern w:val="0"/>
                <w:sz w:val="24"/>
                <w:szCs w:val="24"/>
                <w:highlight w:val="none"/>
              </w:rPr>
            </w:pPr>
          </w:p>
        </w:tc>
        <w:tc>
          <w:tcPr>
            <w:tcW w:w="1574" w:type="dxa"/>
            <w:tcBorders>
              <w:top w:val="single" w:color="auto" w:sz="4" w:space="0"/>
              <w:left w:val="nil"/>
              <w:bottom w:val="single" w:color="auto" w:sz="4" w:space="0"/>
              <w:right w:val="single" w:color="auto" w:sz="4" w:space="0"/>
            </w:tcBorders>
            <w:vAlign w:val="center"/>
          </w:tcPr>
          <w:p w14:paraId="0BF14A64">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详见大样图TPE-PMU-02a</w:t>
            </w:r>
          </w:p>
        </w:tc>
      </w:tr>
      <w:tr w14:paraId="2299EECA">
        <w:tblPrEx>
          <w:tblCellMar>
            <w:top w:w="0" w:type="dxa"/>
            <w:left w:w="108" w:type="dxa"/>
            <w:bottom w:w="0" w:type="dxa"/>
            <w:right w:w="108" w:type="dxa"/>
          </w:tblCellMar>
        </w:tblPrEx>
        <w:trPr>
          <w:trHeight w:val="111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128E483">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备注</w:t>
            </w:r>
          </w:p>
        </w:tc>
        <w:tc>
          <w:tcPr>
            <w:tcW w:w="8775" w:type="dxa"/>
            <w:gridSpan w:val="4"/>
            <w:tcBorders>
              <w:top w:val="single" w:color="auto" w:sz="4" w:space="0"/>
              <w:left w:val="nil"/>
              <w:bottom w:val="single" w:color="auto" w:sz="4" w:space="0"/>
              <w:right w:val="single" w:color="auto" w:sz="4" w:space="0"/>
            </w:tcBorders>
            <w:vAlign w:val="center"/>
          </w:tcPr>
          <w:p w14:paraId="3A9F279E">
            <w:pPr>
              <w:numPr>
                <w:ilvl w:val="0"/>
                <w:numId w:val="7"/>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设备占用时间已综合考虑，不因设备占用天数增加而增加费用</w:t>
            </w:r>
            <w:r>
              <w:rPr>
                <w:rFonts w:hint="eastAsia" w:ascii="楷体" w:hAnsi="楷体" w:eastAsia="楷体" w:cs="楷体"/>
                <w:snapToGrid w:val="0"/>
                <w:color w:val="000000"/>
                <w:kern w:val="0"/>
                <w:sz w:val="24"/>
                <w:szCs w:val="24"/>
              </w:rPr>
              <w:t>。</w:t>
            </w:r>
          </w:p>
          <w:p w14:paraId="54466F61">
            <w:pPr>
              <w:numPr>
                <w:ilvl w:val="0"/>
                <w:numId w:val="7"/>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检测所需辅助钢架制作安装等费用已包含在投标报价中。</w:t>
            </w:r>
          </w:p>
        </w:tc>
      </w:tr>
    </w:tbl>
    <w:p w14:paraId="64392338">
      <w:pPr>
        <w:pStyle w:val="13"/>
        <w:tabs>
          <w:tab w:val="left" w:pos="455"/>
        </w:tabs>
        <w:ind w:left="0" w:leftChars="0"/>
        <w:jc w:val="left"/>
        <w:rPr>
          <w:highlight w:val="none"/>
        </w:rPr>
      </w:pPr>
    </w:p>
    <w:p w14:paraId="2AC0B01C">
      <w:pPr>
        <w:rPr>
          <w:rFonts w:hint="default" w:ascii="Times New Roman" w:hAnsi="Times New Roman" w:eastAsia="宋体"/>
          <w:b/>
          <w:bCs/>
          <w:color w:val="auto"/>
          <w:sz w:val="32"/>
          <w:szCs w:val="32"/>
          <w:highlight w:val="none"/>
        </w:rPr>
      </w:pPr>
      <w:r>
        <w:rPr>
          <w:rFonts w:hint="default" w:ascii="Times New Roman" w:hAnsi="Times New Roman" w:eastAsia="宋体"/>
          <w:b/>
          <w:bCs/>
          <w:color w:val="auto"/>
          <w:sz w:val="32"/>
          <w:szCs w:val="32"/>
          <w:highlight w:val="none"/>
        </w:rPr>
        <w:br w:type="page"/>
      </w:r>
    </w:p>
    <w:p w14:paraId="62859D40">
      <w:pPr>
        <w:spacing w:after="468" w:afterLines="150" w:line="520" w:lineRule="atLeast"/>
        <w:jc w:val="center"/>
        <w:rPr>
          <w:rFonts w:hint="eastAsia" w:ascii="楷体_GB2312" w:hAnsi="楷体_GB2312" w:eastAsia="楷体_GB2312" w:cs="楷体_GB2312"/>
          <w:b/>
          <w:snapToGrid w:val="0"/>
          <w:color w:val="000000"/>
          <w:kern w:val="0"/>
          <w:sz w:val="24"/>
          <w:szCs w:val="24"/>
          <w:highlight w:val="none"/>
        </w:rPr>
      </w:pPr>
      <w:r>
        <w:rPr>
          <w:rFonts w:hint="eastAsia" w:ascii="楷体" w:hAnsi="楷体" w:eastAsia="楷体" w:cs="楷体"/>
          <w:b/>
          <w:bCs/>
          <w:snapToGrid w:val="0"/>
          <w:color w:val="000000"/>
          <w:kern w:val="0"/>
          <w:sz w:val="28"/>
          <w:szCs w:val="28"/>
          <w:highlight w:val="none"/>
        </w:rPr>
        <w:t>第</w:t>
      </w:r>
      <w:r>
        <w:rPr>
          <w:rFonts w:hint="eastAsia" w:ascii="楷体" w:hAnsi="楷体" w:eastAsia="楷体" w:cs="楷体"/>
          <w:b/>
          <w:bCs/>
          <w:snapToGrid w:val="0"/>
          <w:color w:val="000000"/>
          <w:kern w:val="0"/>
          <w:sz w:val="28"/>
          <w:szCs w:val="28"/>
          <w:highlight w:val="none"/>
          <w:lang w:val="en-US" w:eastAsia="zh-CN"/>
        </w:rPr>
        <w:t>五</w:t>
      </w:r>
      <w:r>
        <w:rPr>
          <w:rFonts w:hint="eastAsia" w:ascii="楷体" w:hAnsi="楷体" w:eastAsia="楷体" w:cs="楷体"/>
          <w:b/>
          <w:bCs/>
          <w:snapToGrid w:val="0"/>
          <w:color w:val="000000"/>
          <w:kern w:val="0"/>
          <w:sz w:val="28"/>
          <w:szCs w:val="28"/>
          <w:highlight w:val="none"/>
        </w:rPr>
        <w:t xml:space="preserve">部分 </w:t>
      </w:r>
      <w:r>
        <w:rPr>
          <w:rFonts w:hint="eastAsia" w:ascii="楷体" w:hAnsi="楷体" w:eastAsia="楷体" w:cs="楷体"/>
          <w:b/>
          <w:bCs/>
          <w:snapToGrid w:val="0"/>
          <w:color w:val="000000"/>
          <w:kern w:val="0"/>
          <w:sz w:val="28"/>
          <w:szCs w:val="28"/>
          <w:highlight w:val="none"/>
          <w:lang w:val="en-US" w:eastAsia="zh-CN"/>
        </w:rPr>
        <w:t>委托文件</w:t>
      </w:r>
    </w:p>
    <w:p w14:paraId="1488EA87">
      <w:pPr>
        <w:pStyle w:val="28"/>
        <w:numPr>
          <w:ilvl w:val="0"/>
          <w:numId w:val="0"/>
        </w:numPr>
        <w:rPr>
          <w:rFonts w:hint="default"/>
          <w:color w:val="auto"/>
          <w:highlight w:val="none"/>
        </w:rPr>
      </w:pPr>
    </w:p>
    <w:p w14:paraId="02B9A7E9">
      <w:pPr>
        <w:pStyle w:val="3"/>
        <w:numPr>
          <w:ilvl w:val="1"/>
          <w:numId w:val="0"/>
        </w:numPr>
        <w:tabs>
          <w:tab w:val="left" w:pos="576"/>
          <w:tab w:val="clear" w:pos="720"/>
        </w:tabs>
        <w:spacing w:before="120" w:line="360" w:lineRule="auto"/>
        <w:jc w:val="center"/>
        <w:rPr>
          <w:rFonts w:hint="eastAsia" w:ascii="仿宋" w:hAnsi="仿宋" w:eastAsia="仿宋" w:cs="Times New Roman"/>
          <w:bCs/>
          <w:color w:val="auto"/>
          <w:sz w:val="36"/>
          <w:szCs w:val="36"/>
          <w:highlight w:val="none"/>
          <w:u w:val="none"/>
          <w:lang w:eastAsia="zh-CN"/>
        </w:rPr>
      </w:pPr>
      <w:r>
        <w:rPr>
          <w:rFonts w:hint="eastAsia" w:ascii="仿宋" w:hAnsi="仿宋" w:eastAsia="仿宋"/>
          <w:color w:val="auto"/>
          <w:sz w:val="36"/>
          <w:szCs w:val="36"/>
          <w:highlight w:val="none"/>
        </w:rPr>
        <w:t>关于</w:t>
      </w:r>
      <w:r>
        <w:rPr>
          <w:rFonts w:hint="eastAsia" w:ascii="仿宋" w:hAnsi="仿宋" w:eastAsia="仿宋" w:cs="Times New Roman"/>
          <w:bCs/>
          <w:color w:val="auto"/>
          <w:sz w:val="36"/>
          <w:szCs w:val="36"/>
          <w:highlight w:val="none"/>
          <w:u w:val="none"/>
          <w:lang w:eastAsia="zh-CN"/>
        </w:rPr>
        <w:t>深圳建筑产业生态智谷总部基地一期</w:t>
      </w:r>
    </w:p>
    <w:p w14:paraId="7E637980">
      <w:pPr>
        <w:pStyle w:val="3"/>
        <w:numPr>
          <w:ilvl w:val="1"/>
          <w:numId w:val="0"/>
        </w:numPr>
        <w:tabs>
          <w:tab w:val="left" w:pos="576"/>
          <w:tab w:val="clear" w:pos="720"/>
        </w:tabs>
        <w:spacing w:before="120" w:line="360" w:lineRule="auto"/>
        <w:jc w:val="center"/>
        <w:rPr>
          <w:rFonts w:hint="eastAsia" w:ascii="仿宋" w:hAnsi="仿宋" w:eastAsia="仿宋" w:cs="宋体"/>
          <w:b/>
          <w:bCs/>
          <w:color w:val="auto"/>
          <w:kern w:val="0"/>
          <w:sz w:val="36"/>
          <w:szCs w:val="36"/>
          <w:highlight w:val="none"/>
        </w:rPr>
      </w:pPr>
      <w:r>
        <w:rPr>
          <w:rFonts w:hint="eastAsia" w:ascii="仿宋" w:hAnsi="仿宋" w:eastAsia="仿宋" w:cs="Times New Roman"/>
          <w:bCs/>
          <w:color w:val="auto"/>
          <w:sz w:val="36"/>
          <w:szCs w:val="36"/>
          <w:highlight w:val="none"/>
          <w:u w:val="none"/>
          <w:lang w:val="en-US" w:eastAsia="zh-CN"/>
        </w:rPr>
        <w:t>幕墙四性检测</w:t>
      </w:r>
      <w:r>
        <w:rPr>
          <w:rFonts w:hint="eastAsia" w:ascii="仿宋" w:hAnsi="仿宋" w:eastAsia="仿宋" w:cs="宋体"/>
          <w:b/>
          <w:bCs/>
          <w:color w:val="auto"/>
          <w:kern w:val="0"/>
          <w:sz w:val="36"/>
          <w:szCs w:val="36"/>
          <w:highlight w:val="none"/>
        </w:rPr>
        <w:t>委托函</w:t>
      </w:r>
    </w:p>
    <w:p w14:paraId="2C40FB75">
      <w:pPr>
        <w:spacing w:line="560" w:lineRule="atLeast"/>
        <w:rPr>
          <w:rFonts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w:t>
      </w:r>
    </w:p>
    <w:p w14:paraId="4618C481">
      <w:pPr>
        <w:spacing w:line="560" w:lineRule="atLeas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我司拟委托贵司提供</w:t>
      </w:r>
      <w:r>
        <w:rPr>
          <w:rFonts w:hint="eastAsia" w:ascii="宋体" w:hAnsi="宋体" w:cs="宋体"/>
          <w:kern w:val="0"/>
          <w:sz w:val="28"/>
          <w:szCs w:val="28"/>
          <w:highlight w:val="none"/>
          <w:u w:val="single"/>
        </w:rPr>
        <w:t xml:space="preserve">  深圳建筑产业生态智谷总部基地一期</w:t>
      </w:r>
      <w:r>
        <w:rPr>
          <w:rFonts w:hint="eastAsia" w:ascii="宋体" w:hAnsi="宋体" w:cs="宋体"/>
          <w:kern w:val="0"/>
          <w:sz w:val="28"/>
          <w:szCs w:val="28"/>
          <w:highlight w:val="none"/>
          <w:u w:val="single"/>
          <w:lang w:val="en-US" w:eastAsia="zh-CN"/>
        </w:rPr>
        <w:t>幕墙四性</w:t>
      </w:r>
      <w:r>
        <w:rPr>
          <w:rFonts w:hint="eastAsia" w:ascii="宋体" w:hAnsi="宋体" w:cs="宋体"/>
          <w:kern w:val="0"/>
          <w:sz w:val="28"/>
          <w:szCs w:val="28"/>
          <w:highlight w:val="none"/>
          <w:u w:val="single"/>
        </w:rPr>
        <w:t xml:space="preserve">检测 </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服务</w:t>
      </w:r>
      <w:r>
        <w:rPr>
          <w:rFonts w:hint="eastAsia" w:ascii="宋体" w:hAnsi="宋体" w:cs="宋体"/>
          <w:sz w:val="28"/>
          <w:szCs w:val="28"/>
          <w:highlight w:val="none"/>
        </w:rPr>
        <w:t>，</w:t>
      </w:r>
      <w:r>
        <w:rPr>
          <w:rFonts w:hint="eastAsia" w:ascii="宋体" w:hAnsi="宋体" w:cs="宋体"/>
          <w:kern w:val="0"/>
          <w:sz w:val="28"/>
          <w:szCs w:val="28"/>
          <w:highlight w:val="none"/>
        </w:rPr>
        <w:t>合同价为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万元</w:t>
      </w:r>
      <w:r>
        <w:rPr>
          <w:rFonts w:hint="eastAsia" w:ascii="宋体" w:hAnsi="宋体" w:cs="宋体"/>
          <w:sz w:val="28"/>
          <w:szCs w:val="28"/>
          <w:highlight w:val="none"/>
        </w:rPr>
        <w:t>。</w:t>
      </w:r>
      <w:r>
        <w:rPr>
          <w:rFonts w:hint="eastAsia" w:ascii="宋体" w:hAnsi="宋体" w:cs="宋体"/>
          <w:kern w:val="0"/>
          <w:sz w:val="28"/>
          <w:szCs w:val="28"/>
          <w:highlight w:val="none"/>
        </w:rPr>
        <w:t>请贵司收到此函后组织人员尽快开展工作，并与我</w:t>
      </w:r>
      <w:r>
        <w:rPr>
          <w:rFonts w:hint="eastAsia" w:ascii="宋体" w:hAnsi="宋体" w:cs="宋体"/>
          <w:kern w:val="0"/>
          <w:sz w:val="28"/>
          <w:szCs w:val="28"/>
          <w:highlight w:val="none"/>
          <w:lang w:val="en-US" w:eastAsia="zh-CN"/>
        </w:rPr>
        <w:t>司</w:t>
      </w:r>
      <w:r>
        <w:rPr>
          <w:rFonts w:hint="eastAsia" w:ascii="宋体" w:hAnsi="宋体" w:cs="宋体"/>
          <w:kern w:val="0"/>
          <w:sz w:val="28"/>
          <w:szCs w:val="28"/>
          <w:highlight w:val="none"/>
        </w:rPr>
        <w:t>联系协商签订合同事宜。</w:t>
      </w:r>
    </w:p>
    <w:p w14:paraId="5A772E6C">
      <w:pPr>
        <w:spacing w:line="560" w:lineRule="atLeast"/>
        <w:ind w:firstLine="560" w:firstLineChars="200"/>
        <w:rPr>
          <w:rFonts w:ascii="宋体" w:hAnsi="宋体" w:cs="宋体"/>
          <w:sz w:val="28"/>
          <w:szCs w:val="28"/>
          <w:highlight w:val="none"/>
        </w:rPr>
      </w:pPr>
      <w:r>
        <w:rPr>
          <w:rFonts w:hint="eastAsia" w:ascii="宋体" w:hAnsi="宋体" w:cs="宋体"/>
          <w:sz w:val="28"/>
          <w:szCs w:val="28"/>
          <w:highlight w:val="none"/>
        </w:rPr>
        <w:t>此函。</w:t>
      </w:r>
    </w:p>
    <w:p w14:paraId="1DDE7BD5">
      <w:pPr>
        <w:adjustRightInd w:val="0"/>
        <w:snapToGrid w:val="0"/>
        <w:spacing w:line="560" w:lineRule="atLeast"/>
        <w:ind w:firstLine="560" w:firstLineChars="200"/>
        <w:jc w:val="right"/>
        <w:rPr>
          <w:rFonts w:ascii="宋体" w:hAnsi="宋体" w:cs="宋体"/>
          <w:sz w:val="28"/>
          <w:szCs w:val="28"/>
          <w:highlight w:val="none"/>
        </w:rPr>
      </w:pPr>
    </w:p>
    <w:p w14:paraId="0E3C37AF">
      <w:pPr>
        <w:adjustRightInd w:val="0"/>
        <w:snapToGrid w:val="0"/>
        <w:spacing w:line="560" w:lineRule="atLeast"/>
        <w:ind w:firstLine="560" w:firstLineChars="200"/>
        <w:jc w:val="right"/>
        <w:rPr>
          <w:rFonts w:hint="eastAsia" w:ascii="宋体" w:hAnsi="宋体" w:cs="宋体"/>
          <w:sz w:val="28"/>
          <w:szCs w:val="28"/>
          <w:highlight w:val="none"/>
        </w:rPr>
      </w:pPr>
    </w:p>
    <w:p w14:paraId="5C2B101C">
      <w:pPr>
        <w:adjustRightInd w:val="0"/>
        <w:snapToGrid w:val="0"/>
        <w:spacing w:line="560" w:lineRule="atLeast"/>
        <w:ind w:firstLine="560" w:firstLineChars="200"/>
        <w:jc w:val="right"/>
        <w:rPr>
          <w:rFonts w:hint="eastAsia" w:ascii="宋体" w:hAnsi="宋体" w:cs="宋体"/>
          <w:sz w:val="28"/>
          <w:szCs w:val="28"/>
          <w:highlight w:val="none"/>
        </w:rPr>
      </w:pPr>
    </w:p>
    <w:p w14:paraId="1594F1F1">
      <w:pPr>
        <w:adjustRightInd w:val="0"/>
        <w:snapToGrid w:val="0"/>
        <w:spacing w:line="560" w:lineRule="atLeast"/>
        <w:ind w:firstLine="560" w:firstLineChars="200"/>
        <w:jc w:val="right"/>
        <w:rPr>
          <w:rFonts w:ascii="宋体" w:hAnsi="宋体" w:cs="宋体"/>
          <w:sz w:val="28"/>
          <w:szCs w:val="28"/>
          <w:highlight w:val="none"/>
        </w:rPr>
      </w:pPr>
      <w:r>
        <w:rPr>
          <w:rFonts w:hint="eastAsia" w:ascii="宋体" w:hAnsi="宋体" w:cs="宋体"/>
          <w:sz w:val="28"/>
          <w:szCs w:val="28"/>
          <w:highlight w:val="none"/>
        </w:rPr>
        <w:t xml:space="preserve">  </w:t>
      </w:r>
    </w:p>
    <w:p w14:paraId="6227500E">
      <w:pPr>
        <w:adjustRightInd w:val="0"/>
        <w:snapToGrid w:val="0"/>
        <w:spacing w:line="560" w:lineRule="atLeast"/>
        <w:ind w:firstLine="560" w:firstLineChars="200"/>
        <w:jc w:val="right"/>
        <w:rPr>
          <w:rFonts w:ascii="宋体" w:hAnsi="宋体" w:cs="宋体"/>
          <w:sz w:val="28"/>
          <w:szCs w:val="28"/>
          <w:highlight w:val="none"/>
        </w:rPr>
      </w:pPr>
    </w:p>
    <w:p w14:paraId="2AFD18AA">
      <w:pPr>
        <w:adjustRightInd w:val="0"/>
        <w:snapToGrid w:val="0"/>
        <w:spacing w:line="560" w:lineRule="atLeas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深圳市龙岗区城投绿色低碳新能源产业发展有限公司</w:t>
      </w:r>
    </w:p>
    <w:p w14:paraId="10AD2842">
      <w:pPr>
        <w:pStyle w:val="23"/>
        <w:rPr>
          <w:rFonts w:hint="eastAsia"/>
          <w:highlight w:val="none"/>
        </w:rPr>
      </w:pPr>
    </w:p>
    <w:p w14:paraId="6CF43428">
      <w:pPr>
        <w:widowControl/>
        <w:spacing w:line="560" w:lineRule="atLeast"/>
        <w:jc w:val="center"/>
        <w:rPr>
          <w:rFonts w:hint="eastAsia" w:ascii="宋体" w:hAnsi="宋体" w:cs="宋体"/>
          <w:sz w:val="28"/>
          <w:szCs w:val="28"/>
          <w:highlight w:val="none"/>
        </w:rPr>
      </w:pPr>
      <w:r>
        <w:rPr>
          <w:rFonts w:hint="eastAsia" w:ascii="宋体" w:hAnsi="宋体" w:cs="宋体"/>
          <w:sz w:val="28"/>
          <w:szCs w:val="28"/>
          <w:highlight w:val="none"/>
        </w:rPr>
        <w:t xml:space="preserve">                          年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 月   日</w:t>
      </w:r>
    </w:p>
    <w:p w14:paraId="1DF8EE6B">
      <w:pPr>
        <w:spacing w:line="440" w:lineRule="exact"/>
        <w:jc w:val="center"/>
        <w:rPr>
          <w:color w:val="auto"/>
          <w:highlight w:val="none"/>
        </w:rPr>
      </w:pPr>
    </w:p>
    <w:p w14:paraId="085C47BE">
      <w:pPr>
        <w:snapToGrid w:val="0"/>
        <w:spacing w:line="530" w:lineRule="exact"/>
        <w:contextualSpacing/>
        <w:jc w:val="left"/>
        <w:rPr>
          <w:rFonts w:hint="eastAsia" w:ascii="楷体" w:hAnsi="楷体" w:eastAsia="楷体" w:cs="楷体"/>
          <w:snapToGrid w:val="0"/>
          <w:color w:val="000000"/>
          <w:kern w:val="0"/>
          <w:sz w:val="24"/>
          <w:szCs w:val="24"/>
          <w:highlight w:val="none"/>
        </w:rPr>
      </w:pPr>
      <w:r>
        <w:rPr>
          <w:rFonts w:hint="default" w:eastAsia="宋体"/>
          <w:b/>
          <w:bCs/>
          <w:color w:val="auto"/>
          <w:sz w:val="32"/>
          <w:szCs w:val="32"/>
          <w:highlight w:val="none"/>
          <w:lang w:val="en-US" w:eastAsia="zh-CN"/>
        </w:rPr>
        <w:br w:type="page"/>
      </w:r>
    </w:p>
    <w:p w14:paraId="10F5ADAB">
      <w:pPr>
        <w:pStyle w:val="2"/>
        <w:numPr>
          <w:ilvl w:val="0"/>
          <w:numId w:val="0"/>
        </w:numPr>
        <w:tabs>
          <w:tab w:val="clear" w:pos="1080"/>
        </w:tabs>
        <w:spacing w:line="360" w:lineRule="auto"/>
        <w:ind w:left="0" w:firstLine="0"/>
        <w:jc w:val="both"/>
        <w:rPr>
          <w:rFonts w:hint="eastAsia" w:ascii="宋体" w:hAnsi="宋体" w:cs="宋体"/>
          <w:color w:val="auto"/>
          <w:kern w:val="0"/>
          <w:szCs w:val="21"/>
          <w:highlight w:val="none"/>
          <w:u w:val="single"/>
          <w:lang w:val="en-US" w:eastAsia="zh-CN"/>
        </w:rPr>
      </w:pP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：廉政</w:t>
      </w:r>
      <w:r>
        <w:rPr>
          <w:rFonts w:hint="eastAsia" w:ascii="宋体" w:hAnsi="宋体" w:cs="宋体"/>
          <w:color w:val="auto"/>
          <w:sz w:val="21"/>
          <w:szCs w:val="21"/>
          <w:highlight w:val="none"/>
          <w:lang w:eastAsia="zh-CN"/>
        </w:rPr>
        <w:t>协议</w:t>
      </w:r>
    </w:p>
    <w:p w14:paraId="52B3A9E0">
      <w:pPr>
        <w:spacing w:line="360" w:lineRule="auto"/>
        <w:jc w:val="center"/>
        <w:rPr>
          <w:rFonts w:hint="eastAsia" w:ascii="宋体"/>
          <w:b/>
          <w:color w:val="auto"/>
          <w:spacing w:val="20"/>
          <w:sz w:val="32"/>
          <w:szCs w:val="32"/>
          <w:highlight w:val="none"/>
          <w:shd w:val="clear" w:color="auto" w:fill="auto"/>
          <w:lang w:eastAsia="zh-CN"/>
        </w:rPr>
      </w:pPr>
      <w:r>
        <w:rPr>
          <w:rFonts w:hint="eastAsia" w:ascii="宋体"/>
          <w:b/>
          <w:color w:val="auto"/>
          <w:spacing w:val="20"/>
          <w:sz w:val="32"/>
          <w:szCs w:val="32"/>
          <w:highlight w:val="none"/>
          <w:shd w:val="clear" w:color="auto" w:fill="auto"/>
          <w:lang w:eastAsia="zh-CN"/>
        </w:rPr>
        <w:t>廉政协议</w:t>
      </w:r>
    </w:p>
    <w:p w14:paraId="02D44BA0">
      <w:pPr>
        <w:pStyle w:val="52"/>
        <w:rPr>
          <w:rFonts w:ascii="Times New Roman"/>
          <w:b w:val="0"/>
          <w:color w:val="auto"/>
          <w:sz w:val="21"/>
          <w:szCs w:val="20"/>
          <w:highlight w:val="none"/>
          <w:shd w:val="clear" w:color="auto" w:fill="auto"/>
          <w:lang w:eastAsia="zh-CN"/>
        </w:rPr>
      </w:pPr>
    </w:p>
    <w:p w14:paraId="55161E13">
      <w:pPr>
        <w:spacing w:before="120" w:beforeLines="50" w:after="120" w:afterLines="50" w:line="360" w:lineRule="auto"/>
        <w:contextualSpacing/>
        <w:rPr>
          <w:rFonts w:asci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 xml:space="preserve">    甲乙双方为加强阳光合作，保证职员职业安全，甲乙双方经协商签订本协议并作为双方共同遵守的廉政行为准则。</w:t>
      </w:r>
    </w:p>
    <w:p w14:paraId="59133869">
      <w:pPr>
        <w:widowControl/>
        <w:numPr>
          <w:ilvl w:val="0"/>
          <w:numId w:val="8"/>
        </w:numPr>
        <w:spacing w:before="120" w:beforeLines="50" w:after="120" w:afterLines="50" w:line="360" w:lineRule="auto"/>
        <w:contextualSpacing/>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甲方责任</w:t>
      </w:r>
    </w:p>
    <w:p w14:paraId="3AF05836">
      <w:pPr>
        <w:spacing w:before="120" w:beforeLines="50" w:after="120" w:afterLines="50" w:line="360" w:lineRule="auto"/>
        <w:ind w:left="105" w:leftChars="50" w:firstLine="420" w:firstLineChars="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1.甲方从事</w:t>
      </w:r>
      <w:r>
        <w:rPr>
          <w:rFonts w:hint="eastAsia" w:ascii="宋体" w:hAnsi="宋体" w:cs="Times New Roman"/>
          <w:color w:val="auto"/>
          <w:kern w:val="2"/>
          <w:sz w:val="21"/>
          <w:szCs w:val="21"/>
          <w:highlight w:val="none"/>
          <w:shd w:val="clear" w:color="auto" w:fill="auto"/>
        </w:rPr>
        <w:t>业务活动必须坚持公开、公平、公正、诚信、透明的原则（除法律法规认定的商业秘密和合同文件另有规定者外）。</w:t>
      </w:r>
    </w:p>
    <w:p w14:paraId="5434F134">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 xml:space="preserve">3.甲方人员应严格遵守本单位有关廉政管理的规定，不得接受乙方任何形式的回扣、实物、现金、有价证券、礼券等有价物品，不得参加乙方提供的旅游或其他可能影响职务行为公正履行的活动。 </w:t>
      </w:r>
    </w:p>
    <w:p w14:paraId="66AEA6CE">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4.甲方人员如违反廉政管理制度及本协议规定，甲方视情节轻重、影响大小给予处罚，或移交司法机关处理。</w:t>
      </w:r>
    </w:p>
    <w:p w14:paraId="1512CADB">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5．对于乙方举报甲方人员违反廉政规定的情况，甲方应及时进行调查，根据调查情况进行处理，并将调查结果向乙方反馈。</w:t>
      </w:r>
    </w:p>
    <w:p w14:paraId="7E661539">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6.接受举报的一方应为举报方保密，不得对举报方进行报复。</w:t>
      </w:r>
    </w:p>
    <w:p w14:paraId="1AE1A27B">
      <w:pPr>
        <w:widowControl/>
        <w:numPr>
          <w:ilvl w:val="0"/>
          <w:numId w:val="8"/>
        </w:numPr>
        <w:spacing w:before="120" w:beforeLines="50" w:after="120" w:afterLines="50" w:line="360" w:lineRule="auto"/>
        <w:contextualSpacing/>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乙方责任</w:t>
      </w:r>
    </w:p>
    <w:p w14:paraId="7450CF30">
      <w:pPr>
        <w:spacing w:before="120" w:beforeLines="50" w:after="120" w:afterLines="50" w:line="360" w:lineRule="auto"/>
        <w:ind w:left="105" w:leftChars="50" w:firstLine="420"/>
        <w:contextualSpacing/>
        <w:rPr>
          <w:rFonts w:hint="eastAsia" w:ascii="宋体" w:hAnsi="宋体" w:cs="Times New Roman"/>
          <w:color w:val="auto"/>
          <w:kern w:val="2"/>
          <w:sz w:val="21"/>
          <w:szCs w:val="21"/>
          <w:highlight w:val="none"/>
          <w:shd w:val="clear" w:color="auto" w:fill="auto"/>
        </w:rPr>
      </w:pPr>
      <w:r>
        <w:rPr>
          <w:rFonts w:hint="eastAsia" w:ascii="宋体" w:hAnsi="宋体" w:cs="Times New Roman"/>
          <w:color w:val="auto"/>
          <w:kern w:val="2"/>
          <w:sz w:val="21"/>
          <w:szCs w:val="21"/>
          <w:highlight w:val="none"/>
          <w:shd w:val="clear" w:color="auto" w:fill="auto"/>
        </w:rPr>
        <w:t>乙方应与甲方保持正常的业务交往，按照有关法律法规和程序开展业务活动</w:t>
      </w:r>
      <w:r>
        <w:rPr>
          <w:rFonts w:hint="eastAsia" w:ascii="宋体" w:hAnsi="宋体" w:cs="Times New Roman"/>
          <w:color w:val="auto"/>
          <w:kern w:val="2"/>
          <w:sz w:val="21"/>
          <w:szCs w:val="21"/>
          <w:highlight w:val="none"/>
          <w:shd w:val="clear" w:color="auto" w:fill="auto"/>
          <w:lang w:eastAsia="zh-CN"/>
        </w:rPr>
        <w:t>。</w:t>
      </w:r>
    </w:p>
    <w:p w14:paraId="257738A9">
      <w:pPr>
        <w:spacing w:before="120" w:beforeLines="50" w:after="120" w:afterLines="50" w:line="360" w:lineRule="auto"/>
        <w:ind w:left="105" w:leftChars="50" w:firstLine="420" w:firstLineChars="200"/>
        <w:contextualSpacing/>
        <w:rPr>
          <w:rFonts w:hint="eastAsia"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lang w:eastAsia="zh-CN"/>
        </w:rPr>
        <w:t>.乙方不得以任何形式给予甲方人员回扣、赠送实物、现金、有价证券、礼券等有价物品或提供旅游等其他可能影响职务行为公正履行的活动（以下统称“财物”）。</w:t>
      </w:r>
    </w:p>
    <w:p w14:paraId="43F1FF53">
      <w:pPr>
        <w:spacing w:before="120" w:beforeLines="50" w:after="120" w:afterLines="50" w:line="360" w:lineRule="auto"/>
        <w:ind w:left="105" w:leftChars="50" w:firstLine="420" w:firstLineChars="200"/>
        <w:contextualSpacing/>
        <w:rPr>
          <w:rFonts w:hint="eastAsia"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val="en-US" w:eastAsia="zh-CN"/>
        </w:rPr>
        <w:t>2</w:t>
      </w:r>
      <w:r>
        <w:rPr>
          <w:rFonts w:hint="eastAsia" w:ascii="宋体" w:hAnsi="宋体"/>
          <w:color w:val="auto"/>
          <w:sz w:val="21"/>
          <w:szCs w:val="21"/>
          <w:highlight w:val="none"/>
          <w:shd w:val="clear" w:color="auto" w:fill="auto"/>
          <w:lang w:eastAsia="zh-CN"/>
        </w:rPr>
        <w:t>.乙方有责任接受甲方对乙方在合作期间廉政管理执行情况的监督，并对甲方相关调查工作主动配合。</w:t>
      </w:r>
    </w:p>
    <w:p w14:paraId="39E0BF41">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val="en-US" w:eastAsia="zh-CN"/>
        </w:rPr>
        <w:t>3</w:t>
      </w:r>
      <w:r>
        <w:rPr>
          <w:rFonts w:hint="eastAsia" w:ascii="宋体" w:hAnsi="宋体"/>
          <w:color w:val="auto"/>
          <w:sz w:val="21"/>
          <w:szCs w:val="21"/>
          <w:highlight w:val="none"/>
          <w:shd w:val="clear" w:color="auto" w:fill="auto"/>
          <w:lang w:eastAsia="zh-CN"/>
        </w:rPr>
        <w:t>.乙方有义务就甲方人员任何形式的索取或收受财物行为及时向甲方举报。如乙方或其他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684BEB34">
      <w:pPr>
        <w:spacing w:before="120" w:beforeLines="50" w:afterLines="50" w:line="360" w:lineRule="auto"/>
        <w:ind w:left="105" w:leftChars="50" w:firstLine="420" w:firstLineChars="200"/>
        <w:contextualSpacing/>
        <w:rPr>
          <w:color w:val="auto"/>
          <w:highlight w:val="none"/>
          <w:lang w:eastAsia="zh-CN"/>
        </w:rPr>
      </w:pPr>
      <w:r>
        <w:rPr>
          <w:rFonts w:hint="eastAsia" w:ascii="宋体" w:hAnsi="宋体"/>
          <w:color w:val="auto"/>
          <w:sz w:val="21"/>
          <w:szCs w:val="21"/>
          <w:highlight w:val="none"/>
          <w:shd w:val="clear" w:color="auto" w:fill="auto"/>
          <w:lang w:val="en-US" w:eastAsia="zh-CN"/>
        </w:rPr>
        <w:t>4</w:t>
      </w:r>
      <w:r>
        <w:rPr>
          <w:rFonts w:hint="eastAsia" w:ascii="宋体" w:hAnsi="宋体"/>
          <w:color w:val="auto"/>
          <w:sz w:val="21"/>
          <w:szCs w:val="21"/>
          <w:highlight w:val="none"/>
          <w:shd w:val="clear" w:color="auto" w:fill="auto"/>
          <w:lang w:eastAsia="zh-CN"/>
        </w:rPr>
        <w:t>．甲方接受乙方实名或匿名举报，保证为举报者的信息保密。</w:t>
      </w:r>
    </w:p>
    <w:p w14:paraId="5FF16737">
      <w:pPr>
        <w:widowControl/>
        <w:numPr>
          <w:ilvl w:val="0"/>
          <w:numId w:val="8"/>
        </w:numPr>
        <w:spacing w:before="120" w:beforeLines="50" w:after="120" w:afterLines="50" w:line="360" w:lineRule="auto"/>
        <w:contextualSpacing/>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其他</w:t>
      </w:r>
    </w:p>
    <w:p w14:paraId="5E2E0E4F">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本协议经双方签署后生效。</w:t>
      </w:r>
    </w:p>
    <w:p w14:paraId="35B8A863">
      <w:pPr>
        <w:spacing w:before="120" w:beforeLines="50" w:after="120" w:afterLines="50" w:line="360" w:lineRule="auto"/>
        <w:ind w:right="26" w:firstLine="315" w:firstLineChars="150"/>
        <w:contextualSpacing/>
        <w:jc w:val="left"/>
        <w:rPr>
          <w:rFonts w:hint="eastAsia" w:ascii="宋体" w:hAnsi="宋体" w:cs="Times New Roman"/>
          <w:color w:val="auto"/>
          <w:kern w:val="0"/>
          <w:sz w:val="21"/>
          <w:szCs w:val="21"/>
          <w:highlight w:val="none"/>
          <w:shd w:val="clear" w:color="auto" w:fill="auto"/>
          <w:lang w:eastAsia="zh-CN"/>
        </w:rPr>
      </w:pPr>
    </w:p>
    <w:p w14:paraId="7BA406BF">
      <w:pPr>
        <w:spacing w:before="120" w:beforeLines="50" w:after="120" w:afterLines="50" w:line="360" w:lineRule="auto"/>
        <w:ind w:right="26" w:firstLine="315" w:firstLineChars="150"/>
        <w:contextualSpacing/>
        <w:jc w:val="left"/>
        <w:rPr>
          <w:rFonts w:hint="eastAsia" w:ascii="宋体" w:hAnsi="宋体" w:cs="Times New Roman"/>
          <w:color w:val="auto"/>
          <w:kern w:val="0"/>
          <w:sz w:val="21"/>
          <w:szCs w:val="21"/>
          <w:highlight w:val="none"/>
          <w:shd w:val="clear" w:color="auto" w:fill="auto"/>
          <w:lang w:eastAsia="zh-CN"/>
        </w:rPr>
      </w:pPr>
    </w:p>
    <w:p w14:paraId="122ED838">
      <w:pPr>
        <w:spacing w:before="120" w:beforeLines="50" w:after="120" w:afterLines="50" w:line="360" w:lineRule="auto"/>
        <w:ind w:right="26" w:firstLine="315" w:firstLineChars="150"/>
        <w:contextualSpacing/>
        <w:jc w:val="left"/>
        <w:rPr>
          <w:rFonts w:hint="eastAsia" w:ascii="宋体" w:hAnsi="宋体" w:cs="Times New Roman"/>
          <w:color w:val="auto"/>
          <w:kern w:val="0"/>
          <w:sz w:val="21"/>
          <w:szCs w:val="21"/>
          <w:highlight w:val="none"/>
          <w:shd w:val="clear" w:color="auto" w:fill="auto"/>
        </w:rPr>
      </w:pPr>
      <w:r>
        <w:rPr>
          <w:rFonts w:hint="eastAsia" w:ascii="宋体" w:hAnsi="宋体" w:cs="Times New Roman"/>
          <w:color w:val="auto"/>
          <w:kern w:val="0"/>
          <w:sz w:val="21"/>
          <w:szCs w:val="21"/>
          <w:highlight w:val="none"/>
          <w:shd w:val="clear" w:color="auto" w:fill="auto"/>
          <w:lang w:eastAsia="zh-CN"/>
        </w:rPr>
        <w:t>甲方</w:t>
      </w:r>
      <w:r>
        <w:rPr>
          <w:rFonts w:hint="eastAsia" w:ascii="宋体" w:hAnsi="宋体" w:cs="Times New Roman"/>
          <w:color w:val="auto"/>
          <w:kern w:val="0"/>
          <w:sz w:val="21"/>
          <w:szCs w:val="21"/>
          <w:highlight w:val="none"/>
          <w:shd w:val="clear" w:color="auto" w:fill="auto"/>
        </w:rPr>
        <w:t>（盖章）：</w:t>
      </w:r>
      <w:r>
        <w:rPr>
          <w:rFonts w:hint="eastAsia" w:ascii="宋体" w:hAnsi="宋体" w:cs="Times New Roman"/>
          <w:color w:val="auto"/>
          <w:kern w:val="0"/>
          <w:sz w:val="21"/>
          <w:szCs w:val="21"/>
          <w:highlight w:val="none"/>
          <w:shd w:val="clear" w:color="auto" w:fill="auto"/>
          <w:lang w:val="en-US" w:eastAsia="zh-CN"/>
        </w:rPr>
        <w:t xml:space="preserve">                              </w:t>
      </w:r>
      <w:r>
        <w:rPr>
          <w:rFonts w:hint="eastAsia" w:ascii="宋体" w:hAnsi="宋体" w:cs="Times New Roman"/>
          <w:color w:val="auto"/>
          <w:kern w:val="0"/>
          <w:sz w:val="21"/>
          <w:szCs w:val="21"/>
          <w:highlight w:val="none"/>
          <w:shd w:val="clear" w:color="auto" w:fill="auto"/>
          <w:lang w:eastAsia="zh-CN"/>
        </w:rPr>
        <w:t>乙方</w:t>
      </w:r>
      <w:r>
        <w:rPr>
          <w:rFonts w:hint="eastAsia" w:ascii="宋体" w:hAnsi="宋体" w:cs="Times New Roman"/>
          <w:color w:val="auto"/>
          <w:kern w:val="0"/>
          <w:sz w:val="21"/>
          <w:szCs w:val="21"/>
          <w:highlight w:val="none"/>
          <w:shd w:val="clear" w:color="auto" w:fill="auto"/>
        </w:rPr>
        <w:t>（盖章）：</w:t>
      </w:r>
    </w:p>
    <w:p w14:paraId="5D125375">
      <w:pPr>
        <w:spacing w:before="120" w:beforeLines="50" w:after="120" w:afterLines="50" w:line="360" w:lineRule="auto"/>
        <w:ind w:right="26" w:firstLine="0" w:firstLineChars="0"/>
        <w:contextualSpacing/>
        <w:jc w:val="left"/>
        <w:rPr>
          <w:rFonts w:hint="eastAsia" w:ascii="宋体" w:hAnsi="宋体" w:cs="Times New Roman"/>
          <w:b w:val="0"/>
          <w:bCs w:val="0"/>
          <w:color w:val="auto"/>
          <w:kern w:val="0"/>
          <w:sz w:val="21"/>
          <w:szCs w:val="21"/>
          <w:highlight w:val="none"/>
          <w:shd w:val="clear" w:color="auto" w:fill="auto"/>
        </w:rPr>
      </w:pPr>
    </w:p>
    <w:p w14:paraId="5E00C7B9">
      <w:pPr>
        <w:spacing w:before="120" w:beforeLines="50" w:after="120" w:afterLines="50" w:line="360" w:lineRule="auto"/>
        <w:ind w:right="26" w:firstLine="315" w:firstLineChars="150"/>
        <w:contextualSpacing/>
        <w:jc w:val="left"/>
        <w:rPr>
          <w:rFonts w:hint="eastAsia" w:ascii="宋体" w:hAnsi="宋体" w:eastAsia="宋体" w:cs="Times New Roman"/>
          <w:b w:val="0"/>
          <w:bCs w:val="0"/>
          <w:color w:val="auto"/>
          <w:sz w:val="21"/>
          <w:szCs w:val="21"/>
          <w:highlight w:val="none"/>
          <w:shd w:val="clear" w:color="auto" w:fill="auto"/>
        </w:rPr>
      </w:pPr>
    </w:p>
    <w:p w14:paraId="696C1791">
      <w:pPr>
        <w:spacing w:before="120" w:beforeLines="50" w:after="120" w:afterLines="50" w:line="360" w:lineRule="auto"/>
        <w:ind w:right="26" w:firstLine="840" w:firstLineChars="400"/>
        <w:contextualSpacing/>
        <w:rPr>
          <w:rFonts w:ascii="宋体" w:hAnsi="宋体"/>
          <w:color w:val="auto"/>
          <w:sz w:val="21"/>
          <w:szCs w:val="21"/>
          <w:highlight w:val="none"/>
          <w:shd w:val="clear" w:color="auto" w:fill="auto"/>
        </w:rPr>
      </w:pPr>
      <w:r>
        <w:rPr>
          <w:rFonts w:hint="eastAsia" w:ascii="宋体" w:hAnsi="宋体" w:cs="Times New Roman"/>
          <w:b w:val="0"/>
          <w:bCs w:val="0"/>
          <w:color w:val="auto"/>
          <w:kern w:val="0"/>
          <w:sz w:val="21"/>
          <w:szCs w:val="21"/>
          <w:highlight w:val="none"/>
          <w:shd w:val="clear" w:color="auto" w:fill="auto"/>
          <w:lang w:val="en-US" w:eastAsia="zh-CN"/>
        </w:rPr>
        <w:t xml:space="preserve">                                    </w:t>
      </w:r>
    </w:p>
    <w:p w14:paraId="5531A8C0">
      <w:pPr>
        <w:spacing w:before="120" w:beforeLines="50" w:after="120" w:afterLines="50" w:line="360" w:lineRule="auto"/>
        <w:ind w:right="26" w:firstLine="315" w:firstLineChars="150"/>
        <w:contextualSpacing/>
        <w:rPr>
          <w:rFonts w:asci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法定代表人（授权代表）：</w:t>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val="en-US" w:eastAsia="zh-CN"/>
        </w:rPr>
        <w:t xml:space="preserve">       </w:t>
      </w:r>
      <w:r>
        <w:rPr>
          <w:rFonts w:hint="eastAsia" w:ascii="宋体" w:hAnsi="宋体"/>
          <w:color w:val="auto"/>
          <w:sz w:val="21"/>
          <w:szCs w:val="21"/>
          <w:highlight w:val="none"/>
          <w:shd w:val="clear" w:color="auto" w:fill="auto"/>
          <w:lang w:eastAsia="zh-CN"/>
        </w:rPr>
        <w:t>法定代表人（授权代表）：</w:t>
      </w:r>
    </w:p>
    <w:p w14:paraId="11D13FC3">
      <w:pPr>
        <w:spacing w:before="120" w:beforeLines="50" w:after="120" w:afterLines="50" w:line="360" w:lineRule="auto"/>
        <w:ind w:right="26" w:firstLine="840" w:firstLineChars="400"/>
        <w:contextualSpacing/>
        <w:rPr>
          <w:rFonts w:ascii="宋体" w:hAnsi="宋体"/>
          <w:color w:val="auto"/>
          <w:sz w:val="21"/>
          <w:szCs w:val="21"/>
          <w:highlight w:val="none"/>
          <w:shd w:val="clear" w:color="auto" w:fill="auto"/>
          <w:lang w:eastAsia="zh-CN"/>
        </w:rPr>
      </w:pPr>
    </w:p>
    <w:p w14:paraId="7E090F3A">
      <w:pPr>
        <w:pStyle w:val="43"/>
        <w:tabs>
          <w:tab w:val="right" w:leader="dot" w:pos="8949"/>
        </w:tabs>
        <w:rPr>
          <w:color w:val="auto"/>
          <w:highlight w:val="none"/>
          <w:lang w:eastAsia="zh-CN"/>
        </w:rPr>
      </w:pPr>
    </w:p>
    <w:p w14:paraId="4492486B">
      <w:pPr>
        <w:spacing w:before="120" w:beforeLines="50" w:after="120" w:afterLines="50" w:line="360" w:lineRule="auto"/>
        <w:ind w:right="26" w:firstLine="315" w:firstLineChars="150"/>
        <w:contextualSpacing/>
        <w:rPr>
          <w:color w:val="auto"/>
          <w:highlight w:val="none"/>
          <w:shd w:val="clear" w:color="auto" w:fill="auto"/>
          <w:lang w:eastAsia="zh-CN"/>
        </w:rPr>
      </w:pPr>
      <w:r>
        <w:rPr>
          <w:rFonts w:hint="eastAsia" w:ascii="宋体" w:hAnsi="宋体"/>
          <w:color w:val="auto"/>
          <w:sz w:val="21"/>
          <w:szCs w:val="21"/>
          <w:highlight w:val="none"/>
          <w:shd w:val="clear" w:color="auto" w:fill="auto"/>
          <w:lang w:eastAsia="zh-CN"/>
        </w:rPr>
        <w:t>签订日期：   年   月   日</w:t>
      </w:r>
      <w:r>
        <w:rPr>
          <w:color w:val="auto"/>
          <w:sz w:val="21"/>
          <w:szCs w:val="21"/>
          <w:highlight w:val="none"/>
          <w:shd w:val="clear" w:color="auto" w:fill="auto"/>
          <w:lang w:eastAsia="zh-CN"/>
        </w:rPr>
        <w:tab/>
      </w:r>
    </w:p>
    <w:p w14:paraId="0F0C9454">
      <w:pPr>
        <w:pStyle w:val="43"/>
        <w:tabs>
          <w:tab w:val="right" w:leader="dot" w:pos="8494"/>
        </w:tabs>
        <w:spacing w:line="360" w:lineRule="auto"/>
        <w:rPr>
          <w:rFonts w:hint="eastAsia" w:ascii="宋体" w:hAnsi="宋体" w:cs="宋体"/>
          <w:color w:val="auto"/>
          <w:sz w:val="21"/>
          <w:szCs w:val="21"/>
          <w:highlight w:val="none"/>
          <w:lang w:val="en-US" w:eastAsia="zh-CN"/>
        </w:rPr>
      </w:pPr>
      <w:r>
        <w:rPr>
          <w:rFonts w:hint="eastAsia" w:cs="宋体"/>
          <w:color w:val="auto"/>
          <w:sz w:val="28"/>
          <w:szCs w:val="28"/>
          <w:highlight w:val="none"/>
        </w:rPr>
        <w:br w:type="page"/>
      </w: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2</w:t>
      </w:r>
    </w:p>
    <w:p w14:paraId="5B144358">
      <w:pPr>
        <w:pStyle w:val="43"/>
        <w:tabs>
          <w:tab w:val="right" w:leader="dot" w:pos="8494"/>
        </w:tabs>
        <w:spacing w:line="360" w:lineRule="auto"/>
        <w:ind w:firstLine="1285" w:firstLineChars="400"/>
        <w:rPr>
          <w:rStyle w:val="150"/>
          <w:rFonts w:hint="eastAsia" w:ascii="宋体" w:hAnsi="宋体" w:eastAsia="宋体"/>
          <w:b w:val="0"/>
          <w:bCs w:val="0"/>
          <w:caps w:val="0"/>
          <w:smallCaps w:val="0"/>
          <w:kern w:val="2"/>
          <w:sz w:val="24"/>
          <w:szCs w:val="24"/>
          <w:highlight w:val="none"/>
          <w:lang w:val="en-US" w:eastAsia="zh-CN" w:bidi="ar-SA"/>
        </w:rPr>
      </w:pPr>
      <w:r>
        <w:rPr>
          <w:rStyle w:val="149"/>
          <w:rFonts w:hint="eastAsia" w:ascii="宋体" w:hAnsi="宋体" w:eastAsia="宋体" w:cs="宋体"/>
          <w:b/>
          <w:bCs/>
          <w:color w:val="auto"/>
          <w:sz w:val="32"/>
          <w:szCs w:val="32"/>
          <w:highlight w:val="none"/>
        </w:rPr>
        <w:t>龙岗区进一步规范政商交往行为告知书</w:t>
      </w:r>
      <w:r>
        <w:rPr>
          <w:rStyle w:val="149"/>
          <w:rFonts w:hint="eastAsia" w:ascii="宋体" w:hAnsi="宋体" w:eastAsia="宋体" w:cs="宋体"/>
          <w:b/>
          <w:bCs/>
          <w:color w:val="auto"/>
          <w:sz w:val="32"/>
          <w:szCs w:val="32"/>
          <w:highlight w:val="none"/>
        </w:rPr>
        <w:br w:type="textWrapping"/>
      </w:r>
      <w:r>
        <w:rPr>
          <w:rFonts w:hint="eastAsia"/>
          <w:color w:val="000000"/>
          <w:highlight w:val="none"/>
        </w:rPr>
        <w:br w:type="textWrapping"/>
      </w:r>
      <w:r>
        <w:rPr>
          <w:rFonts w:hint="eastAsia"/>
          <w:color w:val="000000"/>
          <w:highlight w:val="none"/>
        </w:rPr>
        <w:t xml:space="preserve">    </w:t>
      </w:r>
      <w:r>
        <w:rPr>
          <w:rStyle w:val="150"/>
          <w:rFonts w:hint="eastAsia" w:ascii="宋体" w:hAnsi="宋体" w:eastAsia="宋体"/>
          <w:sz w:val="24"/>
          <w:szCs w:val="24"/>
          <w:highlight w:val="none"/>
        </w:rPr>
        <w:t>为深入构建</w:t>
      </w:r>
      <w:r>
        <w:rPr>
          <w:rStyle w:val="150"/>
          <w:rFonts w:hint="eastAsia" w:ascii="宋体" w:hAnsi="宋体"/>
          <w:sz w:val="24"/>
          <w:szCs w:val="24"/>
          <w:highlight w:val="none"/>
          <w:lang w:eastAsia="zh-CN"/>
        </w:rPr>
        <w:t>“</w:t>
      </w:r>
      <w:r>
        <w:rPr>
          <w:rStyle w:val="150"/>
          <w:rFonts w:hint="eastAsia" w:ascii="宋体" w:hAnsi="宋体" w:eastAsia="宋体"/>
          <w:sz w:val="24"/>
          <w:szCs w:val="24"/>
          <w:highlight w:val="none"/>
        </w:rPr>
        <w:t>亲</w:t>
      </w:r>
      <w:r>
        <w:rPr>
          <w:rStyle w:val="150"/>
          <w:rFonts w:hint="eastAsia" w:ascii="宋体" w:hAnsi="宋体"/>
          <w:sz w:val="24"/>
          <w:szCs w:val="24"/>
          <w:highlight w:val="none"/>
          <w:lang w:eastAsia="zh-CN"/>
        </w:rPr>
        <w:t>”“</w:t>
      </w:r>
      <w:r>
        <w:rPr>
          <w:rStyle w:val="150"/>
          <w:rFonts w:hint="eastAsia" w:ascii="宋体" w:hAnsi="宋体" w:eastAsia="宋体"/>
          <w:sz w:val="24"/>
          <w:szCs w:val="24"/>
          <w:highlight w:val="none"/>
        </w:rPr>
        <w:t>清</w:t>
      </w:r>
      <w:r>
        <w:rPr>
          <w:rStyle w:val="150"/>
          <w:rFonts w:hint="eastAsia" w:ascii="宋体" w:hAnsi="宋体"/>
          <w:sz w:val="24"/>
          <w:szCs w:val="24"/>
          <w:highlight w:val="none"/>
          <w:lang w:eastAsia="zh-CN"/>
        </w:rPr>
        <w:t>”</w:t>
      </w:r>
      <w:r>
        <w:rPr>
          <w:rStyle w:val="150"/>
          <w:rFonts w:hint="eastAsia" w:ascii="宋体" w:hAnsi="宋体" w:eastAsia="宋体"/>
          <w:sz w:val="24"/>
          <w:szCs w:val="24"/>
          <w:highlight w:val="none"/>
        </w:rPr>
        <w:t>新型政商关系， 努力打造尊商、 亲商、 助商、安商良好营商环境，龙岗</w:t>
      </w:r>
      <w:r>
        <w:rPr>
          <w:rStyle w:val="150"/>
          <w:rFonts w:hint="eastAsia" w:ascii="宋体" w:hAnsi="宋体"/>
          <w:sz w:val="24"/>
          <w:szCs w:val="24"/>
          <w:highlight w:val="none"/>
          <w:lang w:eastAsia="zh-CN"/>
        </w:rPr>
        <w:t>区委、区政府</w:t>
      </w:r>
      <w:r>
        <w:rPr>
          <w:rStyle w:val="150"/>
          <w:rFonts w:hint="eastAsia" w:ascii="宋体" w:hAnsi="宋体" w:eastAsia="宋体"/>
          <w:sz w:val="24"/>
          <w:szCs w:val="24"/>
          <w:highlight w:val="none"/>
        </w:rPr>
        <w:t>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sz w:val="24"/>
          <w:szCs w:val="24"/>
          <w:highlight w:val="none"/>
        </w:rPr>
        <w:br w:type="textWrapping"/>
      </w:r>
      <w:r>
        <w:rPr>
          <w:rStyle w:val="150"/>
          <w:rFonts w:hint="eastAsia" w:ascii="宋体" w:eastAsia="宋体"/>
          <w:sz w:val="24"/>
          <w:szCs w:val="24"/>
          <w:highlight w:val="none"/>
          <w:lang w:val="en-US" w:eastAsia="zh-CN"/>
        </w:rPr>
        <w:t xml:space="preserve">  </w:t>
      </w:r>
      <w:r>
        <w:rPr>
          <w:rStyle w:val="150"/>
          <w:rFonts w:hint="eastAsia" w:ascii="宋体" w:hAnsi="宋体" w:eastAsia="宋体"/>
          <w:b w:val="0"/>
          <w:bCs w:val="0"/>
          <w:caps w:val="0"/>
          <w:smallCaps w:val="0"/>
          <w:kern w:val="2"/>
          <w:sz w:val="24"/>
          <w:szCs w:val="24"/>
          <w:highlight w:val="none"/>
          <w:lang w:val="en-US" w:eastAsia="zh-CN" w:bidi="ar-SA"/>
        </w:rPr>
        <w:t>一、 不得向公职人员赠送礼品、 礼金、 消费卡等财物。</w:t>
      </w:r>
    </w:p>
    <w:p w14:paraId="558D24AE">
      <w:pPr>
        <w:pStyle w:val="28"/>
        <w:numPr>
          <w:ilvl w:val="0"/>
          <w:numId w:val="9"/>
        </w:numPr>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不得违规向公职人员提供宴请、 旅游、 娱乐等安排。</w:t>
      </w:r>
    </w:p>
    <w:p w14:paraId="1E743915">
      <w:pPr>
        <w:pStyle w:val="28"/>
        <w:numPr>
          <w:ilvl w:val="0"/>
          <w:numId w:val="9"/>
        </w:numPr>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不得通过打麻将等形式向公职人员输送利益。</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四、 不得为公职人员报销应由其个人支付的费用。</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五、 不得违规向公职人员及其亲友借贷款。</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六、 不得违规将车辆、 住房等借给公职人员使用。</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七、 不得在招投标中与公职人员搞暗箱操作、 围标串标。</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八、 不得为利益相关人和公职人员牵线搭桥或者代为传递信息、 传递财物。</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九、 不得让公职人员在企业违规兼职取酬。</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十、 不得为公职人员亲友违规承揽业务提供便利。</w:t>
      </w:r>
    </w:p>
    <w:p w14:paraId="3BDD8E43">
      <w:pPr>
        <w:pStyle w:val="28"/>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上述“十个不得” ， 请您严格遵守。 同时， 在政商交往中，</w:t>
      </w:r>
      <w:r>
        <w:rPr>
          <w:rStyle w:val="150"/>
          <w:rFonts w:hint="eastAsia" w:hAnsi="宋体"/>
          <w:sz w:val="24"/>
          <w:szCs w:val="24"/>
          <w:highlight w:val="none"/>
          <w:lang w:eastAsia="zh-CN"/>
        </w:rPr>
        <w:t>如</w:t>
      </w:r>
      <w:r>
        <w:rPr>
          <w:rStyle w:val="150"/>
          <w:rFonts w:hint="eastAsia" w:ascii="宋体" w:hAnsi="宋体" w:eastAsia="宋体"/>
          <w:sz w:val="24"/>
          <w:szCs w:val="24"/>
          <w:highlight w:val="none"/>
        </w:rPr>
        <w:t>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w:t>
      </w:r>
    </w:p>
    <w:p w14:paraId="73385B25">
      <w:pPr>
        <w:pStyle w:val="28"/>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本人已知晓上述告知内容， 并愿意遵照执行（签名） ：</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w:t>
      </w:r>
    </w:p>
    <w:p w14:paraId="3AF49130">
      <w:pPr>
        <w:pStyle w:val="28"/>
        <w:spacing w:line="520" w:lineRule="exact"/>
        <w:ind w:firstLine="5280" w:firstLineChars="2200"/>
        <w:rPr>
          <w:rFonts w:hint="eastAsia"/>
          <w:b/>
          <w:bCs/>
          <w:color w:val="auto"/>
          <w:sz w:val="32"/>
          <w:highlight w:val="none"/>
        </w:rPr>
      </w:pPr>
      <w:r>
        <w:rPr>
          <w:rStyle w:val="150"/>
          <w:rFonts w:hint="eastAsia" w:ascii="宋体" w:hAnsi="宋体" w:eastAsia="宋体"/>
          <w:sz w:val="24"/>
          <w:szCs w:val="24"/>
          <w:highlight w:val="none"/>
        </w:rPr>
        <w:t xml:space="preserve">      年    月   日</w:t>
      </w:r>
    </w:p>
    <w:p w14:paraId="794F0AD0">
      <w:pPr>
        <w:pStyle w:val="28"/>
        <w:spacing w:line="520" w:lineRule="exact"/>
        <w:ind w:firstLine="5280" w:firstLineChars="2200"/>
        <w:rPr>
          <w:rFonts w:ascii="宋体" w:hAnsi="宋体" w:eastAsia="宋体"/>
          <w:sz w:val="24"/>
          <w:szCs w:val="24"/>
          <w:highlight w:val="none"/>
        </w:rPr>
      </w:pPr>
      <w:bookmarkStart w:id="17" w:name="_Toc269731778"/>
      <w:bookmarkStart w:id="18" w:name="_Toc224363938"/>
      <w:bookmarkStart w:id="19" w:name="_Toc229583254"/>
      <w:bookmarkStart w:id="20" w:name="_Toc176848907"/>
      <w:bookmarkStart w:id="21" w:name="_Toc343430900"/>
      <w:bookmarkStart w:id="22" w:name="_Toc316630959"/>
      <w:bookmarkStart w:id="23" w:name="_Toc217185649"/>
      <w:bookmarkStart w:id="24" w:name="_Toc246841609"/>
    </w:p>
    <w:bookmarkEnd w:id="17"/>
    <w:bookmarkEnd w:id="18"/>
    <w:bookmarkEnd w:id="19"/>
    <w:bookmarkEnd w:id="20"/>
    <w:bookmarkEnd w:id="21"/>
    <w:bookmarkEnd w:id="22"/>
    <w:bookmarkEnd w:id="23"/>
    <w:bookmarkEnd w:id="24"/>
    <w:p w14:paraId="5D960CE7">
      <w:pPr>
        <w:spacing w:line="360" w:lineRule="auto"/>
        <w:jc w:val="both"/>
        <w:rPr>
          <w:rFonts w:hint="eastAsia"/>
          <w:b/>
          <w:bCs/>
          <w:color w:val="auto"/>
          <w:sz w:val="32"/>
          <w:highlight w:val="none"/>
        </w:rPr>
      </w:pPr>
    </w:p>
    <w:p w14:paraId="718E6FAE">
      <w:pPr>
        <w:spacing w:line="360" w:lineRule="auto"/>
        <w:jc w:val="both"/>
        <w:rPr>
          <w:rFonts w:hint="eastAsia"/>
          <w:b/>
          <w:bCs/>
          <w:color w:val="auto"/>
          <w:sz w:val="32"/>
          <w:highlight w:val="none"/>
        </w:rPr>
      </w:pPr>
    </w:p>
    <w:p w14:paraId="3A90192C">
      <w:pPr>
        <w:rPr>
          <w:highlight w:val="none"/>
        </w:rPr>
      </w:pPr>
    </w:p>
    <w:p w14:paraId="5F30095E">
      <w:pPr>
        <w:rPr>
          <w:highlight w:val="none"/>
        </w:rPr>
      </w:pPr>
    </w:p>
    <w:p w14:paraId="12AC1A25">
      <w:pPr>
        <w:rPr>
          <w:highlight w:val="none"/>
        </w:rPr>
      </w:pPr>
    </w:p>
    <w:p w14:paraId="349B4C2C">
      <w:pPr>
        <w:rPr>
          <w:highlight w:val="none"/>
        </w:rPr>
      </w:pPr>
    </w:p>
    <w:p w14:paraId="2D161C4D">
      <w:pPr>
        <w:rPr>
          <w:highlight w:val="none"/>
        </w:rPr>
      </w:pPr>
    </w:p>
    <w:p w14:paraId="31D94BC3">
      <w:pPr>
        <w:jc w:val="center"/>
        <w:rPr>
          <w:b/>
          <w:sz w:val="36"/>
          <w:szCs w:val="36"/>
          <w:highlight w:val="none"/>
        </w:rPr>
      </w:pPr>
      <w:r>
        <w:rPr>
          <w:rFonts w:hint="eastAsia"/>
          <w:b/>
          <w:sz w:val="36"/>
          <w:szCs w:val="36"/>
          <w:highlight w:val="none"/>
        </w:rPr>
        <w:t>第四章  投标文件格式</w:t>
      </w:r>
      <w:bookmarkEnd w:id="13"/>
    </w:p>
    <w:p w14:paraId="50D117F1">
      <w:pPr>
        <w:rPr>
          <w:highlight w:val="none"/>
        </w:rPr>
      </w:pPr>
    </w:p>
    <w:p w14:paraId="01B5B967">
      <w:pPr>
        <w:spacing w:afterLines="100" w:line="360" w:lineRule="auto"/>
        <w:jc w:val="center"/>
        <w:rPr>
          <w:rFonts w:ascii="宋体" w:hAnsi="宋体"/>
          <w:b/>
          <w:sz w:val="48"/>
          <w:szCs w:val="48"/>
          <w:highlight w:val="none"/>
        </w:rPr>
      </w:pPr>
      <w:r>
        <w:rPr>
          <w:rFonts w:ascii="宋体" w:hAnsi="宋体"/>
          <w:szCs w:val="21"/>
          <w:highlight w:val="none"/>
        </w:rPr>
        <w:br w:type="page"/>
      </w:r>
    </w:p>
    <w:p w14:paraId="5752A9AC">
      <w:pPr>
        <w:pStyle w:val="28"/>
        <w:rPr>
          <w:rFonts w:hint="eastAsia"/>
          <w:highlight w:val="none"/>
        </w:rPr>
      </w:pPr>
    </w:p>
    <w:p w14:paraId="0A9FB138">
      <w:pPr>
        <w:spacing w:beforeLines="50" w:afterLines="100" w:line="360" w:lineRule="auto"/>
        <w:jc w:val="center"/>
        <w:rPr>
          <w:rFonts w:hint="eastAsia" w:ascii="宋体" w:hAnsi="宋体" w:eastAsia="宋体" w:cs="Times New Roman"/>
          <w:b/>
          <w:sz w:val="44"/>
          <w:szCs w:val="44"/>
          <w:highlight w:val="none"/>
          <w:lang w:val="en-US" w:eastAsia="zh-CN"/>
        </w:rPr>
      </w:pPr>
      <w:r>
        <w:rPr>
          <w:rFonts w:hint="eastAsia" w:ascii="宋体" w:hAnsi="宋体" w:eastAsia="宋体" w:cs="Times New Roman"/>
          <w:b/>
          <w:sz w:val="44"/>
          <w:szCs w:val="44"/>
          <w:highlight w:val="none"/>
          <w:lang w:val="en-US" w:eastAsia="zh-CN"/>
        </w:rPr>
        <w:t>深圳</w:t>
      </w:r>
      <w:r>
        <w:rPr>
          <w:rFonts w:hint="eastAsia" w:ascii="宋体" w:hAnsi="宋体" w:eastAsia="宋体" w:cs="Times New Roman"/>
          <w:b/>
          <w:sz w:val="44"/>
          <w:szCs w:val="44"/>
          <w:highlight w:val="none"/>
        </w:rPr>
        <w:t>建筑产业生态智谷</w:t>
      </w:r>
      <w:r>
        <w:rPr>
          <w:rFonts w:hint="eastAsia" w:ascii="宋体" w:hAnsi="宋体" w:eastAsia="宋体" w:cs="Times New Roman"/>
          <w:b/>
          <w:sz w:val="44"/>
          <w:szCs w:val="44"/>
          <w:highlight w:val="none"/>
          <w:lang w:val="en-US" w:eastAsia="zh-CN"/>
        </w:rPr>
        <w:t>总部基地一期</w:t>
      </w:r>
    </w:p>
    <w:p w14:paraId="68B4975B">
      <w:pPr>
        <w:spacing w:beforeLines="50" w:afterLines="100" w:line="360" w:lineRule="auto"/>
        <w:jc w:val="center"/>
        <w:rPr>
          <w:rFonts w:hint="eastAsia" w:ascii="宋体" w:hAnsi="宋体" w:eastAsia="宋体" w:cs="Times New Roman"/>
          <w:b/>
          <w:sz w:val="44"/>
          <w:szCs w:val="44"/>
          <w:highlight w:val="none"/>
        </w:rPr>
      </w:pPr>
      <w:r>
        <w:rPr>
          <w:rFonts w:hint="eastAsia" w:ascii="宋体" w:hAnsi="宋体" w:cs="Times New Roman"/>
          <w:b/>
          <w:sz w:val="44"/>
          <w:szCs w:val="44"/>
          <w:highlight w:val="none"/>
          <w:lang w:val="en-US" w:eastAsia="zh-CN"/>
        </w:rPr>
        <w:t>幕墙四性检测</w:t>
      </w:r>
      <w:r>
        <w:rPr>
          <w:rFonts w:hint="eastAsia" w:ascii="宋体" w:hAnsi="宋体" w:eastAsia="宋体" w:cs="Times New Roman"/>
          <w:b/>
          <w:sz w:val="44"/>
          <w:szCs w:val="44"/>
          <w:highlight w:val="none"/>
        </w:rPr>
        <w:t>服务</w:t>
      </w:r>
    </w:p>
    <w:p w14:paraId="556F6591">
      <w:pPr>
        <w:pStyle w:val="23"/>
        <w:rPr>
          <w:rFonts w:hint="eastAsia" w:ascii="宋体" w:hAnsi="宋体" w:eastAsia="宋体" w:cs="Times New Roman"/>
          <w:b/>
          <w:sz w:val="44"/>
          <w:szCs w:val="44"/>
          <w:highlight w:val="none"/>
        </w:rPr>
      </w:pPr>
    </w:p>
    <w:p w14:paraId="58CD59DE">
      <w:pPr>
        <w:rPr>
          <w:rFonts w:hint="eastAsia"/>
          <w:highlight w:val="none"/>
        </w:rPr>
      </w:pPr>
    </w:p>
    <w:p w14:paraId="02A4E8F4">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2C583481">
      <w:pPr>
        <w:spacing w:line="360" w:lineRule="auto"/>
        <w:jc w:val="center"/>
        <w:rPr>
          <w:rFonts w:ascii="宋体" w:hAnsi="宋体"/>
          <w:b/>
          <w:sz w:val="52"/>
          <w:szCs w:val="52"/>
          <w:highlight w:val="none"/>
        </w:rPr>
      </w:pPr>
    </w:p>
    <w:p w14:paraId="1A088659">
      <w:pPr>
        <w:spacing w:line="360" w:lineRule="auto"/>
        <w:rPr>
          <w:rFonts w:ascii="宋体" w:hAnsi="宋体"/>
          <w:b/>
          <w:sz w:val="32"/>
          <w:szCs w:val="32"/>
          <w:highlight w:val="none"/>
        </w:rPr>
      </w:pPr>
    </w:p>
    <w:p w14:paraId="27FF024B">
      <w:pPr>
        <w:spacing w:line="360" w:lineRule="auto"/>
        <w:rPr>
          <w:rFonts w:ascii="宋体" w:hAnsi="宋体"/>
          <w:b/>
          <w:sz w:val="32"/>
          <w:szCs w:val="32"/>
          <w:highlight w:val="none"/>
        </w:rPr>
      </w:pPr>
    </w:p>
    <w:p w14:paraId="256261DC">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3B2D4193">
      <w:pPr>
        <w:spacing w:line="360" w:lineRule="auto"/>
        <w:ind w:firstLine="840" w:firstLineChars="300"/>
        <w:rPr>
          <w:rFonts w:ascii="宋体" w:hAnsi="宋体"/>
          <w:sz w:val="28"/>
          <w:szCs w:val="28"/>
          <w:highlight w:val="none"/>
        </w:rPr>
      </w:pPr>
    </w:p>
    <w:p w14:paraId="389E72C9">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2274415D">
      <w:pPr>
        <w:spacing w:line="360" w:lineRule="auto"/>
        <w:ind w:firstLine="840" w:firstLineChars="300"/>
        <w:rPr>
          <w:rFonts w:ascii="宋体" w:hAnsi="宋体"/>
          <w:sz w:val="28"/>
          <w:szCs w:val="28"/>
          <w:highlight w:val="none"/>
        </w:rPr>
      </w:pPr>
    </w:p>
    <w:p w14:paraId="4A1BBDFB">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55893250">
      <w:pPr>
        <w:rPr>
          <w:rFonts w:hint="eastAsia" w:ascii="宋体" w:hAnsi="宋体"/>
          <w:sz w:val="28"/>
          <w:szCs w:val="28"/>
          <w:highlight w:val="none"/>
        </w:rPr>
      </w:pPr>
      <w:r>
        <w:rPr>
          <w:rFonts w:hint="eastAsia" w:ascii="宋体" w:hAnsi="宋体"/>
          <w:sz w:val="28"/>
          <w:szCs w:val="28"/>
          <w:highlight w:val="none"/>
        </w:rPr>
        <w:br w:type="page"/>
      </w:r>
    </w:p>
    <w:p w14:paraId="50FC5E3D">
      <w:pPr>
        <w:pStyle w:val="28"/>
        <w:spacing w:line="360" w:lineRule="auto"/>
        <w:jc w:val="center"/>
        <w:rPr>
          <w:rFonts w:hAnsi="宋体"/>
          <w:sz w:val="36"/>
          <w:szCs w:val="36"/>
          <w:highlight w:val="none"/>
        </w:rPr>
      </w:pPr>
      <w:bookmarkStart w:id="25" w:name="_Toc306716063"/>
      <w:bookmarkStart w:id="26" w:name="_Toc509669700"/>
      <w:bookmarkStart w:id="27" w:name="_Toc306716065"/>
      <w:r>
        <w:rPr>
          <w:rFonts w:hint="eastAsia" w:hAnsi="宋体"/>
          <w:sz w:val="36"/>
          <w:szCs w:val="36"/>
          <w:highlight w:val="none"/>
        </w:rPr>
        <w:t>投标承诺函</w:t>
      </w:r>
    </w:p>
    <w:p w14:paraId="23E8B6ED">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bCs/>
          <w:sz w:val="24"/>
          <w:szCs w:val="24"/>
          <w:highlight w:val="none"/>
          <w:lang w:eastAsia="zh-CN"/>
        </w:rPr>
        <w:t>：</w:t>
      </w:r>
      <w:r>
        <w:rPr>
          <w:rFonts w:hint="eastAsia" w:hAnsi="宋体"/>
          <w:sz w:val="24"/>
          <w:szCs w:val="24"/>
          <w:highlight w:val="none"/>
          <w:u w:val="single"/>
        </w:rPr>
        <w:t xml:space="preserve"> </w:t>
      </w:r>
      <w:r>
        <w:rPr>
          <w:rFonts w:hint="eastAsia" w:hAnsi="宋体"/>
          <w:bCs/>
          <w:sz w:val="24"/>
          <w:szCs w:val="24"/>
          <w:highlight w:val="none"/>
          <w:u w:val="single"/>
          <w:lang w:eastAsia="zh-CN"/>
        </w:rPr>
        <w:t>深圳市龙岗区城投绿色低碳新能源产业发展有限公司</w:t>
      </w:r>
    </w:p>
    <w:p w14:paraId="63BF5F44">
      <w:pPr>
        <w:pStyle w:val="28"/>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幕墙四性检测相关</w:t>
      </w:r>
      <w:r>
        <w:rPr>
          <w:rFonts w:hint="eastAsia" w:hAnsi="宋体"/>
          <w:bCs/>
          <w:sz w:val="24"/>
          <w:szCs w:val="24"/>
          <w:highlight w:val="none"/>
        </w:rPr>
        <w:t>工作顺利进行，我方将严格执行建设工程招标投标管理的法律法规，并完全接受</w:t>
      </w:r>
      <w:r>
        <w:rPr>
          <w:rFonts w:hint="eastAsia" w:ascii="Calibri" w:hAnsi="宋体" w:cs="Times New Roman"/>
          <w:bCs/>
          <w:kern w:val="2"/>
          <w:sz w:val="24"/>
          <w:szCs w:val="24"/>
          <w:highlight w:val="none"/>
          <w:u w:val="single"/>
          <w:lang w:val="en-US" w:eastAsia="zh-CN" w:bidi="ar-SA"/>
        </w:rPr>
        <w:t>深圳建筑产业生态智谷总部基地一期幕墙四性检测</w:t>
      </w:r>
      <w:r>
        <w:rPr>
          <w:rFonts w:hint="eastAsia" w:ascii="Calibri" w:hAnsi="宋体" w:eastAsia="宋体" w:cs="Times New Roman"/>
          <w:bCs/>
          <w:kern w:val="2"/>
          <w:sz w:val="24"/>
          <w:szCs w:val="24"/>
          <w:highlight w:val="none"/>
          <w:u w:val="single"/>
          <w:lang w:val="en-US" w:eastAsia="zh-CN" w:bidi="ar-SA"/>
        </w:rPr>
        <w:t>服务</w:t>
      </w:r>
      <w:r>
        <w:rPr>
          <w:rFonts w:hint="eastAsia" w:hAnsi="宋体"/>
          <w:bCs/>
          <w:sz w:val="24"/>
          <w:szCs w:val="24"/>
          <w:highlight w:val="none"/>
        </w:rPr>
        <w:t>的招标文件所有内容，为此作出如下承诺：</w:t>
      </w:r>
    </w:p>
    <w:p w14:paraId="436A8E77">
      <w:pPr>
        <w:pStyle w:val="28"/>
        <w:spacing w:line="360" w:lineRule="auto"/>
        <w:ind w:firstLine="480" w:firstLineChars="200"/>
        <w:rPr>
          <w:rFonts w:hAnsi="宋体"/>
          <w:sz w:val="24"/>
          <w:szCs w:val="24"/>
          <w:highlight w:val="none"/>
        </w:rPr>
      </w:pPr>
      <w:r>
        <w:rPr>
          <w:rFonts w:hint="eastAsia" w:hAnsi="宋体"/>
          <w:bCs/>
          <w:sz w:val="24"/>
          <w:szCs w:val="24"/>
          <w:highlight w:val="none"/>
          <w:lang w:eastAsia="zh-CN"/>
        </w:rPr>
        <w:t>1.</w:t>
      </w:r>
      <w:r>
        <w:rPr>
          <w:rFonts w:hint="eastAsia" w:hAnsi="宋体"/>
          <w:bCs/>
          <w:sz w:val="24"/>
          <w:szCs w:val="24"/>
          <w:highlight w:val="none"/>
        </w:rPr>
        <w:t>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bCs w:val="0"/>
          <w:kern w:val="2"/>
          <w:sz w:val="24"/>
          <w:szCs w:val="24"/>
          <w:highlight w:val="none"/>
          <w:u w:val="single"/>
          <w:lang w:val="en-US" w:eastAsia="zh-CN" w:bidi="ar-SA"/>
        </w:rPr>
        <w:t>幕墙四性检测</w:t>
      </w:r>
      <w:r>
        <w:rPr>
          <w:rFonts w:hint="eastAsia" w:hAnsi="宋体"/>
          <w:b/>
          <w:sz w:val="24"/>
          <w:szCs w:val="24"/>
          <w:highlight w:val="none"/>
          <w:u w:val="single"/>
        </w:rPr>
        <w:t>工作</w:t>
      </w:r>
      <w:r>
        <w:rPr>
          <w:rFonts w:hint="eastAsia" w:hAnsi="宋体"/>
          <w:sz w:val="24"/>
          <w:szCs w:val="24"/>
          <w:highlight w:val="none"/>
        </w:rPr>
        <w:t>。否则，我方愿意承担任何风险。（投标人填写）</w:t>
      </w:r>
    </w:p>
    <w:p w14:paraId="162EF544">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6509281">
      <w:pPr>
        <w:pStyle w:val="28"/>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57FBC902">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lang w:eastAsia="zh-CN"/>
        </w:rPr>
        <w:t>4.</w:t>
      </w:r>
      <w:r>
        <w:rPr>
          <w:rFonts w:hint="eastAsia" w:ascii="宋体" w:hAnsi="宋体" w:cs="Courier New"/>
          <w:bCs/>
          <w:sz w:val="24"/>
          <w:szCs w:val="24"/>
          <w:highlight w:val="none"/>
        </w:rPr>
        <w:t>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767D95FB">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lang w:eastAsia="zh-CN"/>
        </w:rPr>
        <w:t>5.</w:t>
      </w:r>
      <w:r>
        <w:rPr>
          <w:rFonts w:hint="eastAsia" w:ascii="宋体" w:hAnsi="宋体"/>
          <w:sz w:val="24"/>
          <w:szCs w:val="24"/>
          <w:highlight w:val="none"/>
        </w:rPr>
        <w:t>除非另外达成协议并生效，贵方的委托函和本投标文件将成为约束双方的合同文件的组成部分。</w:t>
      </w:r>
    </w:p>
    <w:p w14:paraId="6947CB2A">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lang w:eastAsia="zh-CN"/>
        </w:rPr>
        <w:t>6.</w:t>
      </w:r>
      <w:r>
        <w:rPr>
          <w:rFonts w:hint="eastAsia" w:ascii="宋体" w:hAnsi="宋体"/>
          <w:bCs/>
          <w:sz w:val="24"/>
          <w:szCs w:val="24"/>
          <w:highlight w:val="none"/>
        </w:rPr>
        <w:t>按规定完成本项目</w:t>
      </w:r>
      <w:r>
        <w:rPr>
          <w:rFonts w:hint="eastAsia" w:ascii="宋体" w:hAnsi="宋体"/>
          <w:bCs/>
          <w:sz w:val="24"/>
          <w:szCs w:val="24"/>
          <w:highlight w:val="none"/>
          <w:lang w:val="en-US" w:eastAsia="zh-CN"/>
        </w:rPr>
        <w:t>评估服务</w:t>
      </w:r>
      <w:r>
        <w:rPr>
          <w:rFonts w:hint="eastAsia" w:ascii="宋体" w:hAnsi="宋体"/>
          <w:bCs/>
          <w:sz w:val="24"/>
          <w:szCs w:val="24"/>
          <w:highlight w:val="none"/>
        </w:rPr>
        <w:t>工作，质量达到合格标准的要求，质量目标为合格 。</w:t>
      </w:r>
    </w:p>
    <w:p w14:paraId="6CF9F4CB">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7.</w:t>
      </w:r>
      <w:r>
        <w:rPr>
          <w:rFonts w:hint="eastAsia" w:hAnsi="宋体"/>
          <w:bCs/>
          <w:sz w:val="24"/>
          <w:szCs w:val="24"/>
          <w:highlight w:val="none"/>
        </w:rPr>
        <w:t>如果违反本承诺书中任何条款，我方愿意接受：</w:t>
      </w:r>
    </w:p>
    <w:p w14:paraId="73FABB43">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（1）</w:t>
      </w:r>
      <w:r>
        <w:rPr>
          <w:rFonts w:hint="eastAsia" w:hAnsi="宋体"/>
          <w:bCs/>
          <w:sz w:val="24"/>
          <w:szCs w:val="24"/>
          <w:highlight w:val="none"/>
        </w:rPr>
        <w:t>视作我方单方面违约，并按照合同规定向贵方支付违约金或解除合同；</w:t>
      </w:r>
    </w:p>
    <w:p w14:paraId="23661145">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（2）</w:t>
      </w:r>
      <w:r>
        <w:rPr>
          <w:rFonts w:hint="eastAsia" w:hAnsi="宋体"/>
          <w:bCs/>
          <w:sz w:val="24"/>
          <w:szCs w:val="24"/>
          <w:highlight w:val="none"/>
        </w:rPr>
        <w:t>履约评价评定为合格及以下；</w:t>
      </w:r>
    </w:p>
    <w:p w14:paraId="3C2457B9">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（3）</w:t>
      </w:r>
      <w:r>
        <w:rPr>
          <w:rFonts w:hint="eastAsia" w:hAnsi="宋体"/>
          <w:bCs/>
          <w:sz w:val="24"/>
          <w:szCs w:val="24"/>
          <w:highlight w:val="none"/>
        </w:rPr>
        <w:t>招标人今后可拒绝我方参与投标；</w:t>
      </w:r>
    </w:p>
    <w:p w14:paraId="12F913A3">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（4）</w:t>
      </w:r>
      <w:r>
        <w:rPr>
          <w:rFonts w:hint="eastAsia" w:hAnsi="宋体"/>
          <w:bCs/>
          <w:sz w:val="24"/>
          <w:szCs w:val="24"/>
          <w:highlight w:val="none"/>
        </w:rPr>
        <w:t>建设行政主管部门或相关主管部门的不良行为记录、行政处罚。</w:t>
      </w:r>
    </w:p>
    <w:p w14:paraId="3BFF77F0">
      <w:pPr>
        <w:spacing w:line="360" w:lineRule="auto"/>
        <w:rPr>
          <w:rFonts w:ascii="宋体" w:hAnsi="宋体"/>
          <w:sz w:val="24"/>
          <w:highlight w:val="none"/>
        </w:rPr>
      </w:pPr>
      <w:r>
        <w:rPr>
          <w:rFonts w:hint="eastAsia" w:ascii="宋体" w:hAnsi="宋体"/>
          <w:sz w:val="24"/>
          <w:highlight w:val="none"/>
        </w:rPr>
        <w:t>投标人（单位公章）：</w:t>
      </w:r>
    </w:p>
    <w:p w14:paraId="44031D67">
      <w:pPr>
        <w:spacing w:line="360" w:lineRule="auto"/>
        <w:rPr>
          <w:rFonts w:ascii="宋体" w:hAnsi="宋体"/>
          <w:sz w:val="24"/>
          <w:highlight w:val="none"/>
        </w:rPr>
      </w:pPr>
      <w:r>
        <w:rPr>
          <w:rFonts w:hint="eastAsia" w:ascii="宋体" w:hAnsi="宋体"/>
          <w:sz w:val="24"/>
          <w:highlight w:val="none"/>
        </w:rPr>
        <w:t>单位地址：</w:t>
      </w:r>
    </w:p>
    <w:p w14:paraId="46A4093D">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5D89B0A6">
      <w:pPr>
        <w:spacing w:line="360" w:lineRule="auto"/>
        <w:ind w:firstLine="0" w:firstLineChars="0"/>
        <w:rPr>
          <w:rFonts w:hint="eastAsia" w:hAnsi="宋体"/>
          <w:bCs/>
          <w:sz w:val="24"/>
          <w:highlight w:val="none"/>
        </w:rPr>
      </w:pPr>
      <w:r>
        <w:rPr>
          <w:rFonts w:hint="eastAsia" w:hAnsi="宋体"/>
          <w:bCs/>
          <w:sz w:val="24"/>
          <w:highlight w:val="none"/>
        </w:rPr>
        <w:t>年   月   日</w:t>
      </w:r>
    </w:p>
    <w:p w14:paraId="0C2EAFDB">
      <w:pPr>
        <w:spacing w:line="360" w:lineRule="auto"/>
        <w:ind w:firstLine="0" w:firstLineChars="0"/>
        <w:rPr>
          <w:rFonts w:hint="eastAsia" w:hAnsi="宋体"/>
          <w:bCs/>
          <w:sz w:val="24"/>
          <w:highlight w:val="none"/>
        </w:rPr>
      </w:pPr>
    </w:p>
    <w:p w14:paraId="6169A874">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5424C7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5E77D6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color w:val="000000"/>
          <w:kern w:val="0"/>
          <w:sz w:val="28"/>
          <w:szCs w:val="28"/>
          <w:lang w:val="en-US" w:eastAsia="zh-CN" w:bidi="ar"/>
        </w:rPr>
        <w:t xml:space="preserve">深圳建筑产业生态智谷总部基地一期幕墙四性检测 </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0D19CDCA">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F37C9FD">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2C3E32AE">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试件型式</w:t>
            </w:r>
          </w:p>
        </w:tc>
        <w:tc>
          <w:tcPr>
            <w:tcW w:w="2640" w:type="dxa"/>
            <w:tcBorders>
              <w:top w:val="single" w:color="auto" w:sz="4" w:space="0"/>
              <w:left w:val="nil"/>
              <w:bottom w:val="single" w:color="auto" w:sz="4" w:space="0"/>
              <w:right w:val="single" w:color="auto" w:sz="4" w:space="0"/>
            </w:tcBorders>
            <w:vAlign w:val="center"/>
          </w:tcPr>
          <w:p w14:paraId="5BE98026">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试件尺寸</w:t>
            </w:r>
          </w:p>
        </w:tc>
        <w:tc>
          <w:tcPr>
            <w:tcW w:w="2280" w:type="dxa"/>
            <w:tcBorders>
              <w:top w:val="single" w:color="auto" w:sz="4" w:space="0"/>
              <w:left w:val="nil"/>
              <w:bottom w:val="single" w:color="auto" w:sz="4" w:space="0"/>
              <w:right w:val="single" w:color="auto" w:sz="4" w:space="0"/>
            </w:tcBorders>
            <w:vAlign w:val="center"/>
          </w:tcPr>
          <w:p w14:paraId="1A124957">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检测费用（万元）</w:t>
            </w:r>
          </w:p>
        </w:tc>
        <w:tc>
          <w:tcPr>
            <w:tcW w:w="1765" w:type="dxa"/>
            <w:tcBorders>
              <w:top w:val="single" w:color="auto" w:sz="4" w:space="0"/>
              <w:left w:val="nil"/>
              <w:bottom w:val="single" w:color="auto" w:sz="4" w:space="0"/>
              <w:right w:val="single" w:color="auto" w:sz="4" w:space="0"/>
            </w:tcBorders>
            <w:vAlign w:val="center"/>
          </w:tcPr>
          <w:p w14:paraId="7AA96B4D">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30FF3AD4">
        <w:tblPrEx>
          <w:tblCellMar>
            <w:top w:w="0" w:type="dxa"/>
            <w:left w:w="108" w:type="dxa"/>
            <w:bottom w:w="0" w:type="dxa"/>
            <w:right w:w="108" w:type="dxa"/>
          </w:tblCellMar>
        </w:tblPrEx>
        <w:trPr>
          <w:trHeight w:val="76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FB29078">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w:t>
            </w:r>
          </w:p>
        </w:tc>
        <w:tc>
          <w:tcPr>
            <w:tcW w:w="2090" w:type="dxa"/>
            <w:tcBorders>
              <w:top w:val="single" w:color="auto" w:sz="4" w:space="0"/>
              <w:left w:val="nil"/>
              <w:bottom w:val="single" w:color="auto" w:sz="4" w:space="0"/>
              <w:right w:val="single" w:color="auto" w:sz="4" w:space="0"/>
            </w:tcBorders>
            <w:vAlign w:val="center"/>
          </w:tcPr>
          <w:p w14:paraId="58285032">
            <w:pPr>
              <w:snapToGrid w:val="0"/>
              <w:jc w:val="center"/>
              <w:rPr>
                <w:rFonts w:hint="eastAsia" w:ascii="楷体" w:hAnsi="楷体" w:eastAsia="楷体" w:cs="楷体"/>
                <w:snapToGrid w:val="0"/>
                <w:color w:val="000000"/>
                <w:kern w:val="0"/>
                <w:sz w:val="24"/>
                <w:szCs w:val="24"/>
              </w:rPr>
            </w:pPr>
            <w:r>
              <w:rPr>
                <w:rFonts w:hint="eastAsia" w:ascii="宋体" w:hAnsi="宋体" w:cs="宋体"/>
                <w:color w:val="000000"/>
                <w:sz w:val="24"/>
              </w:rPr>
              <w:t>单元式玻璃幕墙</w:t>
            </w:r>
          </w:p>
        </w:tc>
        <w:tc>
          <w:tcPr>
            <w:tcW w:w="2640" w:type="dxa"/>
            <w:tcBorders>
              <w:top w:val="single" w:color="auto" w:sz="4" w:space="0"/>
              <w:left w:val="nil"/>
              <w:bottom w:val="single" w:color="auto" w:sz="4" w:space="0"/>
              <w:right w:val="single" w:color="auto" w:sz="4" w:space="0"/>
            </w:tcBorders>
            <w:vAlign w:val="center"/>
          </w:tcPr>
          <w:p w14:paraId="0CD7CB74">
            <w:pPr>
              <w:snapToGrid w:val="0"/>
              <w:contextualSpacing/>
              <w:jc w:val="center"/>
              <w:rPr>
                <w:rFonts w:hint="eastAsia" w:ascii="楷体" w:hAnsi="楷体" w:eastAsia="楷体" w:cs="楷体"/>
                <w:snapToGrid w:val="0"/>
                <w:color w:val="000000"/>
                <w:kern w:val="0"/>
                <w:sz w:val="24"/>
                <w:szCs w:val="24"/>
              </w:rPr>
            </w:pPr>
            <w:r>
              <w:rPr>
                <w:rFonts w:hint="eastAsia" w:ascii="宋体" w:hAnsi="宋体" w:cs="宋体"/>
                <w:color w:val="000000"/>
                <w:sz w:val="24"/>
              </w:rPr>
              <w:t>10600mm×10200mm</w:t>
            </w:r>
          </w:p>
        </w:tc>
        <w:tc>
          <w:tcPr>
            <w:tcW w:w="2280" w:type="dxa"/>
            <w:tcBorders>
              <w:top w:val="single" w:color="auto" w:sz="4" w:space="0"/>
              <w:left w:val="nil"/>
              <w:bottom w:val="single" w:color="auto" w:sz="4" w:space="0"/>
              <w:right w:val="single" w:color="auto" w:sz="4" w:space="0"/>
            </w:tcBorders>
            <w:vAlign w:val="center"/>
          </w:tcPr>
          <w:p w14:paraId="29372CF2">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5FA58D7B">
            <w:pPr>
              <w:snapToGrid w:val="0"/>
              <w:contextualSpacing/>
              <w:jc w:val="center"/>
              <w:rPr>
                <w:rFonts w:hint="eastAsia" w:ascii="宋体" w:hAnsi="宋体" w:cs="宋体"/>
                <w:color w:val="000000"/>
                <w:sz w:val="24"/>
              </w:rPr>
            </w:pPr>
            <w:r>
              <w:rPr>
                <w:rFonts w:hint="eastAsia" w:ascii="宋体" w:hAnsi="宋体" w:cs="宋体"/>
                <w:color w:val="000000"/>
                <w:sz w:val="24"/>
              </w:rPr>
              <w:t>详见大样图TPE-PMU-01</w:t>
            </w:r>
          </w:p>
        </w:tc>
      </w:tr>
      <w:tr w14:paraId="40961F69">
        <w:tblPrEx>
          <w:tblCellMar>
            <w:top w:w="0" w:type="dxa"/>
            <w:left w:w="108" w:type="dxa"/>
            <w:bottom w:w="0" w:type="dxa"/>
            <w:right w:w="108" w:type="dxa"/>
          </w:tblCellMar>
        </w:tblPrEx>
        <w:trPr>
          <w:trHeight w:val="71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46CB7FE">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w:t>
            </w:r>
          </w:p>
        </w:tc>
        <w:tc>
          <w:tcPr>
            <w:tcW w:w="2090" w:type="dxa"/>
            <w:tcBorders>
              <w:top w:val="single" w:color="auto" w:sz="4" w:space="0"/>
              <w:left w:val="nil"/>
              <w:bottom w:val="single" w:color="auto" w:sz="4" w:space="0"/>
              <w:right w:val="single" w:color="auto" w:sz="4" w:space="0"/>
            </w:tcBorders>
            <w:vAlign w:val="center"/>
          </w:tcPr>
          <w:p w14:paraId="5738FBD5">
            <w:pPr>
              <w:snapToGrid w:val="0"/>
              <w:jc w:val="center"/>
              <w:rPr>
                <w:rFonts w:hint="eastAsia" w:ascii="楷体" w:hAnsi="楷体" w:eastAsia="楷体" w:cs="楷体"/>
                <w:snapToGrid w:val="0"/>
                <w:color w:val="000000"/>
                <w:kern w:val="0"/>
                <w:sz w:val="24"/>
                <w:szCs w:val="24"/>
              </w:rPr>
            </w:pPr>
            <w:r>
              <w:rPr>
                <w:rFonts w:hint="eastAsia" w:ascii="宋体" w:hAnsi="宋体" w:cs="宋体"/>
                <w:color w:val="000000"/>
                <w:sz w:val="24"/>
              </w:rPr>
              <w:t>明框玻璃幕墙</w:t>
            </w:r>
          </w:p>
        </w:tc>
        <w:tc>
          <w:tcPr>
            <w:tcW w:w="2640" w:type="dxa"/>
            <w:tcBorders>
              <w:top w:val="single" w:color="auto" w:sz="4" w:space="0"/>
              <w:left w:val="nil"/>
              <w:bottom w:val="single" w:color="auto" w:sz="4" w:space="0"/>
              <w:right w:val="single" w:color="auto" w:sz="4" w:space="0"/>
            </w:tcBorders>
            <w:vAlign w:val="center"/>
          </w:tcPr>
          <w:p w14:paraId="1BD9D44D">
            <w:pPr>
              <w:snapToGrid w:val="0"/>
              <w:contextualSpacing/>
              <w:jc w:val="center"/>
              <w:rPr>
                <w:rFonts w:hint="eastAsia" w:ascii="楷体" w:hAnsi="楷体" w:eastAsia="楷体" w:cs="楷体"/>
                <w:snapToGrid w:val="0"/>
                <w:color w:val="000000"/>
                <w:kern w:val="0"/>
                <w:sz w:val="24"/>
                <w:szCs w:val="24"/>
              </w:rPr>
            </w:pPr>
            <w:r>
              <w:rPr>
                <w:rFonts w:hint="eastAsia" w:ascii="宋体" w:hAnsi="宋体" w:cs="宋体"/>
                <w:color w:val="000000"/>
                <w:sz w:val="24"/>
              </w:rPr>
              <w:t>4850mm×9750mm</w:t>
            </w:r>
          </w:p>
        </w:tc>
        <w:tc>
          <w:tcPr>
            <w:tcW w:w="2280" w:type="dxa"/>
            <w:tcBorders>
              <w:top w:val="single" w:color="auto" w:sz="4" w:space="0"/>
              <w:left w:val="nil"/>
              <w:bottom w:val="single" w:color="auto" w:sz="4" w:space="0"/>
              <w:right w:val="single" w:color="auto" w:sz="4" w:space="0"/>
            </w:tcBorders>
            <w:vAlign w:val="center"/>
          </w:tcPr>
          <w:p w14:paraId="3DE5CEEF">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1B7D0AB">
            <w:pPr>
              <w:snapToGrid w:val="0"/>
              <w:contextualSpacing/>
              <w:jc w:val="center"/>
              <w:rPr>
                <w:rFonts w:hint="eastAsia" w:ascii="宋体" w:hAnsi="宋体" w:cs="宋体"/>
                <w:color w:val="000000"/>
                <w:sz w:val="24"/>
              </w:rPr>
            </w:pPr>
            <w:r>
              <w:rPr>
                <w:rFonts w:hint="eastAsia" w:ascii="宋体" w:hAnsi="宋体" w:cs="宋体"/>
                <w:color w:val="000000"/>
                <w:sz w:val="24"/>
              </w:rPr>
              <w:t>详见大样图TPE-PMU-02</w:t>
            </w:r>
          </w:p>
        </w:tc>
      </w:tr>
      <w:tr w14:paraId="2C4AE2D4">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998979">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3</w:t>
            </w:r>
          </w:p>
        </w:tc>
        <w:tc>
          <w:tcPr>
            <w:tcW w:w="2090" w:type="dxa"/>
            <w:tcBorders>
              <w:top w:val="single" w:color="auto" w:sz="4" w:space="0"/>
              <w:left w:val="nil"/>
              <w:bottom w:val="single" w:color="auto" w:sz="4" w:space="0"/>
              <w:right w:val="single" w:color="auto" w:sz="4" w:space="0"/>
            </w:tcBorders>
            <w:vAlign w:val="center"/>
          </w:tcPr>
          <w:p w14:paraId="1F94921A">
            <w:pPr>
              <w:snapToGrid w:val="0"/>
              <w:jc w:val="center"/>
              <w:rPr>
                <w:rFonts w:hint="eastAsia" w:ascii="楷体" w:hAnsi="楷体" w:eastAsia="楷体" w:cs="楷体"/>
                <w:snapToGrid w:val="0"/>
                <w:color w:val="000000"/>
                <w:kern w:val="0"/>
                <w:sz w:val="24"/>
                <w:szCs w:val="24"/>
              </w:rPr>
            </w:pPr>
            <w:r>
              <w:rPr>
                <w:rFonts w:hint="eastAsia" w:ascii="宋体" w:hAnsi="宋体" w:cs="宋体"/>
                <w:color w:val="000000"/>
                <w:sz w:val="24"/>
              </w:rPr>
              <w:t>半隐框玻璃幕墙</w:t>
            </w:r>
          </w:p>
        </w:tc>
        <w:tc>
          <w:tcPr>
            <w:tcW w:w="2640" w:type="dxa"/>
            <w:tcBorders>
              <w:top w:val="single" w:color="auto" w:sz="4" w:space="0"/>
              <w:left w:val="nil"/>
              <w:bottom w:val="single" w:color="auto" w:sz="4" w:space="0"/>
              <w:right w:val="single" w:color="auto" w:sz="4" w:space="0"/>
            </w:tcBorders>
            <w:vAlign w:val="center"/>
          </w:tcPr>
          <w:p w14:paraId="78FE1A58">
            <w:pPr>
              <w:snapToGrid w:val="0"/>
              <w:contextualSpacing/>
              <w:jc w:val="center"/>
              <w:rPr>
                <w:rFonts w:hint="eastAsia" w:ascii="楷体" w:hAnsi="楷体" w:eastAsia="楷体" w:cs="楷体"/>
                <w:snapToGrid w:val="0"/>
                <w:color w:val="000000"/>
                <w:kern w:val="0"/>
                <w:sz w:val="24"/>
                <w:szCs w:val="24"/>
              </w:rPr>
            </w:pPr>
            <w:r>
              <w:rPr>
                <w:rFonts w:hint="eastAsia" w:ascii="宋体" w:hAnsi="宋体" w:cs="宋体"/>
                <w:color w:val="000000"/>
                <w:sz w:val="24"/>
              </w:rPr>
              <w:t>5343mm×12710mm</w:t>
            </w:r>
          </w:p>
        </w:tc>
        <w:tc>
          <w:tcPr>
            <w:tcW w:w="2280" w:type="dxa"/>
            <w:tcBorders>
              <w:top w:val="single" w:color="auto" w:sz="4" w:space="0"/>
              <w:left w:val="nil"/>
              <w:bottom w:val="single" w:color="auto" w:sz="4" w:space="0"/>
              <w:right w:val="single" w:color="auto" w:sz="4" w:space="0"/>
            </w:tcBorders>
            <w:vAlign w:val="center"/>
          </w:tcPr>
          <w:p w14:paraId="6D79A50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ECA5F5E">
            <w:pPr>
              <w:snapToGrid w:val="0"/>
              <w:contextualSpacing/>
              <w:jc w:val="center"/>
              <w:rPr>
                <w:rFonts w:hint="eastAsia" w:ascii="宋体" w:hAnsi="宋体" w:cs="宋体"/>
                <w:color w:val="000000"/>
                <w:sz w:val="24"/>
              </w:rPr>
            </w:pPr>
            <w:r>
              <w:rPr>
                <w:rFonts w:hint="eastAsia" w:ascii="宋体" w:hAnsi="宋体" w:cs="宋体"/>
                <w:color w:val="000000"/>
                <w:sz w:val="24"/>
              </w:rPr>
              <w:t>详见大样图TPE-PMU-02a</w:t>
            </w:r>
          </w:p>
        </w:tc>
      </w:tr>
      <w:tr w14:paraId="3FDAE645">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CC073AB">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4716E646">
            <w:pPr>
              <w:snapToGrid w:val="0"/>
              <w:contextualSpacing/>
              <w:jc w:val="center"/>
              <w:rPr>
                <w:rFonts w:hint="eastAsia"/>
                <w:b/>
                <w:bCs/>
                <w:lang w:val="en-US" w:eastAsia="zh-CN"/>
              </w:rPr>
            </w:pPr>
            <w:r>
              <w:rPr>
                <w:rFonts w:hint="eastAsia"/>
                <w:b/>
                <w:bCs/>
                <w:lang w:val="en-US" w:eastAsia="zh-CN"/>
              </w:rPr>
              <w:t>合计：</w:t>
            </w:r>
          </w:p>
          <w:p w14:paraId="2377D891">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01DA747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B90F247">
            <w:pPr>
              <w:snapToGrid w:val="0"/>
              <w:contextualSpacing/>
              <w:jc w:val="center"/>
              <w:rPr>
                <w:rFonts w:hint="eastAsia" w:ascii="楷体" w:hAnsi="楷体" w:eastAsia="楷体" w:cs="楷体"/>
                <w:snapToGrid w:val="0"/>
                <w:color w:val="000000"/>
                <w:kern w:val="0"/>
                <w:sz w:val="24"/>
                <w:szCs w:val="24"/>
              </w:rPr>
            </w:pPr>
          </w:p>
        </w:tc>
      </w:tr>
      <w:tr w14:paraId="5ADC6FF0">
        <w:tblPrEx>
          <w:tblCellMar>
            <w:top w:w="0" w:type="dxa"/>
            <w:left w:w="108" w:type="dxa"/>
            <w:bottom w:w="0" w:type="dxa"/>
            <w:right w:w="108" w:type="dxa"/>
          </w:tblCellMar>
        </w:tblPrEx>
        <w:trPr>
          <w:trHeight w:val="111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B7F963E">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备注</w:t>
            </w:r>
          </w:p>
        </w:tc>
        <w:tc>
          <w:tcPr>
            <w:tcW w:w="8775" w:type="dxa"/>
            <w:gridSpan w:val="4"/>
            <w:tcBorders>
              <w:top w:val="single" w:color="auto" w:sz="4" w:space="0"/>
              <w:left w:val="nil"/>
              <w:bottom w:val="single" w:color="auto" w:sz="4" w:space="0"/>
              <w:right w:val="single" w:color="auto" w:sz="4" w:space="0"/>
            </w:tcBorders>
            <w:vAlign w:val="center"/>
          </w:tcPr>
          <w:p w14:paraId="673FC35D">
            <w:pPr>
              <w:numPr>
                <w:ilvl w:val="0"/>
                <w:numId w:val="10"/>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设备占用时间已综合考虑，不因设备占用天数增加而增加费用</w:t>
            </w:r>
            <w:r>
              <w:rPr>
                <w:rFonts w:hint="eastAsia" w:ascii="楷体" w:hAnsi="楷体" w:eastAsia="楷体" w:cs="楷体"/>
                <w:snapToGrid w:val="0"/>
                <w:color w:val="000000"/>
                <w:kern w:val="0"/>
                <w:sz w:val="24"/>
                <w:szCs w:val="24"/>
              </w:rPr>
              <w:t>。</w:t>
            </w:r>
          </w:p>
          <w:p w14:paraId="14E8BBA7">
            <w:pPr>
              <w:numPr>
                <w:ilvl w:val="0"/>
                <w:numId w:val="10"/>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检测所需辅助钢架制作安装等费用已包含在投标报价中。</w:t>
            </w:r>
          </w:p>
        </w:tc>
      </w:tr>
    </w:tbl>
    <w:p w14:paraId="4356BD55">
      <w:pPr>
        <w:spacing w:line="360" w:lineRule="auto"/>
        <w:ind w:firstLine="0" w:firstLineChars="0"/>
        <w:rPr>
          <w:rFonts w:hint="eastAsia" w:hAnsi="宋体"/>
          <w:bCs/>
          <w:sz w:val="24"/>
          <w:highlight w:val="none"/>
        </w:rPr>
      </w:pPr>
    </w:p>
    <w:bookmarkEnd w:id="25"/>
    <w:bookmarkEnd w:id="26"/>
    <w:bookmarkEnd w:id="27"/>
    <w:p w14:paraId="44D62E27">
      <w:pPr>
        <w:spacing w:line="360" w:lineRule="auto"/>
        <w:ind w:firstLine="240" w:firstLineChars="100"/>
        <w:rPr>
          <w:rFonts w:hint="eastAsia" w:ascii="宋体" w:hAnsi="宋体"/>
          <w:sz w:val="24"/>
          <w:highlight w:val="none"/>
        </w:rPr>
      </w:pPr>
    </w:p>
    <w:p w14:paraId="2C1CAC7E">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59CC36EA">
      <w:pPr>
        <w:spacing w:line="240" w:lineRule="auto"/>
        <w:rPr>
          <w:sz w:val="44"/>
          <w:szCs w:val="44"/>
          <w:highlight w:val="none"/>
        </w:rPr>
      </w:pPr>
    </w:p>
    <w:sectPr>
      <w:headerReference r:id="rId5" w:type="default"/>
      <w:footerReference r:id="rId6" w:type="default"/>
      <w:pgSz w:w="11906" w:h="16838"/>
      <w:pgMar w:top="1276" w:right="1351" w:bottom="1135" w:left="141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C4FB">
    <w:pPr>
      <w:pStyle w:val="34"/>
      <w:jc w:val="center"/>
      <w:rPr>
        <w:rFonts w:eastAsia="方正楷体_GB2312"/>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2040255</wp:posOffset>
              </wp:positionH>
              <wp:positionV relativeFrom="paragraph">
                <wp:posOffset>-75565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B048">
                          <w:pPr>
                            <w:pStyle w:val="34"/>
                            <w:rPr>
                              <w:rFonts w:hint="eastAsia"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18</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0.65pt;margin-top:-5.95pt;height:144pt;width:144pt;mso-position-horizontal-relative:margin;mso-wrap-style:none;z-index:251660288;mso-width-relative:page;mso-height-relative:page;" filled="f" stroked="f" coordsize="21600,21600" o:gfxdata="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zsDR9gAAAAL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3522B048">
                    <w:pPr>
                      <w:pStyle w:val="34"/>
                      <w:rPr>
                        <w:rFonts w:hint="eastAsia"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18</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72AA8">
                          <w:pPr>
                            <w:pStyle w:val="34"/>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172AA8">
                    <w:pPr>
                      <w:pStyle w:val="34"/>
                      <w:jc w:val="center"/>
                    </w:pPr>
                  </w:p>
                </w:txbxContent>
              </v:textbox>
            </v:shape>
          </w:pict>
        </mc:Fallback>
      </mc:AlternateContent>
    </w:r>
  </w:p>
  <w:p w14:paraId="4AEFA3BC">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6ACD">
    <w:pPr>
      <w:pStyle w:val="3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00F0B4C8">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2875">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B18AF">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3C0B8"/>
    <w:multiLevelType w:val="singleLevel"/>
    <w:tmpl w:val="9903C0B8"/>
    <w:lvl w:ilvl="0" w:tentative="0">
      <w:start w:val="1"/>
      <w:numFmt w:val="decimal"/>
      <w:suff w:val="nothing"/>
      <w:lvlText w:val="（%1）"/>
      <w:lvlJc w:val="left"/>
    </w:lvl>
  </w:abstractNum>
  <w:abstractNum w:abstractNumId="1">
    <w:nsid w:val="DA47E431"/>
    <w:multiLevelType w:val="singleLevel"/>
    <w:tmpl w:val="DA47E431"/>
    <w:lvl w:ilvl="0" w:tentative="0">
      <w:start w:val="1"/>
      <w:numFmt w:val="decimal"/>
      <w:lvlText w:val="%1."/>
      <w:lvlJc w:val="left"/>
      <w:pPr>
        <w:tabs>
          <w:tab w:val="left" w:pos="312"/>
        </w:tabs>
      </w:pPr>
    </w:lvl>
  </w:abstractNum>
  <w:abstractNum w:abstractNumId="2">
    <w:nsid w:val="EAE01E8C"/>
    <w:multiLevelType w:val="singleLevel"/>
    <w:tmpl w:val="EAE01E8C"/>
    <w:lvl w:ilvl="0" w:tentative="0">
      <w:start w:val="2"/>
      <w:numFmt w:val="chineseCounting"/>
      <w:suff w:val="space"/>
      <w:lvlText w:val="%1、"/>
      <w:lvlJc w:val="left"/>
      <w:rPr>
        <w:rFonts w:hint="eastAsia"/>
      </w:rPr>
    </w:lvl>
  </w:abstractNum>
  <w:abstractNum w:abstractNumId="3">
    <w:nsid w:val="F4238D38"/>
    <w:multiLevelType w:val="singleLevel"/>
    <w:tmpl w:val="F4238D38"/>
    <w:lvl w:ilvl="0" w:tentative="0">
      <w:start w:val="2"/>
      <w:numFmt w:val="decimal"/>
      <w:suff w:val="nothing"/>
      <w:lvlText w:val="（%1）"/>
      <w:lvlJc w:val="left"/>
    </w:lvl>
  </w:abstractNum>
  <w:abstractNum w:abstractNumId="4">
    <w:nsid w:val="F60D6E3B"/>
    <w:multiLevelType w:val="singleLevel"/>
    <w:tmpl w:val="F60D6E3B"/>
    <w:lvl w:ilvl="0" w:tentative="0">
      <w:start w:val="1"/>
      <w:numFmt w:val="decimal"/>
      <w:lvlText w:val="%1."/>
      <w:lvlJc w:val="left"/>
      <w:pPr>
        <w:tabs>
          <w:tab w:val="left" w:pos="312"/>
        </w:tabs>
      </w:pPr>
    </w:lvl>
  </w:abstractNum>
  <w:abstractNum w:abstractNumId="5">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7">
    <w:nsid w:val="51B0D601"/>
    <w:multiLevelType w:val="singleLevel"/>
    <w:tmpl w:val="51B0D601"/>
    <w:lvl w:ilvl="0" w:tentative="0">
      <w:start w:val="2"/>
      <w:numFmt w:val="decimal"/>
      <w:lvlText w:val="%1."/>
      <w:lvlJc w:val="left"/>
      <w:pPr>
        <w:tabs>
          <w:tab w:val="left" w:pos="312"/>
        </w:tabs>
      </w:pPr>
    </w:lvl>
  </w:abstractNum>
  <w:abstractNum w:abstractNumId="8">
    <w:nsid w:val="5E002513"/>
    <w:multiLevelType w:val="singleLevel"/>
    <w:tmpl w:val="5E002513"/>
    <w:lvl w:ilvl="0" w:tentative="0">
      <w:start w:val="1"/>
      <w:numFmt w:val="decimal"/>
      <w:suff w:val="nothing"/>
      <w:lvlText w:val="（%1）"/>
      <w:lvlJc w:val="left"/>
    </w:lvl>
  </w:abstractNum>
  <w:abstractNum w:abstractNumId="9">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5"/>
  </w:num>
  <w:num w:numId="3">
    <w:abstractNumId w:val="7"/>
  </w:num>
  <w:num w:numId="4">
    <w:abstractNumId w:val="0"/>
  </w:num>
  <w:num w:numId="5">
    <w:abstractNumId w:val="3"/>
  </w:num>
  <w:num w:numId="6">
    <w:abstractNumId w:val="8"/>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497A7D"/>
    <w:rsid w:val="116D5365"/>
    <w:rsid w:val="121477AB"/>
    <w:rsid w:val="1227630D"/>
    <w:rsid w:val="125D64CF"/>
    <w:rsid w:val="12B16A9E"/>
    <w:rsid w:val="13272F7A"/>
    <w:rsid w:val="13361405"/>
    <w:rsid w:val="137A2F78"/>
    <w:rsid w:val="13924484"/>
    <w:rsid w:val="13B9577F"/>
    <w:rsid w:val="13D61BD2"/>
    <w:rsid w:val="1452749D"/>
    <w:rsid w:val="14922F3A"/>
    <w:rsid w:val="14FD2A2E"/>
    <w:rsid w:val="150B2427"/>
    <w:rsid w:val="15377BDA"/>
    <w:rsid w:val="153D5CAE"/>
    <w:rsid w:val="153E1AB3"/>
    <w:rsid w:val="15510782"/>
    <w:rsid w:val="158A718E"/>
    <w:rsid w:val="15EA5123"/>
    <w:rsid w:val="16313179"/>
    <w:rsid w:val="165923BB"/>
    <w:rsid w:val="16B56EA5"/>
    <w:rsid w:val="16B8454E"/>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E43962"/>
    <w:rsid w:val="1A685E2E"/>
    <w:rsid w:val="1A6D597B"/>
    <w:rsid w:val="1ACC2467"/>
    <w:rsid w:val="1ACE4D14"/>
    <w:rsid w:val="1AD027EB"/>
    <w:rsid w:val="1B2C5E4B"/>
    <w:rsid w:val="1B4874D7"/>
    <w:rsid w:val="1BDA54F2"/>
    <w:rsid w:val="1C2844A0"/>
    <w:rsid w:val="1C525155"/>
    <w:rsid w:val="1C8E406A"/>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9A0F77"/>
    <w:rsid w:val="1FE271D5"/>
    <w:rsid w:val="1FE501FD"/>
    <w:rsid w:val="1FEB5623"/>
    <w:rsid w:val="1FEF712E"/>
    <w:rsid w:val="20611216"/>
    <w:rsid w:val="20621FC3"/>
    <w:rsid w:val="20E35BE9"/>
    <w:rsid w:val="21156A1C"/>
    <w:rsid w:val="21310B1A"/>
    <w:rsid w:val="218A325D"/>
    <w:rsid w:val="22255D12"/>
    <w:rsid w:val="227605BB"/>
    <w:rsid w:val="22BD7457"/>
    <w:rsid w:val="22E36C68"/>
    <w:rsid w:val="22FB7F7F"/>
    <w:rsid w:val="23476928"/>
    <w:rsid w:val="23550037"/>
    <w:rsid w:val="235E3944"/>
    <w:rsid w:val="23800F5E"/>
    <w:rsid w:val="23B073D3"/>
    <w:rsid w:val="23E502C6"/>
    <w:rsid w:val="2422296D"/>
    <w:rsid w:val="2426102C"/>
    <w:rsid w:val="244E349E"/>
    <w:rsid w:val="24666EE4"/>
    <w:rsid w:val="24701946"/>
    <w:rsid w:val="24BA2272"/>
    <w:rsid w:val="25280AEE"/>
    <w:rsid w:val="25D971BC"/>
    <w:rsid w:val="25E42F4C"/>
    <w:rsid w:val="261074AD"/>
    <w:rsid w:val="261C46B1"/>
    <w:rsid w:val="267F4B9F"/>
    <w:rsid w:val="26F42E9C"/>
    <w:rsid w:val="271D6716"/>
    <w:rsid w:val="27D87113"/>
    <w:rsid w:val="27E75A20"/>
    <w:rsid w:val="280D4269"/>
    <w:rsid w:val="284B0B33"/>
    <w:rsid w:val="289D1723"/>
    <w:rsid w:val="2914325F"/>
    <w:rsid w:val="29613214"/>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B81304"/>
    <w:rsid w:val="2ECD6C7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D4884"/>
    <w:rsid w:val="3DFA3042"/>
    <w:rsid w:val="3E0755D2"/>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F44C0D"/>
    <w:rsid w:val="47F10090"/>
    <w:rsid w:val="480A6EB1"/>
    <w:rsid w:val="491178F4"/>
    <w:rsid w:val="494D402D"/>
    <w:rsid w:val="49810EE2"/>
    <w:rsid w:val="4A340D7B"/>
    <w:rsid w:val="4A5F084F"/>
    <w:rsid w:val="4A754721"/>
    <w:rsid w:val="4A83134F"/>
    <w:rsid w:val="4AD621E9"/>
    <w:rsid w:val="4B04790D"/>
    <w:rsid w:val="4B1C5E3D"/>
    <w:rsid w:val="4B3D2633"/>
    <w:rsid w:val="4B513EF9"/>
    <w:rsid w:val="4B8D60C9"/>
    <w:rsid w:val="4B9C4E51"/>
    <w:rsid w:val="4C795D79"/>
    <w:rsid w:val="4CA06FAD"/>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5056B34"/>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0605FE"/>
    <w:rsid w:val="5A1A7162"/>
    <w:rsid w:val="5A2F0903"/>
    <w:rsid w:val="5A3508BF"/>
    <w:rsid w:val="5A753690"/>
    <w:rsid w:val="5AC35526"/>
    <w:rsid w:val="5AD230A1"/>
    <w:rsid w:val="5AE75489"/>
    <w:rsid w:val="5B0E4680"/>
    <w:rsid w:val="5B543D4B"/>
    <w:rsid w:val="5C021D5C"/>
    <w:rsid w:val="5C12484B"/>
    <w:rsid w:val="5C164F06"/>
    <w:rsid w:val="5CD033D2"/>
    <w:rsid w:val="5CD746C6"/>
    <w:rsid w:val="5D02224E"/>
    <w:rsid w:val="5D0B433F"/>
    <w:rsid w:val="5D1F7DEB"/>
    <w:rsid w:val="5D256F17"/>
    <w:rsid w:val="5D566611"/>
    <w:rsid w:val="5D7A3273"/>
    <w:rsid w:val="5D896E22"/>
    <w:rsid w:val="5E0A4A50"/>
    <w:rsid w:val="5F2D0E8F"/>
    <w:rsid w:val="5FEB2BA4"/>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D50C68"/>
    <w:rsid w:val="64E35BA2"/>
    <w:rsid w:val="64E533D4"/>
    <w:rsid w:val="65640DB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CE7367"/>
    <w:rsid w:val="69F57B64"/>
    <w:rsid w:val="6A3A435E"/>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3F6E6A"/>
    <w:rsid w:val="6D92054D"/>
    <w:rsid w:val="6D953B09"/>
    <w:rsid w:val="6E5626ED"/>
    <w:rsid w:val="6E942999"/>
    <w:rsid w:val="6EB966E9"/>
    <w:rsid w:val="6F241291"/>
    <w:rsid w:val="6FCC795E"/>
    <w:rsid w:val="700A4990"/>
    <w:rsid w:val="7061300B"/>
    <w:rsid w:val="714C49C7"/>
    <w:rsid w:val="71EC67DB"/>
    <w:rsid w:val="72221950"/>
    <w:rsid w:val="72A252EE"/>
    <w:rsid w:val="72AD02ED"/>
    <w:rsid w:val="73C21591"/>
    <w:rsid w:val="74B06E8E"/>
    <w:rsid w:val="74E042F3"/>
    <w:rsid w:val="75001B2D"/>
    <w:rsid w:val="750D1BC6"/>
    <w:rsid w:val="751A6115"/>
    <w:rsid w:val="752F13FF"/>
    <w:rsid w:val="75CD688F"/>
    <w:rsid w:val="75D67789"/>
    <w:rsid w:val="765242FC"/>
    <w:rsid w:val="766B1D21"/>
    <w:rsid w:val="769B238D"/>
    <w:rsid w:val="770E5CDE"/>
    <w:rsid w:val="772D017A"/>
    <w:rsid w:val="775D7768"/>
    <w:rsid w:val="77617526"/>
    <w:rsid w:val="780473EC"/>
    <w:rsid w:val="780B4978"/>
    <w:rsid w:val="781B18E6"/>
    <w:rsid w:val="790F45F0"/>
    <w:rsid w:val="7919031A"/>
    <w:rsid w:val="7957552B"/>
    <w:rsid w:val="79CE505D"/>
    <w:rsid w:val="7A5B19C1"/>
    <w:rsid w:val="7A5C1D7E"/>
    <w:rsid w:val="7A63795B"/>
    <w:rsid w:val="7A7B5E5C"/>
    <w:rsid w:val="7AC34054"/>
    <w:rsid w:val="7AD6524D"/>
    <w:rsid w:val="7AD71832"/>
    <w:rsid w:val="7B8F410F"/>
    <w:rsid w:val="7BF55D0D"/>
    <w:rsid w:val="7C2C1A43"/>
    <w:rsid w:val="7C2C344B"/>
    <w:rsid w:val="7CDE1D01"/>
    <w:rsid w:val="7D1D57F3"/>
    <w:rsid w:val="7D62210E"/>
    <w:rsid w:val="7DA737B9"/>
    <w:rsid w:val="7DCC28A9"/>
    <w:rsid w:val="7DF41070"/>
    <w:rsid w:val="7E412A73"/>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autoRedefine/>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74"/>
    <w:autoRedefine/>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75"/>
    <w:autoRedefine/>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76"/>
    <w:autoRedefine/>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77"/>
    <w:autoRedefine/>
    <w:qFormat/>
    <w:uiPriority w:val="0"/>
    <w:pPr>
      <w:ind w:left="1008" w:hanging="432"/>
      <w:outlineLvl w:val="4"/>
    </w:pPr>
    <w:rPr>
      <w:rFonts w:ascii="Times New Roman" w:hAnsi="Times New Roman"/>
      <w:kern w:val="0"/>
      <w:sz w:val="20"/>
      <w:szCs w:val="20"/>
    </w:rPr>
  </w:style>
  <w:style w:type="paragraph" w:styleId="7">
    <w:name w:val="heading 6"/>
    <w:basedOn w:val="1"/>
    <w:next w:val="1"/>
    <w:link w:val="78"/>
    <w:autoRedefine/>
    <w:qFormat/>
    <w:uiPriority w:val="0"/>
    <w:pPr>
      <w:ind w:left="1152" w:hanging="432"/>
      <w:outlineLvl w:val="5"/>
    </w:pPr>
    <w:rPr>
      <w:rFonts w:ascii="Times New Roman" w:hAnsi="Times New Roman"/>
      <w:kern w:val="0"/>
      <w:sz w:val="20"/>
      <w:szCs w:val="20"/>
    </w:rPr>
  </w:style>
  <w:style w:type="paragraph" w:styleId="8">
    <w:name w:val="heading 7"/>
    <w:basedOn w:val="1"/>
    <w:next w:val="1"/>
    <w:link w:val="79"/>
    <w:autoRedefine/>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80"/>
    <w:autoRedefine/>
    <w:qFormat/>
    <w:uiPriority w:val="0"/>
    <w:pPr>
      <w:ind w:left="1440" w:hanging="432"/>
      <w:outlineLvl w:val="7"/>
    </w:pPr>
    <w:rPr>
      <w:rFonts w:ascii="Times New Roman" w:hAnsi="Times New Roman"/>
      <w:kern w:val="0"/>
      <w:sz w:val="20"/>
      <w:szCs w:val="20"/>
    </w:rPr>
  </w:style>
  <w:style w:type="paragraph" w:styleId="10">
    <w:name w:val="heading 9"/>
    <w:basedOn w:val="1"/>
    <w:next w:val="1"/>
    <w:link w:val="81"/>
    <w:autoRedefine/>
    <w:qFormat/>
    <w:uiPriority w:val="0"/>
    <w:pPr>
      <w:ind w:left="1584" w:hanging="144"/>
      <w:outlineLvl w:val="8"/>
    </w:pPr>
    <w:rPr>
      <w:rFonts w:ascii="Times New Roman" w:hAnsi="Times New Roman"/>
      <w:kern w:val="0"/>
      <w:sz w:val="20"/>
      <w:szCs w:val="20"/>
    </w:rPr>
  </w:style>
  <w:style w:type="character" w:default="1" w:styleId="57">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2520" w:leftChars="1200"/>
    </w:pPr>
  </w:style>
  <w:style w:type="paragraph" w:styleId="12">
    <w:name w:val="Note Heading"/>
    <w:basedOn w:val="1"/>
    <w:next w:val="1"/>
    <w:link w:val="116"/>
    <w:autoRedefine/>
    <w:semiHidden/>
    <w:qFormat/>
    <w:uiPriority w:val="0"/>
    <w:pPr>
      <w:jc w:val="center"/>
    </w:pPr>
    <w:rPr>
      <w:rFonts w:ascii="Times New Roman" w:hAnsi="Times New Roman"/>
      <w:szCs w:val="24"/>
    </w:rPr>
  </w:style>
  <w:style w:type="paragraph" w:styleId="13">
    <w:name w:val="index 8"/>
    <w:basedOn w:val="1"/>
    <w:next w:val="1"/>
    <w:autoRedefine/>
    <w:qFormat/>
    <w:uiPriority w:val="0"/>
    <w:pPr>
      <w:ind w:left="1400" w:leftChars="1400"/>
    </w:pPr>
    <w:rPr>
      <w:rFonts w:ascii="Times New Roman" w:hAnsi="Times New Roman"/>
      <w:szCs w:val="24"/>
    </w:rPr>
  </w:style>
  <w:style w:type="paragraph" w:styleId="14">
    <w:name w:val="E-mail Signature"/>
    <w:basedOn w:val="1"/>
    <w:link w:val="117"/>
    <w:autoRedefine/>
    <w:semiHidden/>
    <w:qFormat/>
    <w:uiPriority w:val="0"/>
    <w:rPr>
      <w:rFonts w:ascii="Times New Roman" w:hAnsi="Times New Roman"/>
      <w:szCs w:val="24"/>
    </w:rPr>
  </w:style>
  <w:style w:type="paragraph" w:styleId="15">
    <w:name w:val="Normal Indent"/>
    <w:basedOn w:val="1"/>
    <w:autoRedefine/>
    <w:qFormat/>
    <w:uiPriority w:val="0"/>
    <w:pPr>
      <w:tabs>
        <w:tab w:val="left" w:pos="4680"/>
      </w:tabs>
      <w:spacing w:beforeLines="50" w:line="300" w:lineRule="auto"/>
      <w:ind w:firstLine="420"/>
    </w:pPr>
    <w:rPr>
      <w:rFonts w:ascii="Times New Roman" w:hAnsi="Times New Roman"/>
      <w:bCs/>
      <w:szCs w:val="21"/>
    </w:rPr>
  </w:style>
  <w:style w:type="paragraph" w:styleId="16">
    <w:name w:val="List Bullet"/>
    <w:basedOn w:val="1"/>
    <w:autoRedefine/>
    <w:semiHidden/>
    <w:qFormat/>
    <w:uiPriority w:val="0"/>
    <w:pPr>
      <w:tabs>
        <w:tab w:val="left" w:pos="360"/>
      </w:tabs>
      <w:ind w:left="360" w:hanging="360"/>
    </w:pPr>
    <w:rPr>
      <w:rFonts w:ascii="Times New Roman" w:hAnsi="Times New Roman"/>
      <w:szCs w:val="24"/>
    </w:rPr>
  </w:style>
  <w:style w:type="paragraph" w:styleId="17">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autoRedefine/>
    <w:unhideWhenUsed/>
    <w:qFormat/>
    <w:uiPriority w:val="0"/>
    <w:rPr>
      <w:rFonts w:ascii="宋体"/>
      <w:sz w:val="18"/>
      <w:szCs w:val="18"/>
    </w:rPr>
  </w:style>
  <w:style w:type="paragraph" w:styleId="19">
    <w:name w:val="annotation text"/>
    <w:basedOn w:val="1"/>
    <w:link w:val="87"/>
    <w:autoRedefine/>
    <w:unhideWhenUsed/>
    <w:qFormat/>
    <w:uiPriority w:val="0"/>
    <w:pPr>
      <w:jc w:val="left"/>
    </w:pPr>
  </w:style>
  <w:style w:type="paragraph" w:styleId="20">
    <w:name w:val="Salutation"/>
    <w:basedOn w:val="1"/>
    <w:next w:val="1"/>
    <w:link w:val="118"/>
    <w:autoRedefine/>
    <w:semiHidden/>
    <w:qFormat/>
    <w:uiPriority w:val="0"/>
    <w:rPr>
      <w:rFonts w:ascii="Times New Roman" w:hAnsi="Times New Roman"/>
      <w:szCs w:val="24"/>
    </w:rPr>
  </w:style>
  <w:style w:type="paragraph" w:styleId="21">
    <w:name w:val="Body Text 3"/>
    <w:basedOn w:val="1"/>
    <w:link w:val="119"/>
    <w:autoRedefine/>
    <w:semiHidden/>
    <w:qFormat/>
    <w:uiPriority w:val="0"/>
    <w:pPr>
      <w:spacing w:after="120"/>
    </w:pPr>
    <w:rPr>
      <w:rFonts w:ascii="Times New Roman" w:hAnsi="Times New Roman"/>
      <w:sz w:val="16"/>
      <w:szCs w:val="16"/>
    </w:rPr>
  </w:style>
  <w:style w:type="paragraph" w:styleId="22">
    <w:name w:val="Closing"/>
    <w:basedOn w:val="1"/>
    <w:link w:val="120"/>
    <w:autoRedefine/>
    <w:semiHidden/>
    <w:qFormat/>
    <w:uiPriority w:val="0"/>
    <w:pPr>
      <w:ind w:left="100" w:leftChars="2100"/>
    </w:pPr>
    <w:rPr>
      <w:rFonts w:ascii="Times New Roman" w:hAnsi="Times New Roman"/>
      <w:szCs w:val="24"/>
    </w:rPr>
  </w:style>
  <w:style w:type="paragraph" w:styleId="23">
    <w:name w:val="Body Text"/>
    <w:basedOn w:val="1"/>
    <w:next w:val="1"/>
    <w:link w:val="88"/>
    <w:autoRedefine/>
    <w:qFormat/>
    <w:uiPriority w:val="99"/>
    <w:pPr>
      <w:spacing w:line="360" w:lineRule="auto"/>
    </w:pPr>
    <w:rPr>
      <w:rFonts w:ascii="宋体" w:hAnsi="宋体"/>
      <w:kern w:val="0"/>
      <w:sz w:val="24"/>
      <w:szCs w:val="24"/>
    </w:rPr>
  </w:style>
  <w:style w:type="paragraph" w:styleId="24">
    <w:name w:val="Body Text Indent"/>
    <w:basedOn w:val="1"/>
    <w:link w:val="86"/>
    <w:autoRedefine/>
    <w:unhideWhenUsed/>
    <w:qFormat/>
    <w:uiPriority w:val="99"/>
    <w:pPr>
      <w:spacing w:after="120"/>
      <w:ind w:left="420" w:leftChars="200"/>
    </w:pPr>
  </w:style>
  <w:style w:type="paragraph" w:styleId="25">
    <w:name w:val="HTML Address"/>
    <w:basedOn w:val="1"/>
    <w:link w:val="121"/>
    <w:autoRedefine/>
    <w:semiHidden/>
    <w:qFormat/>
    <w:uiPriority w:val="0"/>
    <w:rPr>
      <w:rFonts w:ascii="Times New Roman" w:hAnsi="Times New Roman"/>
      <w:i/>
      <w:iCs/>
      <w:szCs w:val="24"/>
    </w:rPr>
  </w:style>
  <w:style w:type="paragraph" w:styleId="26">
    <w:name w:val="toc 5"/>
    <w:basedOn w:val="1"/>
    <w:next w:val="1"/>
    <w:autoRedefine/>
    <w:unhideWhenUsed/>
    <w:qFormat/>
    <w:uiPriority w:val="0"/>
    <w:pPr>
      <w:ind w:left="1680" w:leftChars="800"/>
    </w:pPr>
  </w:style>
  <w:style w:type="paragraph" w:styleId="27">
    <w:name w:val="toc 3"/>
    <w:basedOn w:val="1"/>
    <w:next w:val="1"/>
    <w:autoRedefine/>
    <w:unhideWhenUsed/>
    <w:qFormat/>
    <w:uiPriority w:val="0"/>
    <w:pPr>
      <w:ind w:left="840" w:leftChars="400"/>
    </w:pPr>
  </w:style>
  <w:style w:type="paragraph" w:styleId="28">
    <w:name w:val="Plain Text"/>
    <w:basedOn w:val="1"/>
    <w:link w:val="91"/>
    <w:autoRedefine/>
    <w:qFormat/>
    <w:uiPriority w:val="0"/>
    <w:rPr>
      <w:rFonts w:ascii="宋体" w:hAnsi="Courier New"/>
      <w:szCs w:val="21"/>
    </w:rPr>
  </w:style>
  <w:style w:type="paragraph" w:styleId="29">
    <w:name w:val="toc 8"/>
    <w:basedOn w:val="1"/>
    <w:next w:val="1"/>
    <w:autoRedefine/>
    <w:semiHidden/>
    <w:qFormat/>
    <w:uiPriority w:val="0"/>
    <w:pPr>
      <w:ind w:left="2940" w:leftChars="1400"/>
    </w:pPr>
  </w:style>
  <w:style w:type="paragraph" w:styleId="30">
    <w:name w:val="Date"/>
    <w:basedOn w:val="1"/>
    <w:next w:val="1"/>
    <w:link w:val="122"/>
    <w:autoRedefine/>
    <w:unhideWhenUsed/>
    <w:qFormat/>
    <w:uiPriority w:val="0"/>
    <w:pPr>
      <w:ind w:left="100" w:leftChars="2500"/>
    </w:pPr>
    <w:rPr>
      <w:rFonts w:ascii="Times New Roman" w:hAnsi="Times New Roman"/>
      <w:szCs w:val="20"/>
    </w:rPr>
  </w:style>
  <w:style w:type="paragraph" w:styleId="31">
    <w:name w:val="Body Text Indent 2"/>
    <w:basedOn w:val="1"/>
    <w:link w:val="123"/>
    <w:autoRedefine/>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4"/>
    <w:autoRedefine/>
    <w:semiHidden/>
    <w:qFormat/>
    <w:uiPriority w:val="0"/>
    <w:pPr>
      <w:snapToGrid w:val="0"/>
      <w:jc w:val="left"/>
    </w:pPr>
    <w:rPr>
      <w:rFonts w:ascii="Times New Roman" w:hAnsi="Times New Roman"/>
      <w:szCs w:val="24"/>
    </w:rPr>
  </w:style>
  <w:style w:type="paragraph" w:styleId="33">
    <w:name w:val="Balloon Text"/>
    <w:basedOn w:val="1"/>
    <w:link w:val="90"/>
    <w:autoRedefine/>
    <w:unhideWhenUsed/>
    <w:qFormat/>
    <w:uiPriority w:val="0"/>
    <w:rPr>
      <w:kern w:val="0"/>
      <w:sz w:val="18"/>
      <w:szCs w:val="18"/>
    </w:rPr>
  </w:style>
  <w:style w:type="paragraph" w:styleId="34">
    <w:name w:val="footer"/>
    <w:basedOn w:val="1"/>
    <w:link w:val="89"/>
    <w:autoRedefine/>
    <w:unhideWhenUsed/>
    <w:qFormat/>
    <w:uiPriority w:val="0"/>
    <w:pPr>
      <w:tabs>
        <w:tab w:val="center" w:pos="4153"/>
        <w:tab w:val="right" w:pos="8306"/>
      </w:tabs>
      <w:snapToGrid w:val="0"/>
      <w:jc w:val="left"/>
    </w:pPr>
    <w:rPr>
      <w:kern w:val="0"/>
      <w:sz w:val="18"/>
      <w:szCs w:val="18"/>
    </w:rPr>
  </w:style>
  <w:style w:type="paragraph" w:styleId="35">
    <w:name w:val="header"/>
    <w:basedOn w:val="1"/>
    <w:link w:val="8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5"/>
    <w:autoRedefine/>
    <w:semiHidden/>
    <w:qFormat/>
    <w:uiPriority w:val="0"/>
    <w:pPr>
      <w:ind w:left="100" w:leftChars="2100"/>
    </w:pPr>
    <w:rPr>
      <w:rFonts w:ascii="Times New Roman" w:hAnsi="Times New Roman"/>
      <w:szCs w:val="24"/>
    </w:rPr>
  </w:style>
  <w:style w:type="paragraph" w:styleId="37">
    <w:name w:val="toc 1"/>
    <w:basedOn w:val="1"/>
    <w:next w:val="1"/>
    <w:autoRedefine/>
    <w:unhideWhenUsed/>
    <w:qFormat/>
    <w:uiPriority w:val="0"/>
  </w:style>
  <w:style w:type="paragraph" w:styleId="38">
    <w:name w:val="toc 4"/>
    <w:basedOn w:val="1"/>
    <w:next w:val="1"/>
    <w:autoRedefine/>
    <w:unhideWhenUsed/>
    <w:qFormat/>
    <w:uiPriority w:val="0"/>
    <w:pPr>
      <w:ind w:left="1260" w:leftChars="600"/>
    </w:pPr>
  </w:style>
  <w:style w:type="paragraph" w:styleId="39">
    <w:name w:val="Subtitle"/>
    <w:basedOn w:val="1"/>
    <w:next w:val="1"/>
    <w:link w:val="159"/>
    <w:autoRedefine/>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autoRedefine/>
    <w:semiHidden/>
    <w:qFormat/>
    <w:uiPriority w:val="0"/>
    <w:pPr>
      <w:ind w:left="200" w:hanging="200" w:hangingChars="200"/>
    </w:pPr>
    <w:rPr>
      <w:rFonts w:ascii="Times New Roman" w:hAnsi="Times New Roman"/>
      <w:szCs w:val="24"/>
    </w:rPr>
  </w:style>
  <w:style w:type="paragraph" w:styleId="41">
    <w:name w:val="footnote text"/>
    <w:basedOn w:val="1"/>
    <w:link w:val="126"/>
    <w:autoRedefine/>
    <w:semiHidden/>
    <w:qFormat/>
    <w:uiPriority w:val="0"/>
    <w:pPr>
      <w:snapToGrid w:val="0"/>
      <w:jc w:val="left"/>
    </w:pPr>
    <w:rPr>
      <w:rFonts w:ascii="Times New Roman" w:hAnsi="Times New Roman"/>
      <w:sz w:val="18"/>
      <w:szCs w:val="20"/>
    </w:rPr>
  </w:style>
  <w:style w:type="paragraph" w:styleId="42">
    <w:name w:val="toc 6"/>
    <w:basedOn w:val="1"/>
    <w:next w:val="1"/>
    <w:autoRedefine/>
    <w:unhideWhenUsed/>
    <w:qFormat/>
    <w:uiPriority w:val="0"/>
    <w:pPr>
      <w:ind w:left="2100" w:leftChars="1000"/>
    </w:pPr>
  </w:style>
  <w:style w:type="paragraph" w:styleId="43">
    <w:name w:val="toc 2"/>
    <w:basedOn w:val="1"/>
    <w:next w:val="1"/>
    <w:autoRedefine/>
    <w:unhideWhenUsed/>
    <w:qFormat/>
    <w:uiPriority w:val="0"/>
    <w:pPr>
      <w:ind w:left="420" w:leftChars="200"/>
    </w:pPr>
  </w:style>
  <w:style w:type="paragraph" w:styleId="44">
    <w:name w:val="toc 9"/>
    <w:basedOn w:val="1"/>
    <w:next w:val="1"/>
    <w:autoRedefine/>
    <w:unhideWhenUsed/>
    <w:qFormat/>
    <w:uiPriority w:val="0"/>
    <w:pPr>
      <w:ind w:left="3360" w:leftChars="1600"/>
    </w:pPr>
  </w:style>
  <w:style w:type="paragraph" w:styleId="45">
    <w:name w:val="Message Header"/>
    <w:basedOn w:val="1"/>
    <w:link w:val="127"/>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8"/>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autoRedefine/>
    <w:unhideWhenUsed/>
    <w:qFormat/>
    <w:uiPriority w:val="0"/>
  </w:style>
  <w:style w:type="paragraph" w:styleId="49">
    <w:name w:val="Title"/>
    <w:basedOn w:val="1"/>
    <w:next w:val="1"/>
    <w:link w:val="158"/>
    <w:autoRedefine/>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96"/>
    <w:autoRedefine/>
    <w:unhideWhenUsed/>
    <w:qFormat/>
    <w:uiPriority w:val="0"/>
    <w:rPr>
      <w:b/>
      <w:bCs/>
    </w:rPr>
  </w:style>
  <w:style w:type="paragraph" w:styleId="51">
    <w:name w:val="Body Text First Indent"/>
    <w:basedOn w:val="23"/>
    <w:link w:val="113"/>
    <w:autoRedefine/>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4"/>
    <w:link w:val="85"/>
    <w:autoRedefine/>
    <w:unhideWhenUsed/>
    <w:qFormat/>
    <w:uiPriority w:val="0"/>
    <w:pPr>
      <w:ind w:firstLine="420" w:firstLineChars="200"/>
    </w:p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autoRedefine/>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autoRedefine/>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autoRedefine/>
    <w:qFormat/>
    <w:uiPriority w:val="22"/>
    <w:rPr>
      <w:b/>
    </w:rPr>
  </w:style>
  <w:style w:type="character" w:styleId="59">
    <w:name w:val="endnote reference"/>
    <w:autoRedefine/>
    <w:semiHidden/>
    <w:qFormat/>
    <w:uiPriority w:val="0"/>
    <w:rPr>
      <w:vertAlign w:val="superscript"/>
    </w:rPr>
  </w:style>
  <w:style w:type="character" w:styleId="60">
    <w:name w:val="page number"/>
    <w:basedOn w:val="57"/>
    <w:autoRedefine/>
    <w:unhideWhenUsed/>
    <w:qFormat/>
    <w:uiPriority w:val="99"/>
  </w:style>
  <w:style w:type="character" w:styleId="61">
    <w:name w:val="FollowedHyperlink"/>
    <w:autoRedefine/>
    <w:qFormat/>
    <w:uiPriority w:val="99"/>
    <w:rPr>
      <w:color w:val="800080"/>
      <w:u w:val="single"/>
    </w:rPr>
  </w:style>
  <w:style w:type="character" w:styleId="62">
    <w:name w:val="Emphasis"/>
    <w:basedOn w:val="57"/>
    <w:autoRedefine/>
    <w:qFormat/>
    <w:uiPriority w:val="20"/>
  </w:style>
  <w:style w:type="character" w:styleId="63">
    <w:name w:val="HTML Definition"/>
    <w:autoRedefine/>
    <w:qFormat/>
    <w:uiPriority w:val="0"/>
    <w:rPr>
      <w:i/>
      <w:iCs/>
    </w:rPr>
  </w:style>
  <w:style w:type="character" w:styleId="64">
    <w:name w:val="HTML Typewriter"/>
    <w:autoRedefine/>
    <w:semiHidden/>
    <w:qFormat/>
    <w:uiPriority w:val="0"/>
    <w:rPr>
      <w:rFonts w:ascii="Courier New" w:hAnsi="Courier New" w:cs="Courier New"/>
      <w:sz w:val="20"/>
      <w:szCs w:val="20"/>
    </w:rPr>
  </w:style>
  <w:style w:type="character" w:styleId="65">
    <w:name w:val="HTML Variable"/>
    <w:autoRedefine/>
    <w:qFormat/>
    <w:uiPriority w:val="0"/>
    <w:rPr>
      <w:i/>
      <w:iCs/>
    </w:rPr>
  </w:style>
  <w:style w:type="character" w:styleId="66">
    <w:name w:val="Hyperlink"/>
    <w:autoRedefine/>
    <w:qFormat/>
    <w:uiPriority w:val="0"/>
    <w:rPr>
      <w:color w:val="0000FF"/>
      <w:u w:val="single"/>
    </w:rPr>
  </w:style>
  <w:style w:type="character" w:styleId="67">
    <w:name w:val="HTML Code"/>
    <w:autoRedefine/>
    <w:qFormat/>
    <w:uiPriority w:val="0"/>
    <w:rPr>
      <w:rFonts w:ascii="Courier New" w:hAnsi="Courier New" w:cs="Courier New"/>
      <w:sz w:val="20"/>
      <w:szCs w:val="20"/>
    </w:rPr>
  </w:style>
  <w:style w:type="character" w:styleId="68">
    <w:name w:val="annotation reference"/>
    <w:autoRedefine/>
    <w:unhideWhenUsed/>
    <w:qFormat/>
    <w:uiPriority w:val="0"/>
    <w:rPr>
      <w:sz w:val="21"/>
      <w:szCs w:val="21"/>
    </w:rPr>
  </w:style>
  <w:style w:type="character" w:styleId="69">
    <w:name w:val="HTML Cite"/>
    <w:autoRedefine/>
    <w:qFormat/>
    <w:uiPriority w:val="0"/>
    <w:rPr>
      <w:i/>
      <w:iCs/>
    </w:rPr>
  </w:style>
  <w:style w:type="character" w:styleId="70">
    <w:name w:val="footnote reference"/>
    <w:autoRedefine/>
    <w:semiHidden/>
    <w:qFormat/>
    <w:uiPriority w:val="0"/>
    <w:rPr>
      <w:vertAlign w:val="superscript"/>
    </w:rPr>
  </w:style>
  <w:style w:type="character" w:styleId="71">
    <w:name w:val="HTML Keyboard"/>
    <w:autoRedefine/>
    <w:qFormat/>
    <w:uiPriority w:val="0"/>
    <w:rPr>
      <w:rFonts w:ascii="Courier New" w:hAnsi="Courier New" w:cs="Courier New"/>
      <w:sz w:val="20"/>
      <w:szCs w:val="20"/>
    </w:rPr>
  </w:style>
  <w:style w:type="character" w:styleId="72">
    <w:name w:val="HTML Sample"/>
    <w:autoRedefine/>
    <w:qFormat/>
    <w:uiPriority w:val="0"/>
    <w:rPr>
      <w:rFonts w:ascii="Courier New" w:hAnsi="Courier New" w:cs="Courier New"/>
    </w:rPr>
  </w:style>
  <w:style w:type="character" w:customStyle="1" w:styleId="73">
    <w:name w:val="标题 1 Char"/>
    <w:link w:val="2"/>
    <w:autoRedefine/>
    <w:qFormat/>
    <w:uiPriority w:val="0"/>
    <w:rPr>
      <w:b/>
      <w:bCs/>
      <w:kern w:val="44"/>
      <w:sz w:val="44"/>
      <w:szCs w:val="44"/>
    </w:rPr>
  </w:style>
  <w:style w:type="character" w:customStyle="1" w:styleId="74">
    <w:name w:val="标题 2 Char"/>
    <w:link w:val="3"/>
    <w:autoRedefine/>
    <w:qFormat/>
    <w:uiPriority w:val="0"/>
    <w:rPr>
      <w:rFonts w:ascii="Cambria" w:hAnsi="Cambria" w:eastAsia="宋体"/>
      <w:b/>
      <w:bCs/>
      <w:kern w:val="2"/>
      <w:sz w:val="32"/>
      <w:szCs w:val="32"/>
      <w:lang w:val="en-US" w:eastAsia="zh-CN" w:bidi="ar-SA"/>
    </w:rPr>
  </w:style>
  <w:style w:type="character" w:customStyle="1" w:styleId="75">
    <w:name w:val="标题 3 Char"/>
    <w:link w:val="4"/>
    <w:autoRedefine/>
    <w:qFormat/>
    <w:uiPriority w:val="0"/>
    <w:rPr>
      <w:rFonts w:ascii="Calibri" w:hAnsi="Calibri" w:eastAsia="宋体"/>
      <w:b/>
      <w:bCs/>
      <w:kern w:val="2"/>
      <w:sz w:val="32"/>
      <w:szCs w:val="32"/>
      <w:lang w:val="en-US" w:eastAsia="zh-CN" w:bidi="ar-SA"/>
    </w:rPr>
  </w:style>
  <w:style w:type="character" w:customStyle="1" w:styleId="76">
    <w:name w:val="标题 4 Char"/>
    <w:link w:val="5"/>
    <w:autoRedefine/>
    <w:qFormat/>
    <w:uiPriority w:val="0"/>
    <w:rPr>
      <w:rFonts w:ascii="宋体" w:hAnsi="宋体" w:eastAsia="宋体" w:cs="宋体"/>
      <w:b/>
      <w:bCs/>
      <w:sz w:val="24"/>
      <w:szCs w:val="24"/>
      <w:lang w:val="en-US" w:eastAsia="zh-CN" w:bidi="ar-SA"/>
    </w:rPr>
  </w:style>
  <w:style w:type="character" w:customStyle="1" w:styleId="77">
    <w:name w:val="标题 5 Char"/>
    <w:basedOn w:val="57"/>
    <w:link w:val="6"/>
    <w:autoRedefine/>
    <w:qFormat/>
    <w:uiPriority w:val="0"/>
    <w:rPr>
      <w:rFonts w:ascii="Times New Roman" w:hAnsi="Times New Roman"/>
    </w:rPr>
  </w:style>
  <w:style w:type="character" w:customStyle="1" w:styleId="78">
    <w:name w:val="标题 6 Char"/>
    <w:basedOn w:val="57"/>
    <w:link w:val="7"/>
    <w:autoRedefine/>
    <w:qFormat/>
    <w:uiPriority w:val="0"/>
    <w:rPr>
      <w:rFonts w:ascii="Times New Roman" w:hAnsi="Times New Roman"/>
    </w:rPr>
  </w:style>
  <w:style w:type="character" w:customStyle="1" w:styleId="79">
    <w:name w:val="标题 7 Char"/>
    <w:link w:val="8"/>
    <w:autoRedefine/>
    <w:qFormat/>
    <w:uiPriority w:val="0"/>
    <w:rPr>
      <w:rFonts w:ascii="Calibri" w:hAnsi="Calibri" w:eastAsia="宋体"/>
      <w:b/>
      <w:bCs/>
      <w:kern w:val="2"/>
      <w:sz w:val="24"/>
      <w:szCs w:val="24"/>
      <w:lang w:val="en-US" w:eastAsia="zh-CN" w:bidi="ar-SA"/>
    </w:rPr>
  </w:style>
  <w:style w:type="character" w:customStyle="1" w:styleId="80">
    <w:name w:val="标题 8 Char"/>
    <w:basedOn w:val="57"/>
    <w:link w:val="9"/>
    <w:autoRedefine/>
    <w:qFormat/>
    <w:uiPriority w:val="0"/>
    <w:rPr>
      <w:rFonts w:ascii="Times New Roman" w:hAnsi="Times New Roman"/>
    </w:rPr>
  </w:style>
  <w:style w:type="character" w:customStyle="1" w:styleId="81">
    <w:name w:val="标题 9 Char"/>
    <w:basedOn w:val="57"/>
    <w:link w:val="10"/>
    <w:autoRedefine/>
    <w:qFormat/>
    <w:uiPriority w:val="0"/>
    <w:rPr>
      <w:rFonts w:ascii="Times New Roman" w:hAnsi="Times New Roman"/>
    </w:rPr>
  </w:style>
  <w:style w:type="character" w:customStyle="1" w:styleId="82">
    <w:name w:val="页眉 Char"/>
    <w:link w:val="35"/>
    <w:autoRedefine/>
    <w:qFormat/>
    <w:uiPriority w:val="0"/>
    <w:rPr>
      <w:sz w:val="18"/>
      <w:szCs w:val="18"/>
    </w:rPr>
  </w:style>
  <w:style w:type="character" w:styleId="83">
    <w:name w:val="Placeholder Text"/>
    <w:autoRedefine/>
    <w:semiHidden/>
    <w:qFormat/>
    <w:uiPriority w:val="99"/>
    <w:rPr>
      <w:color w:val="808080"/>
    </w:rPr>
  </w:style>
  <w:style w:type="character" w:customStyle="1" w:styleId="84">
    <w:name w:val="title"/>
    <w:basedOn w:val="57"/>
    <w:autoRedefine/>
    <w:qFormat/>
    <w:uiPriority w:val="0"/>
  </w:style>
  <w:style w:type="character" w:customStyle="1" w:styleId="85">
    <w:name w:val="正文首行缩进 2 Char"/>
    <w:basedOn w:val="86"/>
    <w:link w:val="52"/>
    <w:autoRedefine/>
    <w:qFormat/>
    <w:uiPriority w:val="0"/>
  </w:style>
  <w:style w:type="character" w:customStyle="1" w:styleId="86">
    <w:name w:val="正文文本缩进 Char"/>
    <w:basedOn w:val="57"/>
    <w:link w:val="24"/>
    <w:autoRedefine/>
    <w:semiHidden/>
    <w:qFormat/>
    <w:uiPriority w:val="99"/>
  </w:style>
  <w:style w:type="character" w:customStyle="1" w:styleId="87">
    <w:name w:val="批注文字 Char"/>
    <w:link w:val="19"/>
    <w:autoRedefine/>
    <w:semiHidden/>
    <w:qFormat/>
    <w:uiPriority w:val="0"/>
    <w:rPr>
      <w:kern w:val="2"/>
      <w:sz w:val="21"/>
      <w:szCs w:val="22"/>
    </w:rPr>
  </w:style>
  <w:style w:type="character" w:customStyle="1" w:styleId="88">
    <w:name w:val="正文文本 Char"/>
    <w:link w:val="23"/>
    <w:autoRedefine/>
    <w:qFormat/>
    <w:uiPriority w:val="99"/>
    <w:rPr>
      <w:rFonts w:ascii="宋体" w:hAnsi="宋体" w:eastAsia="宋体" w:cs="Times New Roman"/>
      <w:sz w:val="24"/>
      <w:szCs w:val="24"/>
    </w:rPr>
  </w:style>
  <w:style w:type="character" w:customStyle="1" w:styleId="89">
    <w:name w:val="页脚 Char"/>
    <w:link w:val="34"/>
    <w:autoRedefine/>
    <w:qFormat/>
    <w:uiPriority w:val="0"/>
    <w:rPr>
      <w:sz w:val="18"/>
      <w:szCs w:val="18"/>
    </w:rPr>
  </w:style>
  <w:style w:type="character" w:customStyle="1" w:styleId="90">
    <w:name w:val="批注框文本 Char"/>
    <w:link w:val="33"/>
    <w:autoRedefine/>
    <w:semiHidden/>
    <w:qFormat/>
    <w:uiPriority w:val="0"/>
    <w:rPr>
      <w:sz w:val="18"/>
      <w:szCs w:val="18"/>
    </w:rPr>
  </w:style>
  <w:style w:type="character" w:customStyle="1" w:styleId="91">
    <w:name w:val="纯文本 Char"/>
    <w:link w:val="28"/>
    <w:autoRedefine/>
    <w:qFormat/>
    <w:uiPriority w:val="0"/>
    <w:rPr>
      <w:rFonts w:ascii="宋体" w:hAnsi="Courier New" w:cs="Courier New"/>
      <w:kern w:val="2"/>
      <w:sz w:val="21"/>
      <w:szCs w:val="21"/>
    </w:rPr>
  </w:style>
  <w:style w:type="character" w:customStyle="1" w:styleId="92">
    <w:name w:val="标题3 Char"/>
    <w:link w:val="93"/>
    <w:autoRedefine/>
    <w:qFormat/>
    <w:uiPriority w:val="0"/>
    <w:rPr>
      <w:rFonts w:ascii="宋体" w:hAnsi="宋体"/>
      <w:color w:val="000000"/>
      <w:sz w:val="24"/>
    </w:rPr>
  </w:style>
  <w:style w:type="paragraph" w:customStyle="1" w:styleId="93">
    <w:name w:val="标题3"/>
    <w:basedOn w:val="4"/>
    <w:link w:val="92"/>
    <w:autoRedefine/>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autoRedefine/>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8"/>
    <w:autoRedefine/>
    <w:qFormat/>
    <w:uiPriority w:val="0"/>
    <w:rPr>
      <w:rFonts w:ascii="宋体"/>
      <w:kern w:val="2"/>
      <w:sz w:val="18"/>
      <w:szCs w:val="18"/>
    </w:rPr>
  </w:style>
  <w:style w:type="character" w:customStyle="1" w:styleId="96">
    <w:name w:val="批注主题 Char"/>
    <w:link w:val="50"/>
    <w:autoRedefine/>
    <w:semiHidden/>
    <w:qFormat/>
    <w:uiPriority w:val="0"/>
    <w:rPr>
      <w:b/>
      <w:bCs/>
      <w:kern w:val="2"/>
      <w:sz w:val="21"/>
      <w:szCs w:val="22"/>
    </w:rPr>
  </w:style>
  <w:style w:type="paragraph" w:customStyle="1" w:styleId="97">
    <w:name w:val="Report正文"/>
    <w:basedOn w:val="1"/>
    <w:autoRedefine/>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autoRedefine/>
    <w:qFormat/>
    <w:uiPriority w:val="34"/>
    <w:pPr>
      <w:ind w:firstLine="420" w:firstLineChars="200"/>
    </w:pPr>
  </w:style>
  <w:style w:type="paragraph" w:customStyle="1" w:styleId="99">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autoRedefine/>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autoRedefine/>
    <w:qFormat/>
    <w:uiPriority w:val="0"/>
    <w:pPr>
      <w:tabs>
        <w:tab w:val="left" w:pos="720"/>
      </w:tabs>
    </w:pPr>
    <w:rPr>
      <w:rFonts w:hAnsi="华文细黑" w:eastAsia="华文细黑" w:cs="Arial"/>
      <w:lang w:eastAsia="zh-CN"/>
    </w:rPr>
  </w:style>
  <w:style w:type="paragraph" w:customStyle="1" w:styleId="102">
    <w:name w:val="DTZ Heading 3"/>
    <w:basedOn w:val="1"/>
    <w:next w:val="1"/>
    <w:autoRedefine/>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5"/>
    <w:next w:val="1"/>
    <w:autoRedefine/>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autoRedefine/>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autoRedefine/>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autoRedefine/>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3"/>
    <w:autoRedefine/>
    <w:qFormat/>
    <w:uiPriority w:val="0"/>
    <w:pPr>
      <w:spacing w:after="120"/>
    </w:pPr>
    <w:rPr>
      <w:rFonts w:hAnsi="Times New Roman"/>
      <w:sz w:val="21"/>
    </w:rPr>
  </w:style>
  <w:style w:type="paragraph" w:customStyle="1" w:styleId="109">
    <w:name w:val="DTZ Heading 2"/>
    <w:basedOn w:val="106"/>
    <w:next w:val="1"/>
    <w:autoRedefine/>
    <w:qFormat/>
    <w:uiPriority w:val="0"/>
    <w:pPr>
      <w:numPr>
        <w:ilvl w:val="1"/>
      </w:numPr>
      <w:tabs>
        <w:tab w:val="left" w:pos="5963"/>
      </w:tabs>
      <w:spacing w:after="0" w:line="340" w:lineRule="exact"/>
    </w:pPr>
    <w:rPr>
      <w:sz w:val="28"/>
    </w:rPr>
  </w:style>
  <w:style w:type="paragraph" w:customStyle="1" w:styleId="110">
    <w:name w:val="保留正文"/>
    <w:basedOn w:val="23"/>
    <w:autoRedefine/>
    <w:qFormat/>
    <w:uiPriority w:val="0"/>
    <w:pPr>
      <w:keepNext/>
      <w:spacing w:after="160" w:line="240" w:lineRule="auto"/>
    </w:pPr>
    <w:rPr>
      <w:rFonts w:ascii="Times New Roman" w:hAnsi="Times New Roman"/>
      <w:sz w:val="21"/>
    </w:rPr>
  </w:style>
  <w:style w:type="paragraph" w:customStyle="1" w:styleId="111">
    <w:name w:val="小标题 2"/>
    <w:basedOn w:val="1"/>
    <w:autoRedefine/>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autoRedefine/>
    <w:qFormat/>
    <w:uiPriority w:val="0"/>
    <w:pPr>
      <w:tabs>
        <w:tab w:val="left" w:pos="720"/>
      </w:tabs>
      <w:spacing w:line="740" w:lineRule="exact"/>
    </w:pPr>
    <w:rPr>
      <w:sz w:val="28"/>
      <w:szCs w:val="24"/>
    </w:rPr>
  </w:style>
  <w:style w:type="character" w:customStyle="1" w:styleId="113">
    <w:name w:val="正文首行缩进 Char"/>
    <w:basedOn w:val="88"/>
    <w:link w:val="51"/>
    <w:autoRedefine/>
    <w:semiHidden/>
    <w:qFormat/>
    <w:uiPriority w:val="0"/>
    <w:rPr>
      <w:kern w:val="2"/>
      <w:sz w:val="21"/>
      <w:szCs w:val="22"/>
    </w:rPr>
  </w:style>
  <w:style w:type="paragraph" w:customStyle="1" w:styleId="114">
    <w:name w:val="_Style 2"/>
    <w:basedOn w:val="1"/>
    <w:autoRedefine/>
    <w:qFormat/>
    <w:uiPriority w:val="99"/>
    <w:pPr>
      <w:ind w:firstLine="420" w:firstLineChars="200"/>
    </w:pPr>
  </w:style>
  <w:style w:type="paragraph" w:customStyle="1" w:styleId="115">
    <w:name w:val="UserStyle_0"/>
    <w:basedOn w:val="1"/>
    <w:autoRedefine/>
    <w:qFormat/>
    <w:uiPriority w:val="0"/>
    <w:pPr>
      <w:spacing w:before="15"/>
      <w:ind w:left="120"/>
    </w:pPr>
    <w:rPr>
      <w:rFonts w:ascii="Arial Unicode MS" w:hAnsi="Arial Unicode MS" w:eastAsia="Arial Unicode MS"/>
      <w:sz w:val="32"/>
      <w:szCs w:val="32"/>
    </w:rPr>
  </w:style>
  <w:style w:type="character" w:customStyle="1" w:styleId="116">
    <w:name w:val="注释标题 Char"/>
    <w:basedOn w:val="57"/>
    <w:link w:val="12"/>
    <w:autoRedefine/>
    <w:semiHidden/>
    <w:qFormat/>
    <w:uiPriority w:val="0"/>
    <w:rPr>
      <w:rFonts w:ascii="Times New Roman" w:hAnsi="Times New Roman"/>
      <w:kern w:val="2"/>
      <w:sz w:val="21"/>
      <w:szCs w:val="24"/>
    </w:rPr>
  </w:style>
  <w:style w:type="character" w:customStyle="1" w:styleId="117">
    <w:name w:val="电子邮件签名 Char"/>
    <w:basedOn w:val="57"/>
    <w:link w:val="14"/>
    <w:autoRedefine/>
    <w:semiHidden/>
    <w:qFormat/>
    <w:uiPriority w:val="0"/>
    <w:rPr>
      <w:rFonts w:ascii="Times New Roman" w:hAnsi="Times New Roman"/>
      <w:kern w:val="2"/>
      <w:sz w:val="21"/>
      <w:szCs w:val="24"/>
    </w:rPr>
  </w:style>
  <w:style w:type="character" w:customStyle="1" w:styleId="118">
    <w:name w:val="称呼 Char"/>
    <w:basedOn w:val="57"/>
    <w:link w:val="20"/>
    <w:autoRedefine/>
    <w:semiHidden/>
    <w:qFormat/>
    <w:uiPriority w:val="0"/>
    <w:rPr>
      <w:rFonts w:ascii="Times New Roman" w:hAnsi="Times New Roman"/>
      <w:kern w:val="2"/>
      <w:sz w:val="21"/>
      <w:szCs w:val="24"/>
    </w:rPr>
  </w:style>
  <w:style w:type="character" w:customStyle="1" w:styleId="119">
    <w:name w:val="正文文本 3 Char"/>
    <w:basedOn w:val="57"/>
    <w:link w:val="21"/>
    <w:autoRedefine/>
    <w:semiHidden/>
    <w:qFormat/>
    <w:uiPriority w:val="0"/>
    <w:rPr>
      <w:rFonts w:ascii="Times New Roman" w:hAnsi="Times New Roman"/>
      <w:kern w:val="2"/>
      <w:sz w:val="16"/>
      <w:szCs w:val="16"/>
    </w:rPr>
  </w:style>
  <w:style w:type="character" w:customStyle="1" w:styleId="120">
    <w:name w:val="结束语 Char"/>
    <w:basedOn w:val="57"/>
    <w:link w:val="22"/>
    <w:autoRedefine/>
    <w:semiHidden/>
    <w:qFormat/>
    <w:uiPriority w:val="0"/>
    <w:rPr>
      <w:rFonts w:ascii="Times New Roman" w:hAnsi="Times New Roman"/>
      <w:kern w:val="2"/>
      <w:sz w:val="21"/>
      <w:szCs w:val="24"/>
    </w:rPr>
  </w:style>
  <w:style w:type="character" w:customStyle="1" w:styleId="121">
    <w:name w:val="HTML 地址 Char"/>
    <w:basedOn w:val="57"/>
    <w:link w:val="25"/>
    <w:autoRedefine/>
    <w:semiHidden/>
    <w:qFormat/>
    <w:uiPriority w:val="0"/>
    <w:rPr>
      <w:rFonts w:ascii="Times New Roman" w:hAnsi="Times New Roman"/>
      <w:i/>
      <w:iCs/>
      <w:kern w:val="2"/>
      <w:sz w:val="21"/>
      <w:szCs w:val="24"/>
    </w:rPr>
  </w:style>
  <w:style w:type="character" w:customStyle="1" w:styleId="122">
    <w:name w:val="日期 Char"/>
    <w:basedOn w:val="57"/>
    <w:link w:val="30"/>
    <w:autoRedefine/>
    <w:qFormat/>
    <w:uiPriority w:val="0"/>
    <w:rPr>
      <w:rFonts w:ascii="Times New Roman" w:hAnsi="Times New Roman"/>
      <w:kern w:val="2"/>
      <w:sz w:val="21"/>
    </w:rPr>
  </w:style>
  <w:style w:type="character" w:customStyle="1" w:styleId="123">
    <w:name w:val="正文文本缩进 2 Char"/>
    <w:basedOn w:val="57"/>
    <w:link w:val="31"/>
    <w:autoRedefine/>
    <w:semiHidden/>
    <w:qFormat/>
    <w:uiPriority w:val="0"/>
    <w:rPr>
      <w:rFonts w:ascii="Times New Roman" w:hAnsi="Times New Roman"/>
      <w:kern w:val="2"/>
      <w:sz w:val="21"/>
      <w:szCs w:val="24"/>
    </w:rPr>
  </w:style>
  <w:style w:type="character" w:customStyle="1" w:styleId="124">
    <w:name w:val="尾注文本 Char"/>
    <w:basedOn w:val="57"/>
    <w:link w:val="32"/>
    <w:autoRedefine/>
    <w:semiHidden/>
    <w:qFormat/>
    <w:uiPriority w:val="0"/>
    <w:rPr>
      <w:rFonts w:ascii="Times New Roman" w:hAnsi="Times New Roman"/>
      <w:kern w:val="2"/>
      <w:sz w:val="21"/>
      <w:szCs w:val="24"/>
    </w:rPr>
  </w:style>
  <w:style w:type="character" w:customStyle="1" w:styleId="125">
    <w:name w:val="签名 Char"/>
    <w:basedOn w:val="57"/>
    <w:link w:val="36"/>
    <w:autoRedefine/>
    <w:semiHidden/>
    <w:qFormat/>
    <w:uiPriority w:val="0"/>
    <w:rPr>
      <w:rFonts w:ascii="Times New Roman" w:hAnsi="Times New Roman"/>
      <w:kern w:val="2"/>
      <w:sz w:val="21"/>
      <w:szCs w:val="24"/>
    </w:rPr>
  </w:style>
  <w:style w:type="character" w:customStyle="1" w:styleId="126">
    <w:name w:val="脚注文本 Char"/>
    <w:basedOn w:val="57"/>
    <w:link w:val="41"/>
    <w:autoRedefine/>
    <w:semiHidden/>
    <w:qFormat/>
    <w:uiPriority w:val="0"/>
    <w:rPr>
      <w:rFonts w:ascii="Times New Roman" w:hAnsi="Times New Roman"/>
      <w:kern w:val="2"/>
      <w:sz w:val="18"/>
    </w:rPr>
  </w:style>
  <w:style w:type="character" w:customStyle="1" w:styleId="127">
    <w:name w:val="信息标题 Char"/>
    <w:basedOn w:val="57"/>
    <w:link w:val="45"/>
    <w:autoRedefine/>
    <w:semiHidden/>
    <w:qFormat/>
    <w:uiPriority w:val="0"/>
    <w:rPr>
      <w:rFonts w:ascii="Arial" w:hAnsi="Arial" w:cs="Arial"/>
      <w:kern w:val="2"/>
      <w:sz w:val="24"/>
      <w:szCs w:val="24"/>
      <w:shd w:val="pct20" w:color="auto" w:fill="auto"/>
    </w:rPr>
  </w:style>
  <w:style w:type="character" w:customStyle="1" w:styleId="128">
    <w:name w:val="HTML 预设格式 Char"/>
    <w:basedOn w:val="57"/>
    <w:link w:val="46"/>
    <w:autoRedefine/>
    <w:semiHidden/>
    <w:qFormat/>
    <w:uiPriority w:val="0"/>
    <w:rPr>
      <w:rFonts w:ascii="宋体" w:hAnsi="宋体" w:cs="宋体"/>
      <w:color w:val="000000"/>
      <w:sz w:val="24"/>
      <w:szCs w:val="24"/>
    </w:rPr>
  </w:style>
  <w:style w:type="character" w:customStyle="1" w:styleId="129">
    <w:name w:val="unnamed211"/>
    <w:autoRedefine/>
    <w:semiHidden/>
    <w:qFormat/>
    <w:uiPriority w:val="0"/>
    <w:rPr>
      <w:sz w:val="23"/>
      <w:szCs w:val="23"/>
    </w:rPr>
  </w:style>
  <w:style w:type="character" w:customStyle="1" w:styleId="130">
    <w:name w:val="ss1"/>
    <w:autoRedefine/>
    <w:semiHidden/>
    <w:qFormat/>
    <w:uiPriority w:val="0"/>
    <w:rPr>
      <w:rFonts w:hint="default" w:ascii="ˎ̥" w:hAnsi="ˎ̥"/>
      <w:color w:val="000000"/>
      <w:sz w:val="18"/>
      <w:szCs w:val="18"/>
      <w:u w:val="none"/>
    </w:rPr>
  </w:style>
  <w:style w:type="character" w:customStyle="1" w:styleId="131">
    <w:name w:val="f142"/>
    <w:autoRedefine/>
    <w:semiHidden/>
    <w:qFormat/>
    <w:uiPriority w:val="0"/>
    <w:rPr>
      <w:sz w:val="21"/>
      <w:szCs w:val="21"/>
    </w:rPr>
  </w:style>
  <w:style w:type="character" w:customStyle="1" w:styleId="132">
    <w:name w:val="f14b1"/>
    <w:autoRedefine/>
    <w:semiHidden/>
    <w:qFormat/>
    <w:uiPriority w:val="0"/>
    <w:rPr>
      <w:b/>
      <w:bCs/>
      <w:sz w:val="21"/>
      <w:szCs w:val="21"/>
    </w:rPr>
  </w:style>
  <w:style w:type="character" w:customStyle="1" w:styleId="133">
    <w:name w:val="ca-41"/>
    <w:autoRedefine/>
    <w:qFormat/>
    <w:uiPriority w:val="0"/>
    <w:rPr>
      <w:rFonts w:hint="eastAsia" w:ascii="黑体" w:eastAsia="黑体"/>
      <w:b/>
      <w:bCs/>
      <w:spacing w:val="-20"/>
      <w:sz w:val="30"/>
      <w:szCs w:val="30"/>
    </w:rPr>
  </w:style>
  <w:style w:type="character" w:customStyle="1" w:styleId="134">
    <w:name w:val="签名 Char1"/>
    <w:basedOn w:val="57"/>
    <w:autoRedefine/>
    <w:semiHidden/>
    <w:qFormat/>
    <w:uiPriority w:val="99"/>
    <w:rPr>
      <w:rFonts w:ascii="Times New Roman" w:hAnsi="Times New Roman" w:eastAsia="宋体" w:cs="Times New Roman"/>
      <w:szCs w:val="20"/>
    </w:rPr>
  </w:style>
  <w:style w:type="character" w:customStyle="1" w:styleId="135">
    <w:name w:val="正文文本缩进 2 Char1"/>
    <w:basedOn w:val="57"/>
    <w:autoRedefine/>
    <w:semiHidden/>
    <w:qFormat/>
    <w:uiPriority w:val="99"/>
    <w:rPr>
      <w:rFonts w:ascii="Times New Roman" w:hAnsi="Times New Roman" w:eastAsia="宋体" w:cs="Times New Roman"/>
      <w:szCs w:val="20"/>
    </w:rPr>
  </w:style>
  <w:style w:type="paragraph" w:customStyle="1" w:styleId="136">
    <w:name w:val="style93"/>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autoRedefine/>
    <w:qFormat/>
    <w:uiPriority w:val="0"/>
    <w:rPr>
      <w:rFonts w:ascii="宋体" w:hAnsi="Courier New" w:cs="Courier New"/>
      <w:kern w:val="2"/>
      <w:sz w:val="21"/>
      <w:szCs w:val="21"/>
    </w:rPr>
  </w:style>
  <w:style w:type="character" w:customStyle="1" w:styleId="138">
    <w:name w:val="Char Char23"/>
    <w:autoRedefine/>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autoRedefine/>
    <w:qFormat/>
    <w:uiPriority w:val="99"/>
    <w:rPr>
      <w:rFonts w:ascii="Arial" w:hAnsi="Arial"/>
      <w:vanish/>
      <w:sz w:val="16"/>
      <w:szCs w:val="16"/>
    </w:rPr>
  </w:style>
  <w:style w:type="paragraph" w:customStyle="1" w:styleId="141">
    <w:name w:val="z-窗体底端1"/>
    <w:basedOn w:val="1"/>
    <w:next w:val="1"/>
    <w:link w:val="142"/>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autoRedefine/>
    <w:qFormat/>
    <w:uiPriority w:val="99"/>
    <w:rPr>
      <w:rFonts w:ascii="Arial" w:hAnsi="Arial"/>
      <w:vanish/>
      <w:sz w:val="16"/>
      <w:szCs w:val="16"/>
    </w:rPr>
  </w:style>
  <w:style w:type="paragraph" w:customStyle="1" w:styleId="143">
    <w:name w:val="_Style 10"/>
    <w:autoRedefine/>
    <w:qFormat/>
    <w:uiPriority w:val="0"/>
    <w:rPr>
      <w:rFonts w:ascii="Calibri" w:hAnsi="Calibri" w:eastAsia="宋体" w:cs="Times New Roman"/>
      <w:kern w:val="2"/>
      <w:sz w:val="21"/>
      <w:szCs w:val="22"/>
      <w:lang w:val="en-US" w:eastAsia="zh-CN" w:bidi="ar-SA"/>
    </w:rPr>
  </w:style>
  <w:style w:type="paragraph" w:customStyle="1" w:styleId="144">
    <w:name w:val="列出段落1"/>
    <w:basedOn w:val="1"/>
    <w:autoRedefine/>
    <w:qFormat/>
    <w:uiPriority w:val="34"/>
    <w:pPr>
      <w:ind w:firstLine="420" w:firstLineChars="200"/>
    </w:pPr>
  </w:style>
  <w:style w:type="paragraph" w:customStyle="1" w:styleId="145">
    <w:name w:val="列出段落2"/>
    <w:basedOn w:val="146"/>
    <w:autoRedefine/>
    <w:qFormat/>
    <w:uiPriority w:val="34"/>
    <w:pPr>
      <w:ind w:firstLine="420" w:firstLineChars="200"/>
    </w:pPr>
  </w:style>
  <w:style w:type="paragraph" w:customStyle="1" w:styleId="146">
    <w:name w:val="正文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autoRedefine/>
    <w:qFormat/>
    <w:uiPriority w:val="0"/>
    <w:rPr>
      <w:rFonts w:ascii="FZXBSJW--GB1-0" w:hAnsi="FZXBSJW--GB1-0" w:eastAsia="FZXBSJW--GB1-0" w:cs="FZXBSJW--GB1-0"/>
      <w:color w:val="000000"/>
      <w:sz w:val="44"/>
      <w:szCs w:val="44"/>
    </w:rPr>
  </w:style>
  <w:style w:type="character" w:customStyle="1" w:styleId="150">
    <w:name w:val="fontstyle31"/>
    <w:basedOn w:val="57"/>
    <w:autoRedefine/>
    <w:qFormat/>
    <w:uiPriority w:val="0"/>
    <w:rPr>
      <w:rFonts w:ascii="仿宋_GB2312" w:hAnsi="仿宋_GB2312" w:eastAsia="仿宋_GB2312" w:cs="仿宋_GB2312"/>
      <w:color w:val="000000"/>
      <w:sz w:val="32"/>
      <w:szCs w:val="32"/>
    </w:rPr>
  </w:style>
  <w:style w:type="paragraph" w:customStyle="1" w:styleId="151">
    <w:name w:val="页脚2"/>
    <w:basedOn w:val="146"/>
    <w:autoRedefine/>
    <w:unhideWhenUsed/>
    <w:qFormat/>
    <w:uiPriority w:val="0"/>
    <w:pPr>
      <w:tabs>
        <w:tab w:val="center" w:pos="4153"/>
        <w:tab w:val="right" w:pos="8306"/>
      </w:tabs>
      <w:snapToGrid w:val="0"/>
      <w:jc w:val="left"/>
    </w:pPr>
    <w:rPr>
      <w:sz w:val="18"/>
      <w:szCs w:val="18"/>
    </w:rPr>
  </w:style>
  <w:style w:type="character" w:customStyle="1" w:styleId="152">
    <w:name w:val="纯文本 Char2"/>
    <w:autoRedefine/>
    <w:qFormat/>
    <w:uiPriority w:val="0"/>
    <w:rPr>
      <w:rFonts w:ascii="宋体" w:hAnsi="Courier New" w:eastAsia="宋体" w:cs="Courier New"/>
      <w:sz w:val="21"/>
      <w:szCs w:val="21"/>
    </w:rPr>
  </w:style>
  <w:style w:type="character" w:customStyle="1" w:styleId="153">
    <w:name w:val="fontstrikethrough"/>
    <w:basedOn w:val="57"/>
    <w:autoRedefine/>
    <w:qFormat/>
    <w:uiPriority w:val="0"/>
    <w:rPr>
      <w:strike/>
    </w:rPr>
  </w:style>
  <w:style w:type="character" w:customStyle="1" w:styleId="154">
    <w:name w:val="副标题 Char"/>
    <w:link w:val="39"/>
    <w:autoRedefine/>
    <w:qFormat/>
    <w:uiPriority w:val="11"/>
    <w:rPr>
      <w:rFonts w:ascii="Cambria" w:hAnsi="Cambria"/>
      <w:b/>
      <w:bCs/>
      <w:kern w:val="28"/>
      <w:sz w:val="32"/>
      <w:szCs w:val="32"/>
    </w:rPr>
  </w:style>
  <w:style w:type="character" w:customStyle="1" w:styleId="155">
    <w:name w:val="fontborder"/>
    <w:basedOn w:val="57"/>
    <w:autoRedefine/>
    <w:qFormat/>
    <w:uiPriority w:val="0"/>
    <w:rPr>
      <w:bdr w:val="single" w:color="000000" w:sz="6" w:space="0"/>
    </w:rPr>
  </w:style>
  <w:style w:type="character" w:customStyle="1" w:styleId="156">
    <w:name w:val="标题 Char1"/>
    <w:autoRedefine/>
    <w:qFormat/>
    <w:uiPriority w:val="10"/>
    <w:rPr>
      <w:rFonts w:ascii="Cambria" w:hAnsi="Cambria" w:cs="Times New Roman"/>
      <w:b/>
      <w:bCs/>
      <w:kern w:val="2"/>
      <w:sz w:val="32"/>
      <w:szCs w:val="32"/>
    </w:rPr>
  </w:style>
  <w:style w:type="character" w:customStyle="1" w:styleId="157">
    <w:name w:val="标题 Char"/>
    <w:link w:val="49"/>
    <w:autoRedefine/>
    <w:qFormat/>
    <w:uiPriority w:val="0"/>
    <w:rPr>
      <w:rFonts w:ascii="Cambria" w:hAnsi="Cambria"/>
      <w:b/>
      <w:bCs/>
      <w:kern w:val="2"/>
      <w:sz w:val="32"/>
      <w:szCs w:val="32"/>
    </w:rPr>
  </w:style>
  <w:style w:type="character" w:customStyle="1" w:styleId="158">
    <w:name w:val="标题 Char2"/>
    <w:basedOn w:val="57"/>
    <w:link w:val="49"/>
    <w:autoRedefine/>
    <w:qFormat/>
    <w:uiPriority w:val="10"/>
    <w:rPr>
      <w:rFonts w:asciiTheme="majorHAnsi" w:hAnsiTheme="majorHAnsi" w:cstheme="majorBidi"/>
      <w:b/>
      <w:bCs/>
      <w:kern w:val="2"/>
      <w:sz w:val="32"/>
      <w:szCs w:val="32"/>
    </w:rPr>
  </w:style>
  <w:style w:type="character" w:customStyle="1" w:styleId="159">
    <w:name w:val="副标题 Char1"/>
    <w:basedOn w:val="57"/>
    <w:link w:val="39"/>
    <w:autoRedefine/>
    <w:qFormat/>
    <w:uiPriority w:val="11"/>
    <w:rPr>
      <w:rFonts w:asciiTheme="majorHAnsi" w:hAnsiTheme="majorHAnsi" w:cstheme="majorBidi"/>
      <w:b/>
      <w:bCs/>
      <w:kern w:val="28"/>
      <w:sz w:val="32"/>
      <w:szCs w:val="32"/>
    </w:rPr>
  </w:style>
  <w:style w:type="paragraph" w:customStyle="1" w:styleId="160">
    <w:name w:val="Heading 2_1"/>
    <w:basedOn w:val="147"/>
    <w:next w:val="147"/>
    <w:autoRedefine/>
    <w:qFormat/>
    <w:uiPriority w:val="0"/>
    <w:pPr>
      <w:spacing w:before="360" w:after="120" w:line="360" w:lineRule="auto"/>
      <w:outlineLvl w:val="1"/>
    </w:pPr>
    <w:rPr>
      <w:rFonts w:ascii="Cambria" w:hAnsi="Cambria" w:eastAsia="黑体"/>
      <w:b/>
      <w:bCs/>
      <w:sz w:val="32"/>
      <w:szCs w:val="32"/>
    </w:rPr>
  </w:style>
  <w:style w:type="paragraph" w:customStyle="1" w:styleId="161">
    <w:name w:val="Normal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autoRedefine/>
    <w:qFormat/>
    <w:uiPriority w:val="0"/>
    <w:pPr>
      <w:widowControl/>
      <w:spacing w:line="300" w:lineRule="auto"/>
      <w:jc w:val="left"/>
    </w:pPr>
    <w:rPr>
      <w:kern w:val="0"/>
      <w:sz w:val="24"/>
      <w:szCs w:val="21"/>
      <w:lang w:eastAsia="en-US" w:bidi="en-US"/>
    </w:rPr>
  </w:style>
  <w:style w:type="paragraph" w:customStyle="1" w:styleId="163">
    <w:name w:val="Normal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autoRedefine/>
    <w:qFormat/>
    <w:uiPriority w:val="0"/>
    <w:rPr>
      <w:rFonts w:ascii="宋体" w:hAnsi="Courier New" w:cs="Courier New"/>
      <w:szCs w:val="21"/>
    </w:rPr>
  </w:style>
  <w:style w:type="character" w:customStyle="1" w:styleId="165">
    <w:name w:val="_Style 1"/>
    <w:autoRedefine/>
    <w:qFormat/>
    <w:uiPriority w:val="19"/>
    <w:rPr>
      <w:rFonts w:eastAsia="宋体"/>
      <w:iCs/>
      <w:color w:val="404040"/>
      <w:sz w:val="30"/>
    </w:rPr>
  </w:style>
  <w:style w:type="paragraph" w:customStyle="1" w:styleId="166">
    <w:name w:val="条款标题"/>
    <w:basedOn w:val="3"/>
    <w:autoRedefine/>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5"/>
    <w:autoRedefine/>
    <w:qFormat/>
    <w:uiPriority w:val="0"/>
    <w:pPr>
      <w:keepLines/>
      <w:numPr>
        <w:ilvl w:val="0"/>
        <w:numId w:val="0"/>
      </w:numPr>
      <w:tabs>
        <w:tab w:val="clear" w:pos="864"/>
      </w:tabs>
      <w:spacing w:before="280" w:after="290" w:line="376" w:lineRule="auto"/>
    </w:pPr>
    <w:rPr>
      <w:rFonts w:ascii="Arial" w:hAnsi="Arial" w:cs="Arial"/>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8578</Words>
  <Characters>8954</Characters>
  <Lines>137</Lines>
  <Paragraphs>38</Paragraphs>
  <TotalTime>3</TotalTime>
  <ScaleCrop>false</ScaleCrop>
  <LinksUpToDate>false</LinksUpToDate>
  <CharactersWithSpaces>9288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张琦</cp:lastModifiedBy>
  <cp:lastPrinted>2019-11-20T08:55:00Z</cp:lastPrinted>
  <dcterms:modified xsi:type="dcterms:W3CDTF">2025-02-14T01:29:49Z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F9F20EA68B4441E495A7C68824F2D15B_13</vt:lpwstr>
  </property>
  <property fmtid="{D5CDD505-2E9C-101B-9397-08002B2CF9AE}" pid="4" name="KSOTemplateDocerSaveRecord">
    <vt:lpwstr>eyJoZGlkIjoiZjYxZTUyYjc1MzQwNWRmNjlmMWQyYmQ2NmM1M2U4MmMiLCJ1c2VySWQiOiIyNjEzMjU1OTEifQ==</vt:lpwstr>
  </property>
</Properties>
</file>