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AD3A6">
      <w:pPr>
        <w:numPr>
          <w:ilvl w:val="0"/>
          <w:numId w:val="0"/>
        </w:numPr>
        <w:jc w:val="center"/>
        <w:outlineLvl w:val="0"/>
        <w:rPr>
          <w:rFonts w:hint="eastAsia" w:ascii="宋体" w:hAnsi="宋体" w:cs="宋体"/>
          <w:b/>
          <w:sz w:val="44"/>
          <w:szCs w:val="44"/>
        </w:rPr>
      </w:pPr>
      <w:r>
        <w:rPr>
          <w:rFonts w:hint="eastAsia" w:ascii="宋体" w:hAnsi="宋体" w:cs="宋体"/>
          <w:b/>
          <w:sz w:val="44"/>
          <w:szCs w:val="44"/>
          <w:lang w:val="en-US" w:eastAsia="zh-CN"/>
        </w:rPr>
        <w:t>任务需求书</w:t>
      </w:r>
    </w:p>
    <w:p w14:paraId="4B57DD33">
      <w:pPr>
        <w:pStyle w:val="7"/>
        <w:ind w:left="0" w:leftChars="0"/>
        <w:rPr>
          <w:rFonts w:hint="eastAsia" w:ascii="宋体" w:hAnsi="宋体" w:cs="宋体"/>
        </w:rPr>
      </w:pPr>
    </w:p>
    <w:p w14:paraId="769A74D4">
      <w:pPr>
        <w:shd w:val="clear" w:color="auto" w:fill="FFFFFF"/>
        <w:tabs>
          <w:tab w:val="left" w:pos="2908"/>
        </w:tabs>
        <w:spacing w:line="360" w:lineRule="auto"/>
        <w:jc w:val="left"/>
        <w:outlineLvl w:val="1"/>
        <w:rPr>
          <w:rFonts w:ascii="宋体" w:hAnsi="宋体" w:cs="宋体"/>
          <w:b/>
          <w:bCs/>
          <w:szCs w:val="21"/>
        </w:rPr>
      </w:pPr>
      <w:r>
        <w:rPr>
          <w:rFonts w:hint="eastAsia" w:ascii="宋体" w:hAnsi="宋体" w:cs="宋体"/>
          <w:b/>
          <w:bCs/>
          <w:szCs w:val="21"/>
        </w:rPr>
        <w:t>一、项目名称、地点、完成时间及承包方式</w:t>
      </w:r>
    </w:p>
    <w:p w14:paraId="22119DD1">
      <w:pPr>
        <w:numPr>
          <w:ilvl w:val="0"/>
          <w:numId w:val="1"/>
        </w:numPr>
        <w:spacing w:line="360" w:lineRule="auto"/>
        <w:rPr>
          <w:rFonts w:hint="eastAsia" w:ascii="宋体" w:hAnsi="宋体" w:cs="宋体"/>
          <w:szCs w:val="21"/>
        </w:rPr>
      </w:pPr>
      <w:r>
        <w:rPr>
          <w:rFonts w:hint="eastAsia" w:ascii="宋体" w:hAnsi="宋体" w:cs="宋体"/>
          <w:szCs w:val="21"/>
        </w:rPr>
        <w:t>项目实施地点</w:t>
      </w:r>
      <w:r>
        <w:rPr>
          <w:rFonts w:hint="eastAsia" w:ascii="宋体" w:hAnsi="宋体" w:cs="宋体"/>
          <w:szCs w:val="21"/>
          <w:lang w:eastAsia="zh-CN"/>
        </w:rPr>
        <w:t>：</w:t>
      </w:r>
      <w:r>
        <w:rPr>
          <w:rFonts w:hint="eastAsia" w:ascii="宋体" w:hAnsi="宋体" w:cs="宋体"/>
          <w:szCs w:val="21"/>
        </w:rPr>
        <w:t>深圳市龙岗区工业软件园或业主指定深圳市龙岗区内地点；</w:t>
      </w:r>
    </w:p>
    <w:p w14:paraId="39EB95B0">
      <w:pPr>
        <w:numPr>
          <w:ilvl w:val="0"/>
          <w:numId w:val="1"/>
        </w:numPr>
        <w:spacing w:line="360" w:lineRule="auto"/>
        <w:rPr>
          <w:rFonts w:hint="eastAsia" w:ascii="宋体" w:hAnsi="宋体" w:cs="宋体"/>
          <w:szCs w:val="21"/>
        </w:rPr>
      </w:pPr>
      <w:r>
        <w:rPr>
          <w:rFonts w:hint="eastAsia" w:ascii="宋体" w:hAnsi="宋体" w:cs="宋体"/>
          <w:szCs w:val="21"/>
        </w:rPr>
        <w:t>项目完成时间：合同确定后要求180个工</w:t>
      </w:r>
      <w:r>
        <w:rPr>
          <w:rFonts w:hint="eastAsia" w:ascii="宋体" w:hAnsi="宋体" w:cs="宋体"/>
          <w:szCs w:val="21"/>
          <w:lang w:eastAsia="zh-CN"/>
        </w:rPr>
        <w:t>作日</w:t>
      </w:r>
      <w:r>
        <w:rPr>
          <w:rFonts w:hint="eastAsia" w:ascii="宋体" w:hAnsi="宋体" w:cs="宋体"/>
          <w:szCs w:val="21"/>
        </w:rPr>
        <w:t>内完成系统细化设计、设备备货送货、软硬件现场安装调试任务，使之具备用户培训和试运行条件。</w:t>
      </w:r>
    </w:p>
    <w:p w14:paraId="6E079AA2">
      <w:pPr>
        <w:shd w:val="clear" w:color="auto" w:fill="FFFFFF"/>
        <w:tabs>
          <w:tab w:val="left" w:pos="2908"/>
        </w:tabs>
        <w:spacing w:line="360" w:lineRule="auto"/>
        <w:jc w:val="left"/>
        <w:rPr>
          <w:rFonts w:hint="eastAsia" w:ascii="宋体" w:hAnsi="宋体" w:cs="宋体"/>
          <w:b/>
          <w:bCs/>
          <w:szCs w:val="21"/>
        </w:rPr>
      </w:pPr>
    </w:p>
    <w:p w14:paraId="49FFBFAE">
      <w:pPr>
        <w:numPr>
          <w:ilvl w:val="0"/>
          <w:numId w:val="2"/>
        </w:numPr>
        <w:shd w:val="clear" w:color="auto" w:fill="FFFFFF"/>
        <w:tabs>
          <w:tab w:val="left" w:pos="2908"/>
        </w:tabs>
        <w:spacing w:line="360" w:lineRule="auto"/>
        <w:jc w:val="left"/>
        <w:outlineLvl w:val="1"/>
        <w:rPr>
          <w:rFonts w:hint="eastAsia" w:ascii="宋体" w:hAnsi="宋体" w:cs="宋体"/>
          <w:b/>
          <w:bCs/>
          <w:szCs w:val="21"/>
        </w:rPr>
      </w:pPr>
      <w:r>
        <w:rPr>
          <w:rFonts w:hint="eastAsia" w:ascii="宋体" w:hAnsi="宋体" w:cs="宋体"/>
          <w:b/>
          <w:bCs/>
          <w:szCs w:val="21"/>
        </w:rPr>
        <w:t>项目主要概况</w:t>
      </w:r>
    </w:p>
    <w:p w14:paraId="61778D2B">
      <w:pPr>
        <w:numPr>
          <w:ilvl w:val="0"/>
          <w:numId w:val="0"/>
        </w:numPr>
        <w:shd w:val="clear" w:color="auto" w:fill="FFFFFF"/>
        <w:tabs>
          <w:tab w:val="left" w:pos="2908"/>
        </w:tabs>
        <w:spacing w:line="360" w:lineRule="auto"/>
        <w:ind w:firstLine="420" w:firstLineChars="200"/>
        <w:jc w:val="left"/>
        <w:outlineLvl w:val="9"/>
        <w:rPr>
          <w:rFonts w:hint="eastAsia" w:ascii="宋体" w:hAnsi="宋体" w:cs="宋体"/>
          <w:szCs w:val="21"/>
        </w:rPr>
      </w:pPr>
      <w:r>
        <w:rPr>
          <w:rFonts w:hint="eastAsia" w:ascii="宋体" w:hAnsi="宋体" w:cs="宋体"/>
          <w:szCs w:val="21"/>
        </w:rPr>
        <w:t>为了保证新质生产力赋能平台的可靠性、先进性和足够的灵活性，构建硬件基础设施时，必须考虑其对高性能、可靠性、安全性和可扩展性的需求。硬件方案应支持云化服务和本地化部署的多种模式，采用双机备份、虚拟化等技术，确保系统的高可用性、低延迟、海量数据存储与处理能力。</w:t>
      </w:r>
    </w:p>
    <w:p w14:paraId="79D541F1">
      <w:pPr>
        <w:numPr>
          <w:ilvl w:val="0"/>
          <w:numId w:val="3"/>
        </w:numPr>
        <w:spacing w:line="360" w:lineRule="auto"/>
        <w:ind w:left="0" w:leftChars="0" w:firstLine="51" w:firstLineChars="24"/>
        <w:outlineLvl w:val="2"/>
        <w:rPr>
          <w:rFonts w:hint="eastAsia" w:ascii="宋体" w:hAnsi="宋体" w:eastAsia="宋体" w:cs="宋体"/>
          <w:sz w:val="21"/>
          <w:szCs w:val="21"/>
        </w:rPr>
      </w:pPr>
      <w:r>
        <w:rPr>
          <w:rFonts w:hint="eastAsia" w:ascii="宋体" w:hAnsi="宋体" w:eastAsia="宋体" w:cs="宋体"/>
          <w:b/>
          <w:bCs/>
          <w:sz w:val="21"/>
          <w:szCs w:val="21"/>
        </w:rPr>
        <w:t>细化设计</w:t>
      </w:r>
    </w:p>
    <w:p w14:paraId="73AE074F">
      <w:pPr>
        <w:numPr>
          <w:ilvl w:val="0"/>
          <w:numId w:val="0"/>
        </w:numPr>
        <w:spacing w:line="360" w:lineRule="auto"/>
        <w:ind w:leftChars="24"/>
        <w:outlineLvl w:val="9"/>
        <w:rPr>
          <w:rFonts w:hint="eastAsia" w:ascii="宋体" w:hAnsi="宋体" w:eastAsia="宋体" w:cs="宋体"/>
          <w:sz w:val="21"/>
          <w:szCs w:val="21"/>
        </w:rPr>
      </w:pPr>
      <w:r>
        <w:rPr>
          <w:rFonts w:hint="eastAsia" w:ascii="宋体" w:hAnsi="宋体" w:eastAsia="宋体" w:cs="宋体"/>
          <w:sz w:val="21"/>
          <w:szCs w:val="21"/>
        </w:rPr>
        <w:t>在系统设计细化阶段，需要将方案进行细化、补充完善、使之具备可实施性，必要时安排测试和验证。</w:t>
      </w:r>
    </w:p>
    <w:p w14:paraId="6332DB14">
      <w:pPr>
        <w:numPr>
          <w:ilvl w:val="0"/>
          <w:numId w:val="3"/>
        </w:numPr>
        <w:spacing w:line="360" w:lineRule="auto"/>
        <w:ind w:left="0" w:leftChars="0" w:firstLine="51" w:firstLineChars="24"/>
        <w:outlineLvl w:val="2"/>
        <w:rPr>
          <w:rFonts w:hint="eastAsia" w:ascii="宋体" w:hAnsi="宋体" w:eastAsia="宋体" w:cs="宋体"/>
          <w:b/>
          <w:bCs/>
          <w:sz w:val="21"/>
          <w:szCs w:val="21"/>
        </w:rPr>
      </w:pPr>
      <w:r>
        <w:rPr>
          <w:rFonts w:hint="eastAsia" w:ascii="宋体" w:hAnsi="宋体" w:eastAsia="宋体" w:cs="宋体"/>
          <w:b/>
          <w:bCs/>
          <w:sz w:val="21"/>
          <w:szCs w:val="21"/>
        </w:rPr>
        <w:t>设备到货与集成</w:t>
      </w:r>
    </w:p>
    <w:p w14:paraId="1E11B9CA">
      <w:pPr>
        <w:numPr>
          <w:ilvl w:val="0"/>
          <w:numId w:val="4"/>
        </w:numPr>
        <w:spacing w:line="360" w:lineRule="auto"/>
        <w:rPr>
          <w:rFonts w:hint="eastAsia" w:ascii="宋体" w:hAnsi="宋体" w:eastAsia="宋体" w:cs="宋体"/>
          <w:sz w:val="21"/>
          <w:szCs w:val="21"/>
        </w:rPr>
      </w:pPr>
      <w:r>
        <w:rPr>
          <w:rFonts w:hint="eastAsia" w:ascii="宋体" w:hAnsi="宋体" w:cs="宋体"/>
          <w:szCs w:val="21"/>
        </w:rPr>
        <w:t>要求所有交付货物应是原厂全新出厂的完善的产品、并配用相应的设备资料，产品质量合格证等。</w:t>
      </w:r>
    </w:p>
    <w:p w14:paraId="02C35C70">
      <w:pPr>
        <w:numPr>
          <w:ilvl w:val="0"/>
          <w:numId w:val="4"/>
        </w:numPr>
        <w:spacing w:line="360" w:lineRule="auto"/>
        <w:rPr>
          <w:rFonts w:hint="eastAsia" w:ascii="宋体" w:hAnsi="宋体" w:eastAsia="宋体" w:cs="宋体"/>
          <w:sz w:val="21"/>
          <w:szCs w:val="21"/>
        </w:rPr>
      </w:pPr>
      <w:r>
        <w:rPr>
          <w:rFonts w:hint="eastAsia" w:ascii="宋体" w:hAnsi="宋体" w:eastAsia="宋体" w:cs="宋体"/>
          <w:sz w:val="21"/>
          <w:szCs w:val="21"/>
        </w:rPr>
        <w:t>设备验收设备到货后，由项目组组织相关人员会同供应商代表进行现场验收。验收依据为采购合同、设备技术规格说明书及相关标准规范。验收内容包括但不限于设备外观检查（是否有损坏、变形、划痕等）、数量核对、配件完整性检查、设备技术参数核对等。验收合格后，填写设备到货验收报告，各方签字确认。</w:t>
      </w:r>
    </w:p>
    <w:p w14:paraId="43EC5DE2">
      <w:pPr>
        <w:numPr>
          <w:ilvl w:val="0"/>
          <w:numId w:val="4"/>
        </w:numPr>
        <w:spacing w:line="360" w:lineRule="auto"/>
        <w:rPr>
          <w:rFonts w:hint="eastAsia" w:ascii="宋体" w:hAnsi="宋体" w:eastAsia="宋体" w:cs="宋体"/>
          <w:sz w:val="21"/>
          <w:szCs w:val="21"/>
        </w:rPr>
      </w:pPr>
      <w:r>
        <w:rPr>
          <w:rFonts w:hint="eastAsia" w:ascii="宋体" w:hAnsi="宋体" w:eastAsia="宋体" w:cs="宋体"/>
          <w:sz w:val="21"/>
          <w:szCs w:val="21"/>
        </w:rPr>
        <w:t>项目进入现场安装阶段，需在用户方的统一安排和指挥下，严格遵守相关操作规范和制度，不影响其他项目施工，确保本项目顺利进行。</w:t>
      </w:r>
    </w:p>
    <w:p w14:paraId="6E992200">
      <w:pPr>
        <w:numPr>
          <w:ilvl w:val="0"/>
          <w:numId w:val="3"/>
        </w:numPr>
        <w:spacing w:line="360" w:lineRule="auto"/>
        <w:ind w:left="0" w:leftChars="0" w:firstLine="51" w:firstLineChars="24"/>
        <w:outlineLvl w:val="2"/>
        <w:rPr>
          <w:rFonts w:hint="eastAsia" w:ascii="宋体" w:hAnsi="宋体" w:eastAsia="宋体" w:cs="宋体"/>
          <w:b/>
          <w:bCs/>
          <w:sz w:val="21"/>
          <w:szCs w:val="21"/>
        </w:rPr>
      </w:pPr>
      <w:r>
        <w:rPr>
          <w:rFonts w:hint="eastAsia" w:ascii="宋体" w:hAnsi="宋体" w:eastAsia="宋体" w:cs="宋体"/>
          <w:b/>
          <w:bCs/>
          <w:sz w:val="21"/>
          <w:szCs w:val="21"/>
        </w:rPr>
        <w:t>联调、测试、试运行及验收</w:t>
      </w:r>
    </w:p>
    <w:p w14:paraId="5E55E02C">
      <w:pPr>
        <w:numPr>
          <w:ilvl w:val="0"/>
          <w:numId w:val="5"/>
        </w:numPr>
        <w:spacing w:line="360" w:lineRule="auto"/>
        <w:rPr>
          <w:rFonts w:hint="eastAsia" w:ascii="宋体" w:hAnsi="宋体" w:eastAsia="宋体" w:cs="宋体"/>
          <w:sz w:val="21"/>
          <w:szCs w:val="21"/>
        </w:rPr>
      </w:pPr>
      <w:r>
        <w:rPr>
          <w:rFonts w:hint="eastAsia" w:ascii="宋体" w:hAnsi="宋体" w:eastAsia="宋体" w:cs="宋体"/>
          <w:sz w:val="21"/>
          <w:szCs w:val="21"/>
        </w:rPr>
        <w:t>在系统联调、测试、验收阶段和质保期内，提供7*24小时电话支持，必要时提供现场技术服务。</w:t>
      </w:r>
    </w:p>
    <w:p w14:paraId="08BBAF7A">
      <w:pPr>
        <w:numPr>
          <w:ilvl w:val="0"/>
          <w:numId w:val="5"/>
        </w:numPr>
        <w:spacing w:line="360" w:lineRule="auto"/>
        <w:rPr>
          <w:rFonts w:hint="eastAsia" w:ascii="宋体" w:hAnsi="宋体" w:eastAsia="宋体" w:cs="宋体"/>
          <w:sz w:val="21"/>
          <w:szCs w:val="21"/>
        </w:rPr>
      </w:pPr>
      <w:r>
        <w:rPr>
          <w:rFonts w:hint="eastAsia" w:ascii="宋体" w:hAnsi="宋体" w:eastAsia="宋体" w:cs="宋体"/>
          <w:sz w:val="21"/>
          <w:szCs w:val="21"/>
        </w:rPr>
        <w:t>配合第三方单位测试、联调，实施相应的测试验收方案。并根据测试结果进行方案优化。同时针对试运行期间暴露的各类问题，安装用户需求对系统硬件进行必要的改进、完善和调换。确保系统具备正式上线的条件。</w:t>
      </w:r>
    </w:p>
    <w:p w14:paraId="2D5E744C">
      <w:pPr>
        <w:numPr>
          <w:ilvl w:val="0"/>
          <w:numId w:val="5"/>
        </w:numPr>
        <w:spacing w:line="360" w:lineRule="auto"/>
        <w:rPr>
          <w:rFonts w:hint="eastAsia" w:ascii="宋体" w:hAnsi="宋体" w:eastAsia="宋体" w:cs="宋体"/>
          <w:sz w:val="21"/>
          <w:szCs w:val="21"/>
        </w:rPr>
      </w:pPr>
      <w:r>
        <w:rPr>
          <w:rFonts w:hint="eastAsia" w:ascii="宋体" w:hAnsi="宋体" w:eastAsia="宋体" w:cs="宋体"/>
          <w:sz w:val="21"/>
          <w:szCs w:val="21"/>
        </w:rPr>
        <w:t>需对用户指定对象提供全方位的技术培训方案，包括必要的知识转移。</w:t>
      </w:r>
    </w:p>
    <w:p w14:paraId="45866489">
      <w:pPr>
        <w:numPr>
          <w:ilvl w:val="0"/>
          <w:numId w:val="5"/>
        </w:numPr>
        <w:spacing w:line="360" w:lineRule="auto"/>
        <w:rPr>
          <w:rFonts w:hint="eastAsia" w:ascii="宋体" w:hAnsi="宋体" w:eastAsia="宋体" w:cs="宋体"/>
          <w:sz w:val="21"/>
          <w:szCs w:val="21"/>
        </w:rPr>
      </w:pPr>
      <w:r>
        <w:rPr>
          <w:rFonts w:hint="eastAsia" w:ascii="宋体" w:hAnsi="宋体" w:eastAsia="宋体" w:cs="宋体"/>
          <w:sz w:val="21"/>
          <w:szCs w:val="21"/>
        </w:rPr>
        <w:t>在系统经过充分测试与优化后，组织项目验收工作。由项目组向用户提交系统验收申请报告。用户根据验收申请报告，组织验收小组对系统进行验收。验收小组通过现场检查、功能演示、文档审查等方式对系统进行全面评估，如系统满足验收标准与要求，验收小组签署《系统验收报告》，系统正式交付使用。</w:t>
      </w:r>
    </w:p>
    <w:p w14:paraId="203363F7">
      <w:pPr>
        <w:numPr>
          <w:ilvl w:val="0"/>
          <w:numId w:val="3"/>
        </w:numPr>
        <w:spacing w:line="360" w:lineRule="auto"/>
        <w:ind w:left="0" w:leftChars="0" w:firstLine="51" w:firstLineChars="24"/>
        <w:outlineLvl w:val="2"/>
        <w:rPr>
          <w:rFonts w:hint="eastAsia" w:ascii="宋体" w:hAnsi="宋体" w:eastAsia="宋体" w:cs="宋体"/>
          <w:b/>
          <w:bCs/>
          <w:sz w:val="21"/>
          <w:szCs w:val="21"/>
        </w:rPr>
      </w:pPr>
      <w:r>
        <w:rPr>
          <w:rFonts w:hint="eastAsia" w:ascii="宋体" w:hAnsi="宋体" w:eastAsia="宋体" w:cs="宋体"/>
          <w:b/>
          <w:bCs/>
          <w:sz w:val="21"/>
          <w:szCs w:val="21"/>
        </w:rPr>
        <w:t>售后服务要求</w:t>
      </w:r>
    </w:p>
    <w:p w14:paraId="29B7515C">
      <w:pPr>
        <w:numPr>
          <w:ilvl w:val="0"/>
          <w:numId w:val="6"/>
        </w:numPr>
        <w:spacing w:line="360" w:lineRule="auto"/>
        <w:rPr>
          <w:rFonts w:hint="eastAsia" w:ascii="宋体" w:hAnsi="宋体" w:eastAsia="宋体" w:cs="宋体"/>
          <w:sz w:val="21"/>
          <w:szCs w:val="21"/>
        </w:rPr>
      </w:pPr>
      <w:r>
        <w:rPr>
          <w:rFonts w:hint="eastAsia" w:ascii="宋体" w:hAnsi="宋体" w:eastAsia="宋体" w:cs="宋体"/>
          <w:sz w:val="21"/>
          <w:szCs w:val="21"/>
        </w:rPr>
        <w:t>质保期内提供7*24小时电话支持，设备故障维修工程师4小时内到达现场。</w:t>
      </w:r>
    </w:p>
    <w:p w14:paraId="488C7C53">
      <w:pPr>
        <w:numPr>
          <w:ilvl w:val="0"/>
          <w:numId w:val="6"/>
        </w:numPr>
        <w:spacing w:line="360" w:lineRule="auto"/>
        <w:rPr>
          <w:rFonts w:hint="eastAsia" w:ascii="宋体" w:hAnsi="宋体" w:eastAsia="宋体" w:cs="宋体"/>
          <w:sz w:val="21"/>
          <w:szCs w:val="21"/>
        </w:rPr>
      </w:pPr>
      <w:r>
        <w:rPr>
          <w:rFonts w:hint="eastAsia" w:ascii="宋体" w:hAnsi="宋体" w:eastAsia="宋体" w:cs="宋体"/>
          <w:sz w:val="21"/>
          <w:szCs w:val="21"/>
        </w:rPr>
        <w:t>质保内维修所更换配件须为原厂新品，不收取额外费用。</w:t>
      </w:r>
    </w:p>
    <w:p w14:paraId="1E7835C2">
      <w:pPr>
        <w:numPr>
          <w:ilvl w:val="0"/>
          <w:numId w:val="3"/>
        </w:numPr>
        <w:spacing w:line="360" w:lineRule="auto"/>
        <w:ind w:left="0" w:leftChars="0" w:firstLine="51" w:firstLineChars="24"/>
        <w:outlineLvl w:val="2"/>
        <w:rPr>
          <w:rFonts w:hint="eastAsia" w:ascii="宋体" w:hAnsi="宋体" w:eastAsia="宋体" w:cs="宋体"/>
          <w:b/>
          <w:bCs/>
          <w:sz w:val="21"/>
          <w:szCs w:val="21"/>
        </w:rPr>
      </w:pPr>
      <w:r>
        <w:rPr>
          <w:rFonts w:hint="eastAsia" w:ascii="宋体" w:hAnsi="宋体" w:eastAsia="宋体" w:cs="宋体"/>
          <w:b/>
          <w:bCs/>
          <w:sz w:val="21"/>
          <w:szCs w:val="21"/>
        </w:rPr>
        <w:t>项目技术要求</w:t>
      </w:r>
    </w:p>
    <w:p w14:paraId="2E32277A">
      <w:pPr>
        <w:numPr>
          <w:ilvl w:val="0"/>
          <w:numId w:val="7"/>
        </w:numPr>
        <w:spacing w:line="360" w:lineRule="auto"/>
        <w:rPr>
          <w:rFonts w:hint="eastAsia" w:ascii="宋体" w:hAnsi="宋体" w:eastAsia="宋体" w:cs="宋体"/>
          <w:sz w:val="21"/>
          <w:szCs w:val="21"/>
        </w:rPr>
      </w:pPr>
      <w:r>
        <w:rPr>
          <w:rFonts w:hint="eastAsia" w:ascii="宋体" w:hAnsi="宋体" w:eastAsia="宋体" w:cs="宋体"/>
          <w:sz w:val="21"/>
          <w:szCs w:val="21"/>
        </w:rPr>
        <w:t>系统架构和功能需求</w:t>
      </w:r>
    </w:p>
    <w:p w14:paraId="6D786796">
      <w:pPr>
        <w:numPr>
          <w:ilvl w:val="0"/>
          <w:numId w:val="7"/>
        </w:numPr>
        <w:spacing w:line="36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sz w:val="21"/>
          <w:szCs w:val="21"/>
        </w:rPr>
        <w:t>新质生产力赋能平台包括高性能算力、高速专线网络、防火墙、数据存储、操作系统、数据库等，这些是支撑整个系统运行的基础设施。</w:t>
      </w:r>
    </w:p>
    <w:p w14:paraId="1BA04893">
      <w:pPr>
        <w:numPr>
          <w:ilvl w:val="0"/>
          <w:numId w:val="8"/>
        </w:numPr>
        <w:spacing w:line="360" w:lineRule="auto"/>
        <w:ind w:left="0" w:leftChars="0" w:firstLine="0" w:firstLineChars="0"/>
        <w:outlineLvl w:val="3"/>
        <w:rPr>
          <w:rFonts w:hint="eastAsia" w:ascii="宋体" w:hAnsi="宋体" w:eastAsia="宋体" w:cs="宋体"/>
          <w:sz w:val="21"/>
          <w:szCs w:val="21"/>
        </w:rPr>
      </w:pPr>
      <w:r>
        <w:rPr>
          <w:rFonts w:hint="eastAsia" w:ascii="宋体" w:hAnsi="宋体" w:eastAsia="宋体" w:cs="宋体"/>
          <w:b/>
          <w:color w:val="000000" w:themeColor="text1"/>
          <w:sz w:val="21"/>
          <w:szCs w:val="21"/>
          <w14:textFill>
            <w14:solidFill>
              <w14:schemeClr w14:val="tx1"/>
            </w14:solidFill>
          </w14:textFill>
        </w:rPr>
        <w:t>性能需求</w:t>
      </w:r>
    </w:p>
    <w:p w14:paraId="67DE7545">
      <w:pPr>
        <w:numPr>
          <w:ilvl w:val="0"/>
          <w:numId w:val="0"/>
        </w:numPr>
        <w:spacing w:line="360" w:lineRule="auto"/>
        <w:ind w:leftChars="0" w:firstLine="420" w:firstLineChars="200"/>
        <w:rPr>
          <w:rFonts w:hint="eastAsia" w:ascii="宋体" w:hAnsi="宋体" w:eastAsia="宋体" w:cs="宋体"/>
          <w:sz w:val="21"/>
          <w:szCs w:val="21"/>
        </w:rPr>
      </w:pPr>
      <w:r>
        <w:rPr>
          <w:rFonts w:hint="eastAsia" w:ascii="宋体" w:hAnsi="宋体" w:eastAsia="宋体" w:cs="宋体"/>
          <w:sz w:val="21"/>
          <w:szCs w:val="21"/>
        </w:rPr>
        <w:t>系统硬件设备将在私有云平台进行本地化部署，以满足不同场景的应用需求。系统应建立在先进的信息化平台之上，功能强大、技术成熟，支持常用操作系统、数据库、应用服务器。系统</w:t>
      </w:r>
      <w:r>
        <w:rPr>
          <w:rFonts w:hint="eastAsia" w:ascii="宋体" w:hAnsi="宋体" w:cs="宋体"/>
          <w:sz w:val="21"/>
          <w:szCs w:val="21"/>
          <w:lang w:eastAsia="zh-CN"/>
        </w:rPr>
        <w:t>须具备</w:t>
      </w:r>
      <w:r>
        <w:rPr>
          <w:rFonts w:hint="eastAsia" w:ascii="宋体" w:hAnsi="宋体" w:eastAsia="宋体" w:cs="宋体"/>
          <w:sz w:val="21"/>
          <w:szCs w:val="21"/>
        </w:rPr>
        <w:t>安全性、可靠性和稳定性，能够灵活扩展、移植并保持高可用性和高响应速度，易于维护且开发部署灵活。</w:t>
      </w:r>
    </w:p>
    <w:p w14:paraId="6728C628">
      <w:pPr>
        <w:numPr>
          <w:ilvl w:val="0"/>
          <w:numId w:val="8"/>
        </w:numPr>
        <w:spacing w:line="360" w:lineRule="auto"/>
        <w:ind w:left="0" w:leftChars="0" w:firstLine="0" w:firstLineChars="0"/>
        <w:outlineLvl w:val="3"/>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系统可用性</w:t>
      </w:r>
    </w:p>
    <w:p w14:paraId="0333EBA5">
      <w:pPr>
        <w:spacing w:line="360" w:lineRule="auto"/>
        <w:rPr>
          <w:rFonts w:hint="eastAsia" w:ascii="宋体" w:hAnsi="宋体" w:eastAsia="宋体" w:cs="宋体"/>
          <w:sz w:val="21"/>
          <w:szCs w:val="21"/>
        </w:rPr>
      </w:pPr>
      <w:r>
        <w:rPr>
          <w:rFonts w:hint="eastAsia" w:ascii="宋体" w:hAnsi="宋体" w:eastAsia="宋体" w:cs="宋体"/>
          <w:sz w:val="21"/>
          <w:szCs w:val="21"/>
        </w:rPr>
        <w:t>（1）性能稳定，安全可靠：系统运行应稳定，保证业务操作的安全性和数据保密性。</w:t>
      </w:r>
      <w:r>
        <w:rPr>
          <w:rFonts w:hint="eastAsia" w:ascii="宋体" w:hAnsi="宋体" w:cs="宋体"/>
          <w:sz w:val="21"/>
          <w:szCs w:val="21"/>
          <w:lang w:eastAsia="zh-CN"/>
        </w:rPr>
        <w:t>须具备</w:t>
      </w:r>
      <w:r>
        <w:rPr>
          <w:rFonts w:hint="eastAsia" w:ascii="宋体" w:hAnsi="宋体" w:eastAsia="宋体" w:cs="宋体"/>
          <w:sz w:val="21"/>
          <w:szCs w:val="21"/>
        </w:rPr>
        <w:t>故障预警、检查和处理机制，防止数据因意外丢失或损坏，提供完善的备份和恢复功能。数据库系统需支持在线备份和故障恢复，确保在故障后迅速恢复业务，保持操作安全和数据机密性。</w:t>
      </w:r>
    </w:p>
    <w:p w14:paraId="37DAF778">
      <w:pPr>
        <w:spacing w:line="360" w:lineRule="auto"/>
        <w:rPr>
          <w:rFonts w:hint="eastAsia" w:ascii="宋体" w:hAnsi="宋体" w:eastAsia="宋体" w:cs="宋体"/>
          <w:sz w:val="21"/>
          <w:szCs w:val="21"/>
        </w:rPr>
      </w:pPr>
      <w:r>
        <w:rPr>
          <w:rFonts w:hint="eastAsia" w:ascii="宋体" w:hAnsi="宋体" w:eastAsia="宋体" w:cs="宋体"/>
          <w:sz w:val="21"/>
          <w:szCs w:val="21"/>
        </w:rPr>
        <w:t>（2）高可用性：确保7×24小时不间断运行，避免“单点故障”。系统可在每日特定时段内进行维护。</w:t>
      </w:r>
    </w:p>
    <w:p w14:paraId="7239110F">
      <w:pPr>
        <w:spacing w:line="360" w:lineRule="auto"/>
        <w:rPr>
          <w:rFonts w:hint="eastAsia" w:ascii="宋体" w:hAnsi="宋体" w:eastAsia="宋体" w:cs="宋体"/>
          <w:sz w:val="21"/>
          <w:szCs w:val="21"/>
        </w:rPr>
      </w:pPr>
      <w:r>
        <w:rPr>
          <w:rFonts w:hint="eastAsia" w:ascii="宋体" w:hAnsi="宋体" w:eastAsia="宋体" w:cs="宋体"/>
          <w:sz w:val="21"/>
          <w:szCs w:val="21"/>
        </w:rPr>
        <w:t>（3）系统访问及并发能力：支持不少于500家供应商同时在线访问，并满足每秒处理超过50次综合请求的要求。单一操作的平均响应时间小于3秒，报表统计小于5秒，综合查询分析小于8秒。</w:t>
      </w:r>
    </w:p>
    <w:p w14:paraId="191BA586">
      <w:pPr>
        <w:spacing w:line="360" w:lineRule="auto"/>
        <w:rPr>
          <w:rFonts w:hint="eastAsia" w:ascii="宋体" w:hAnsi="宋体" w:eastAsia="宋体" w:cs="宋体"/>
          <w:sz w:val="21"/>
          <w:szCs w:val="21"/>
        </w:rPr>
      </w:pPr>
      <w:r>
        <w:rPr>
          <w:rFonts w:hint="eastAsia" w:ascii="宋体" w:hAnsi="宋体" w:eastAsia="宋体" w:cs="宋体"/>
          <w:sz w:val="21"/>
          <w:szCs w:val="21"/>
        </w:rPr>
        <w:t>（4）传输并发：支持附件的稳定、高效传输，能够并发上传和下载多个附件。</w:t>
      </w:r>
    </w:p>
    <w:p w14:paraId="2DE77A7E">
      <w:pPr>
        <w:spacing w:line="360" w:lineRule="auto"/>
        <w:rPr>
          <w:rFonts w:hint="eastAsia" w:ascii="宋体" w:hAnsi="宋体" w:eastAsia="宋体" w:cs="宋体"/>
          <w:sz w:val="21"/>
          <w:szCs w:val="21"/>
        </w:rPr>
      </w:pPr>
      <w:r>
        <w:rPr>
          <w:rFonts w:hint="eastAsia" w:ascii="宋体" w:hAnsi="宋体" w:eastAsia="宋体" w:cs="宋体"/>
          <w:sz w:val="21"/>
          <w:szCs w:val="21"/>
        </w:rPr>
        <w:t>（5）海量数据处理：支持海量数据存储、实时访问，能够进行复杂的数据挖掘和分析计算。</w:t>
      </w:r>
    </w:p>
    <w:p w14:paraId="7EB949BB">
      <w:pPr>
        <w:numPr>
          <w:ilvl w:val="0"/>
          <w:numId w:val="8"/>
        </w:numPr>
        <w:spacing w:line="360" w:lineRule="auto"/>
        <w:ind w:left="0" w:leftChars="0" w:firstLine="0" w:firstLineChars="0"/>
        <w:outlineLvl w:val="3"/>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系统可靠性</w:t>
      </w:r>
    </w:p>
    <w:p w14:paraId="6CB430CF">
      <w:pPr>
        <w:spacing w:line="360" w:lineRule="auto"/>
        <w:rPr>
          <w:rFonts w:hint="eastAsia" w:ascii="宋体" w:hAnsi="宋体" w:eastAsia="宋体" w:cs="宋体"/>
          <w:sz w:val="21"/>
          <w:szCs w:val="21"/>
        </w:rPr>
      </w:pPr>
      <w:r>
        <w:rPr>
          <w:rFonts w:hint="eastAsia" w:ascii="宋体" w:hAnsi="宋体" w:eastAsia="宋体" w:cs="宋体"/>
          <w:sz w:val="21"/>
          <w:szCs w:val="21"/>
        </w:rPr>
        <w:t>（1）数据存取准确性：数据存取需确保准确，防止数据丢失。</w:t>
      </w:r>
    </w:p>
    <w:p w14:paraId="0F706825">
      <w:pPr>
        <w:spacing w:line="360" w:lineRule="auto"/>
        <w:rPr>
          <w:rFonts w:hint="eastAsia" w:ascii="宋体" w:hAnsi="宋体" w:eastAsia="宋体" w:cs="宋体"/>
          <w:sz w:val="21"/>
          <w:szCs w:val="21"/>
        </w:rPr>
      </w:pPr>
      <w:r>
        <w:rPr>
          <w:rFonts w:hint="eastAsia" w:ascii="宋体" w:hAnsi="宋体" w:eastAsia="宋体" w:cs="宋体"/>
          <w:sz w:val="21"/>
          <w:szCs w:val="21"/>
        </w:rPr>
        <w:t>（2）日志和调试报告：系统应生成日志报告和调试报告，监控系统状态，便于维护和检修。</w:t>
      </w:r>
    </w:p>
    <w:p w14:paraId="673A91C1">
      <w:pPr>
        <w:spacing w:line="360" w:lineRule="auto"/>
        <w:rPr>
          <w:rFonts w:hint="eastAsia" w:ascii="宋体" w:hAnsi="宋体" w:eastAsia="宋体" w:cs="宋体"/>
          <w:sz w:val="21"/>
          <w:szCs w:val="21"/>
        </w:rPr>
      </w:pPr>
      <w:r>
        <w:rPr>
          <w:rFonts w:hint="eastAsia" w:ascii="宋体" w:hAnsi="宋体" w:eastAsia="宋体" w:cs="宋体"/>
          <w:sz w:val="21"/>
          <w:szCs w:val="21"/>
        </w:rPr>
        <w:t>（3）冗余分布式结构：系统需采用冗余分布式软硬件架构，支持硬件及软件模块的热备份。</w:t>
      </w:r>
    </w:p>
    <w:p w14:paraId="05214BF0">
      <w:pPr>
        <w:spacing w:line="360" w:lineRule="auto"/>
        <w:rPr>
          <w:rFonts w:hint="eastAsia" w:ascii="宋体" w:hAnsi="宋体" w:eastAsia="宋体" w:cs="宋体"/>
          <w:sz w:val="21"/>
          <w:szCs w:val="21"/>
        </w:rPr>
      </w:pPr>
      <w:r>
        <w:rPr>
          <w:rFonts w:hint="eastAsia" w:ascii="宋体" w:hAnsi="宋体" w:eastAsia="宋体" w:cs="宋体"/>
          <w:sz w:val="21"/>
          <w:szCs w:val="21"/>
        </w:rPr>
        <w:t>（4）容错和灾备能力：系统</w:t>
      </w:r>
      <w:r>
        <w:rPr>
          <w:rFonts w:hint="eastAsia" w:ascii="宋体" w:hAnsi="宋体" w:cs="宋体"/>
          <w:sz w:val="21"/>
          <w:szCs w:val="21"/>
          <w:lang w:eastAsia="zh-CN"/>
        </w:rPr>
        <w:t>须具备</w:t>
      </w:r>
      <w:r>
        <w:rPr>
          <w:rFonts w:hint="eastAsia" w:ascii="宋体" w:hAnsi="宋体" w:eastAsia="宋体" w:cs="宋体"/>
          <w:sz w:val="21"/>
          <w:szCs w:val="21"/>
        </w:rPr>
        <w:t>强大的容错能力、错误恢复和预警机制，支持异地容灾能力。</w:t>
      </w:r>
    </w:p>
    <w:p w14:paraId="487A2C21">
      <w:pPr>
        <w:numPr>
          <w:ilvl w:val="0"/>
          <w:numId w:val="8"/>
        </w:numPr>
        <w:spacing w:line="360" w:lineRule="auto"/>
        <w:ind w:left="0" w:leftChars="0" w:firstLine="0" w:firstLineChars="0"/>
        <w:outlineLvl w:val="3"/>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系统可扩展性</w:t>
      </w:r>
    </w:p>
    <w:p w14:paraId="36972B96">
      <w:pPr>
        <w:spacing w:line="360" w:lineRule="auto"/>
        <w:rPr>
          <w:rFonts w:hint="eastAsia" w:ascii="宋体" w:hAnsi="宋体" w:eastAsia="宋体" w:cs="宋体"/>
          <w:sz w:val="21"/>
          <w:szCs w:val="21"/>
        </w:rPr>
      </w:pPr>
      <w:r>
        <w:rPr>
          <w:rFonts w:hint="eastAsia" w:ascii="宋体" w:hAnsi="宋体" w:eastAsia="宋体" w:cs="宋体"/>
          <w:sz w:val="21"/>
          <w:szCs w:val="21"/>
        </w:rPr>
        <w:t>（1）信息共享与对接灵活性：系统应支持与其他相关系统的对接和信息共享，提供标准化接口，适应未来发展需求。</w:t>
      </w:r>
    </w:p>
    <w:p w14:paraId="24B8A66B">
      <w:pPr>
        <w:spacing w:line="360" w:lineRule="auto"/>
        <w:rPr>
          <w:rFonts w:hint="eastAsia" w:ascii="宋体" w:hAnsi="宋体" w:eastAsia="宋体" w:cs="宋体"/>
          <w:sz w:val="21"/>
          <w:szCs w:val="21"/>
        </w:rPr>
      </w:pPr>
      <w:r>
        <w:rPr>
          <w:rFonts w:hint="eastAsia" w:ascii="宋体" w:hAnsi="宋体" w:eastAsia="宋体" w:cs="宋体"/>
          <w:sz w:val="21"/>
          <w:szCs w:val="21"/>
        </w:rPr>
        <w:t>（2）兼容性与故障处理：系统应具备良好的兼容性，能够识别非法输入数据、软件或硬件缺陷，并保持稳定运行。</w:t>
      </w:r>
    </w:p>
    <w:p w14:paraId="6F697F3B">
      <w:pPr>
        <w:spacing w:line="360" w:lineRule="auto"/>
        <w:rPr>
          <w:rFonts w:hint="eastAsia" w:ascii="宋体" w:hAnsi="宋体" w:eastAsia="宋体" w:cs="宋体"/>
          <w:sz w:val="21"/>
          <w:szCs w:val="21"/>
        </w:rPr>
      </w:pPr>
      <w:r>
        <w:rPr>
          <w:rFonts w:hint="eastAsia" w:ascii="宋体" w:hAnsi="宋体" w:eastAsia="宋体" w:cs="宋体"/>
          <w:sz w:val="21"/>
          <w:szCs w:val="21"/>
        </w:rPr>
        <w:t>（3）灵活扩展：系统设计需考虑未来的升级和扩展需求，保持体系结构灵活，适应不断变化的业务需求。</w:t>
      </w:r>
    </w:p>
    <w:p w14:paraId="1B2DED97">
      <w:pPr>
        <w:numPr>
          <w:ilvl w:val="0"/>
          <w:numId w:val="8"/>
        </w:numPr>
        <w:spacing w:line="360" w:lineRule="auto"/>
        <w:ind w:left="0" w:leftChars="0" w:firstLine="0" w:firstLineChars="0"/>
        <w:outlineLvl w:val="3"/>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系统友好性</w:t>
      </w:r>
    </w:p>
    <w:p w14:paraId="3FB53180">
      <w:pPr>
        <w:spacing w:line="360" w:lineRule="auto"/>
        <w:rPr>
          <w:rFonts w:hint="eastAsia" w:ascii="宋体" w:hAnsi="宋体" w:eastAsia="宋体" w:cs="宋体"/>
          <w:sz w:val="21"/>
          <w:szCs w:val="21"/>
        </w:rPr>
      </w:pPr>
      <w:r>
        <w:rPr>
          <w:rFonts w:hint="eastAsia" w:ascii="宋体" w:hAnsi="宋体" w:eastAsia="宋体" w:cs="宋体"/>
          <w:sz w:val="21"/>
          <w:szCs w:val="21"/>
        </w:rPr>
        <w:t>（1）统一界面：所有功能应在统一的管理门户或界面上操作，保持各业务系统风格一致，界面友好，操作简便。</w:t>
      </w:r>
    </w:p>
    <w:p w14:paraId="40E76B0D">
      <w:pPr>
        <w:spacing w:line="360" w:lineRule="auto"/>
        <w:rPr>
          <w:rFonts w:hint="eastAsia" w:ascii="宋体" w:hAnsi="宋体" w:eastAsia="宋体" w:cs="宋体"/>
          <w:sz w:val="21"/>
          <w:szCs w:val="21"/>
        </w:rPr>
      </w:pPr>
      <w:r>
        <w:rPr>
          <w:rFonts w:hint="eastAsia" w:ascii="宋体" w:hAnsi="宋体" w:eastAsia="宋体" w:cs="宋体"/>
          <w:sz w:val="21"/>
          <w:szCs w:val="21"/>
        </w:rPr>
        <w:t>（2）用户培训和支持：终端用户和管理员应通过简单培训或帮助文档即可熟练操作和维护系统。</w:t>
      </w:r>
    </w:p>
    <w:p w14:paraId="136E3C8D">
      <w:pPr>
        <w:spacing w:line="360" w:lineRule="auto"/>
        <w:rPr>
          <w:rFonts w:hint="eastAsia" w:ascii="宋体" w:hAnsi="宋体" w:eastAsia="宋体" w:cs="宋体"/>
          <w:sz w:val="21"/>
          <w:szCs w:val="21"/>
        </w:rPr>
      </w:pPr>
      <w:r>
        <w:rPr>
          <w:rFonts w:hint="eastAsia" w:ascii="宋体" w:hAnsi="宋体" w:eastAsia="宋体" w:cs="宋体"/>
          <w:sz w:val="21"/>
          <w:szCs w:val="21"/>
        </w:rPr>
        <w:t>（3）国际化支持：平台应支持多语言功能，至少提供中文和英文界面，用户可随时切换。</w:t>
      </w:r>
    </w:p>
    <w:p w14:paraId="6961A94F">
      <w:pPr>
        <w:numPr>
          <w:ilvl w:val="0"/>
          <w:numId w:val="8"/>
        </w:numPr>
        <w:spacing w:line="360" w:lineRule="auto"/>
        <w:ind w:left="0" w:leftChars="0" w:firstLine="0" w:firstLineChars="0"/>
        <w:outlineLvl w:val="3"/>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系统安全性</w:t>
      </w:r>
    </w:p>
    <w:p w14:paraId="49EEB2BC">
      <w:pPr>
        <w:spacing w:line="360" w:lineRule="auto"/>
        <w:rPr>
          <w:rFonts w:hint="eastAsia" w:ascii="宋体" w:hAnsi="宋体" w:eastAsia="宋体" w:cs="宋体"/>
          <w:sz w:val="21"/>
          <w:szCs w:val="21"/>
        </w:rPr>
      </w:pPr>
      <w:r>
        <w:rPr>
          <w:rFonts w:hint="eastAsia" w:ascii="宋体" w:hAnsi="宋体" w:eastAsia="宋体" w:cs="宋体"/>
          <w:sz w:val="21"/>
          <w:szCs w:val="21"/>
        </w:rPr>
        <w:t>（1）物理安全：系统需防止灾害或设备老化导致的中断，确保物理设备的稳定运行。</w:t>
      </w:r>
    </w:p>
    <w:p w14:paraId="35379FE0">
      <w:pPr>
        <w:spacing w:line="360" w:lineRule="auto"/>
        <w:rPr>
          <w:rFonts w:hint="eastAsia" w:ascii="宋体" w:hAnsi="宋体" w:eastAsia="宋体" w:cs="宋体"/>
          <w:sz w:val="21"/>
          <w:szCs w:val="21"/>
        </w:rPr>
      </w:pPr>
      <w:r>
        <w:rPr>
          <w:rFonts w:hint="eastAsia" w:ascii="宋体" w:hAnsi="宋体" w:eastAsia="宋体" w:cs="宋体"/>
          <w:sz w:val="21"/>
          <w:szCs w:val="21"/>
        </w:rPr>
        <w:t>（2）网络安全：需防范非法入侵，监控网络流量，防止已知威胁，确保网络稳定。</w:t>
      </w:r>
    </w:p>
    <w:p w14:paraId="4F119910">
      <w:pPr>
        <w:spacing w:line="360" w:lineRule="auto"/>
        <w:rPr>
          <w:rFonts w:hint="eastAsia" w:ascii="宋体" w:hAnsi="宋体" w:eastAsia="宋体" w:cs="宋体"/>
          <w:sz w:val="21"/>
          <w:szCs w:val="21"/>
        </w:rPr>
      </w:pPr>
      <w:r>
        <w:rPr>
          <w:rFonts w:hint="eastAsia" w:ascii="宋体" w:hAnsi="宋体" w:eastAsia="宋体" w:cs="宋体"/>
          <w:sz w:val="21"/>
          <w:szCs w:val="21"/>
        </w:rPr>
        <w:t>（3）信息传输安全：传输过程采用加密算法确保数据安全。</w:t>
      </w:r>
    </w:p>
    <w:p w14:paraId="54D4507E">
      <w:pPr>
        <w:spacing w:line="360" w:lineRule="auto"/>
        <w:rPr>
          <w:rFonts w:hint="eastAsia" w:ascii="宋体" w:hAnsi="宋体" w:eastAsia="宋体" w:cs="宋体"/>
          <w:sz w:val="21"/>
          <w:szCs w:val="21"/>
        </w:rPr>
      </w:pPr>
      <w:r>
        <w:rPr>
          <w:rFonts w:hint="eastAsia" w:ascii="宋体" w:hAnsi="宋体" w:eastAsia="宋体" w:cs="宋体"/>
          <w:sz w:val="21"/>
          <w:szCs w:val="21"/>
        </w:rPr>
        <w:t>（4）信息存储安全：根据国际容灾标准，支持远程异地备份，确保数据存储安全。</w:t>
      </w:r>
    </w:p>
    <w:p w14:paraId="013C79C2">
      <w:pPr>
        <w:spacing w:line="360" w:lineRule="auto"/>
        <w:rPr>
          <w:rFonts w:hint="eastAsia" w:ascii="宋体" w:hAnsi="宋体" w:eastAsia="宋体" w:cs="宋体"/>
          <w:sz w:val="21"/>
          <w:szCs w:val="21"/>
        </w:rPr>
      </w:pPr>
      <w:r>
        <w:rPr>
          <w:rFonts w:hint="eastAsia" w:ascii="宋体" w:hAnsi="宋体" w:eastAsia="宋体" w:cs="宋体"/>
          <w:sz w:val="21"/>
          <w:szCs w:val="21"/>
        </w:rPr>
        <w:t>（5）信息访问安全：实行访问控制，确保用户仅能访问授权数据资源，并进行安全审计。</w:t>
      </w:r>
    </w:p>
    <w:p w14:paraId="3819EFC3">
      <w:pPr>
        <w:spacing w:line="360" w:lineRule="auto"/>
        <w:rPr>
          <w:rFonts w:hint="eastAsia" w:ascii="宋体" w:hAnsi="宋体" w:eastAsia="宋体" w:cs="宋体"/>
          <w:sz w:val="21"/>
          <w:szCs w:val="21"/>
        </w:rPr>
      </w:pPr>
      <w:r>
        <w:rPr>
          <w:rFonts w:hint="eastAsia" w:ascii="宋体" w:hAnsi="宋体" w:eastAsia="宋体" w:cs="宋体"/>
          <w:sz w:val="21"/>
          <w:szCs w:val="21"/>
        </w:rPr>
        <w:t>（6）身份认证：提供有效的身份认证，确保用户身份的不可否认性，防止身份冒用。</w:t>
      </w:r>
    </w:p>
    <w:p w14:paraId="4B071AA8">
      <w:pPr>
        <w:spacing w:line="360" w:lineRule="auto"/>
        <w:rPr>
          <w:rFonts w:hint="eastAsia" w:ascii="宋体" w:hAnsi="宋体" w:eastAsia="宋体" w:cs="宋体"/>
          <w:sz w:val="21"/>
          <w:szCs w:val="21"/>
        </w:rPr>
      </w:pPr>
      <w:r>
        <w:rPr>
          <w:rFonts w:hint="eastAsia" w:ascii="宋体" w:hAnsi="宋体" w:eastAsia="宋体" w:cs="宋体"/>
          <w:sz w:val="21"/>
          <w:szCs w:val="21"/>
        </w:rPr>
        <w:t>（7）病毒防护系统需安装防病毒软件，并定期更新，培训用户防范病毒，保障系统安全。</w:t>
      </w:r>
    </w:p>
    <w:p w14:paraId="5BF3AD52">
      <w:pPr>
        <w:numPr>
          <w:ilvl w:val="0"/>
          <w:numId w:val="3"/>
        </w:numPr>
        <w:spacing w:line="360" w:lineRule="auto"/>
        <w:ind w:left="0" w:leftChars="0" w:firstLine="51" w:firstLineChars="24"/>
        <w:outlineLvl w:val="2"/>
        <w:rPr>
          <w:rFonts w:hint="eastAsia" w:ascii="宋体" w:hAnsi="宋体" w:eastAsia="宋体" w:cs="宋体"/>
          <w:b/>
          <w:bCs/>
          <w:sz w:val="21"/>
          <w:szCs w:val="21"/>
        </w:rPr>
      </w:pPr>
      <w:bookmarkStart w:id="0" w:name="_Toc181054402"/>
      <w:r>
        <w:rPr>
          <w:rFonts w:hint="eastAsia" w:ascii="宋体" w:hAnsi="宋体" w:eastAsia="宋体" w:cs="宋体"/>
          <w:b/>
          <w:bCs/>
          <w:sz w:val="21"/>
          <w:szCs w:val="21"/>
        </w:rPr>
        <w:t>安全需求</w:t>
      </w:r>
      <w:bookmarkEnd w:id="0"/>
    </w:p>
    <w:p w14:paraId="76BF1EE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在基础设施建设过程中，应建立健全的安全管理体系，确保网络不易受到外部攻击或干扰，保障网络的高效、稳定运行。通过严格划分系统登录权限，防止非法和越权访问，确保系统的正常可靠运作。系统</w:t>
      </w:r>
      <w:r>
        <w:rPr>
          <w:rFonts w:hint="eastAsia" w:ascii="宋体" w:hAnsi="宋体" w:cs="宋体"/>
          <w:sz w:val="21"/>
          <w:szCs w:val="21"/>
          <w:lang w:eastAsia="zh-CN"/>
        </w:rPr>
        <w:t>须具备</w:t>
      </w:r>
      <w:r>
        <w:rPr>
          <w:rFonts w:hint="eastAsia" w:ascii="宋体" w:hAnsi="宋体" w:eastAsia="宋体" w:cs="宋体"/>
          <w:sz w:val="21"/>
          <w:szCs w:val="21"/>
        </w:rPr>
        <w:t>严格的身份认证和访问控制措施，确保系统信息资源免受盗取或泄露。</w:t>
      </w:r>
    </w:p>
    <w:p w14:paraId="35198480">
      <w:pPr>
        <w:numPr>
          <w:ilvl w:val="0"/>
          <w:numId w:val="9"/>
        </w:numPr>
        <w:spacing w:line="360" w:lineRule="auto"/>
        <w:ind w:left="0" w:leftChars="0" w:firstLine="0" w:firstLineChars="0"/>
        <w:outlineLvl w:val="3"/>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物理安全需求</w:t>
      </w:r>
    </w:p>
    <w:p w14:paraId="0FB041B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应按照相关标准建立专用机房，用于存放关键设备。通过严格的机房管理和设备管理措施，确保数据中心及其信息系统的各类设备在物理层面的安全性。</w:t>
      </w:r>
    </w:p>
    <w:p w14:paraId="3D2B9F1B">
      <w:pPr>
        <w:numPr>
          <w:ilvl w:val="0"/>
          <w:numId w:val="9"/>
        </w:numPr>
        <w:spacing w:line="360" w:lineRule="auto"/>
        <w:ind w:left="0" w:leftChars="0" w:firstLine="0" w:firstLineChars="0"/>
        <w:outlineLvl w:val="3"/>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网络安全需求</w:t>
      </w:r>
    </w:p>
    <w:p w14:paraId="1D40180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系统应采用网络安全隔离措施，如划分网闸、防火墙、VLAN（虚拟局域网）、加密通信等，严格限制用户访问权限，防止网络链路中数据外泄，确保数据传输安全。</w:t>
      </w:r>
    </w:p>
    <w:p w14:paraId="7890C406">
      <w:pPr>
        <w:numPr>
          <w:ilvl w:val="0"/>
          <w:numId w:val="9"/>
        </w:numPr>
        <w:spacing w:line="360" w:lineRule="auto"/>
        <w:ind w:left="0" w:leftChars="0" w:firstLine="0" w:firstLineChars="0"/>
        <w:outlineLvl w:val="3"/>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系统安全需求</w:t>
      </w:r>
    </w:p>
    <w:p w14:paraId="548500AB">
      <w:pPr>
        <w:numPr>
          <w:ilvl w:val="0"/>
          <w:numId w:val="10"/>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需全面评估系统的安全风险，防止越权访问、非法控制、黑客攻击、病毒木马扩散、非法接入、违规外联和系统崩溃等现象。</w:t>
      </w:r>
    </w:p>
    <w:p w14:paraId="72709F75">
      <w:pPr>
        <w:numPr>
          <w:ilvl w:val="0"/>
          <w:numId w:val="10"/>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系统应具备完整的安全机制，包括账户安全、系统权限管理、对象安全和审计功能，并提供适合多层环境的安全模式。</w:t>
      </w:r>
    </w:p>
    <w:p w14:paraId="29DD74B9">
      <w:pPr>
        <w:numPr>
          <w:ilvl w:val="0"/>
          <w:numId w:val="10"/>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身份认证：通过基于公共密钥基础设施（PKI）的第三方电子证书系统进行用户身份认证，确保用户身份的不可抵赖性，防止身份冒用和非法活动。</w:t>
      </w:r>
    </w:p>
    <w:p w14:paraId="696F4057">
      <w:pPr>
        <w:numPr>
          <w:ilvl w:val="0"/>
          <w:numId w:val="10"/>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系统应具备访问控制、信息加密、安全审计和安全认证功能，支持通过用户、角色和权限管理来实施分级控制。</w:t>
      </w:r>
    </w:p>
    <w:p w14:paraId="5AB5851C">
      <w:pPr>
        <w:numPr>
          <w:ilvl w:val="0"/>
          <w:numId w:val="10"/>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防病毒措施：系统应安装防病毒软件，定期升级，教育并培训用户提升防病毒意识，防止病毒对系统造成破坏。</w:t>
      </w:r>
    </w:p>
    <w:p w14:paraId="14F0FA4D">
      <w:pPr>
        <w:numPr>
          <w:ilvl w:val="0"/>
          <w:numId w:val="10"/>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日志管理：系统需保存至少三个月的操作、接收和发送数据的日志记录，以备安全审计。</w:t>
      </w:r>
    </w:p>
    <w:p w14:paraId="30FA31B9">
      <w:pPr>
        <w:numPr>
          <w:ilvl w:val="0"/>
          <w:numId w:val="9"/>
        </w:numPr>
        <w:spacing w:line="360" w:lineRule="auto"/>
        <w:ind w:left="0" w:leftChars="0" w:firstLine="0" w:firstLineChars="0"/>
        <w:outlineLvl w:val="3"/>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数据安全需求</w:t>
      </w:r>
    </w:p>
    <w:p w14:paraId="1A4007C7">
      <w:pPr>
        <w:numPr>
          <w:ilvl w:val="0"/>
          <w:numId w:val="11"/>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权限划分：严格区分登录权限，防止未经授权的用户访问业务关键信息和数据库内容，杜绝信息泄露、病毒入侵、数据修改或销毁等风险。</w:t>
      </w:r>
    </w:p>
    <w:p w14:paraId="2F64F4B9">
      <w:pPr>
        <w:numPr>
          <w:ilvl w:val="0"/>
          <w:numId w:val="11"/>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不同用户应仅能访问其授权范围内的数据资源，强化数据资源访问的安全审计。</w:t>
      </w:r>
    </w:p>
    <w:p w14:paraId="0B72FC5D">
      <w:pPr>
        <w:numPr>
          <w:ilvl w:val="0"/>
          <w:numId w:val="11"/>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平台数据需进行加密传输，确保数据在传输过程中的安全性。</w:t>
      </w:r>
    </w:p>
    <w:p w14:paraId="78BA1423">
      <w:pPr>
        <w:numPr>
          <w:ilvl w:val="0"/>
          <w:numId w:val="9"/>
        </w:numPr>
        <w:spacing w:line="360" w:lineRule="auto"/>
        <w:ind w:left="0" w:leftChars="0" w:firstLine="0" w:firstLineChars="0"/>
        <w:outlineLvl w:val="3"/>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设施安全需求</w:t>
      </w:r>
    </w:p>
    <w:p w14:paraId="216C1957">
      <w:pPr>
        <w:numPr>
          <w:ilvl w:val="0"/>
          <w:numId w:val="0"/>
        </w:numPr>
        <w:spacing w:line="360" w:lineRule="auto"/>
        <w:ind w:leftChars="0" w:firstLine="420" w:firstLineChars="200"/>
        <w:rPr>
          <w:rFonts w:hint="eastAsia" w:ascii="宋体" w:hAnsi="宋体" w:eastAsia="宋体" w:cs="宋体"/>
          <w:sz w:val="21"/>
          <w:szCs w:val="21"/>
        </w:rPr>
      </w:pPr>
      <w:r>
        <w:rPr>
          <w:rFonts w:hint="eastAsia" w:ascii="宋体" w:hAnsi="宋体" w:eastAsia="宋体" w:cs="宋体"/>
          <w:sz w:val="21"/>
          <w:szCs w:val="21"/>
        </w:rPr>
        <w:t>建立健全的数据备份和链路备份机制，确保系统设施正常运行，预防因设备故障引发的安全问题，保障系统的连续性和可靠性。</w:t>
      </w:r>
    </w:p>
    <w:p w14:paraId="5A8198C5">
      <w:pPr>
        <w:numPr>
          <w:ilvl w:val="0"/>
          <w:numId w:val="3"/>
        </w:numPr>
        <w:spacing w:line="360" w:lineRule="auto"/>
        <w:ind w:left="0" w:leftChars="0" w:firstLine="51" w:firstLineChars="24"/>
        <w:outlineLvl w:val="2"/>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bCs/>
          <w:sz w:val="21"/>
          <w:szCs w:val="21"/>
        </w:rPr>
        <w:t>网络整体架构要求</w:t>
      </w:r>
    </w:p>
    <w:p w14:paraId="0C4885F1">
      <w:pPr>
        <w:spacing w:line="360" w:lineRule="auto"/>
        <w:jc w:val="center"/>
        <w:rPr>
          <w:rFonts w:hint="eastAsia" w:ascii="宋体" w:hAnsi="宋体" w:eastAsia="宋体" w:cs="宋体"/>
          <w:sz w:val="21"/>
          <w:szCs w:val="21"/>
        </w:rPr>
      </w:pPr>
      <w:r>
        <w:rPr>
          <w:rFonts w:hint="eastAsia" w:ascii="宋体" w:hAnsi="宋体" w:eastAsia="宋体" w:cs="宋体"/>
          <w:sz w:val="21"/>
          <w:szCs w:val="21"/>
        </w:rPr>
        <w:drawing>
          <wp:inline distT="0" distB="0" distL="0" distR="0">
            <wp:extent cx="5039360" cy="3016885"/>
            <wp:effectExtent l="0" t="0" r="0" b="12065"/>
            <wp:docPr id="20946533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53348" name="图片 1"/>
                    <pic:cNvPicPr>
                      <a:picLocks noChangeAspect="1" noChangeArrowheads="1"/>
                    </pic:cNvPicPr>
                  </pic:nvPicPr>
                  <pic:blipFill>
                    <a:blip r:embed="rId4"/>
                    <a:srcRect/>
                    <a:stretch>
                      <a:fillRect/>
                    </a:stretch>
                  </pic:blipFill>
                  <pic:spPr>
                    <a:xfrm>
                      <a:off x="0" y="0"/>
                      <a:ext cx="5039360" cy="3016885"/>
                    </a:xfrm>
                    <a:prstGeom prst="rect">
                      <a:avLst/>
                    </a:prstGeom>
                    <a:noFill/>
                  </pic:spPr>
                </pic:pic>
              </a:graphicData>
            </a:graphic>
          </wp:inline>
        </w:drawing>
      </w:r>
    </w:p>
    <w:p w14:paraId="1B107CD4">
      <w:pPr>
        <w:numPr>
          <w:ilvl w:val="0"/>
          <w:numId w:val="12"/>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本项目采用VMware的HCI超融合架构，由8台服务器组成，将计算、存储和网络资源整合在一个统一的平台中，以实现高可用性、可扩展性和高性能的虚拟化环境。</w:t>
      </w:r>
    </w:p>
    <w:p w14:paraId="176362B8">
      <w:pPr>
        <w:numPr>
          <w:ilvl w:val="0"/>
          <w:numId w:val="12"/>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集群主要硬件配置如下。</w:t>
      </w:r>
    </w:p>
    <w:p w14:paraId="596DB561">
      <w:p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计算节点：每台服务器的CPU为64C128T（64核128线程）。</w:t>
      </w:r>
    </w:p>
    <w:p w14:paraId="2F79DB66">
      <w:p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内存：每台服务器配备1TB RAM。</w:t>
      </w:r>
    </w:p>
    <w:p w14:paraId="76149A2D">
      <w:p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存储：每台服务器配备10个3.84T NVMe盘用于数据盘。</w:t>
      </w:r>
    </w:p>
    <w:p w14:paraId="3DA8562C">
      <w:p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网络：每台服务器配备2个10GE网口用于业务与管理，2个25GE网口用于VSAN。</w:t>
      </w:r>
    </w:p>
    <w:p w14:paraId="1EED0EDA">
      <w:pPr>
        <w:spacing w:line="360" w:lineRule="auto"/>
        <w:ind w:left="0" w:leftChars="0"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平台结构图如下</w:t>
      </w:r>
      <w:r>
        <w:rPr>
          <w:rFonts w:hint="eastAsia" w:ascii="宋体" w:hAnsi="宋体" w:cs="宋体"/>
          <w:sz w:val="21"/>
          <w:szCs w:val="21"/>
          <w:lang w:eastAsia="zh-CN"/>
        </w:rPr>
        <w:t>：</w:t>
      </w:r>
    </w:p>
    <w:p w14:paraId="02FD2EE9">
      <w:pPr>
        <w:keepNext/>
        <w:spacing w:line="360" w:lineRule="auto"/>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5018405" cy="2882265"/>
            <wp:effectExtent l="0" t="0" r="10795" b="13335"/>
            <wp:docPr id="2" name="图片 2" descr="4f9c1dfaa67eaa9e5ee741a04c7e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f9c1dfaa67eaa9e5ee741a04c7e618"/>
                    <pic:cNvPicPr>
                      <a:picLocks noChangeAspect="1"/>
                    </pic:cNvPicPr>
                  </pic:nvPicPr>
                  <pic:blipFill>
                    <a:blip r:embed="rId5"/>
                    <a:stretch>
                      <a:fillRect/>
                    </a:stretch>
                  </pic:blipFill>
                  <pic:spPr>
                    <a:xfrm>
                      <a:off x="0" y="0"/>
                      <a:ext cx="5018405" cy="2882265"/>
                    </a:xfrm>
                    <a:prstGeom prst="rect">
                      <a:avLst/>
                    </a:prstGeom>
                  </pic:spPr>
                </pic:pic>
              </a:graphicData>
            </a:graphic>
          </wp:inline>
        </w:drawing>
      </w:r>
    </w:p>
    <w:p w14:paraId="0BE37776">
      <w:pPr>
        <w:pStyle w:val="8"/>
        <w:spacing w:line="360" w:lineRule="auto"/>
        <w:rPr>
          <w:rFonts w:hint="eastAsia" w:ascii="宋体" w:hAnsi="宋体" w:eastAsia="宋体" w:cs="宋体"/>
          <w:sz w:val="21"/>
          <w:szCs w:val="21"/>
        </w:rPr>
      </w:pPr>
      <w:r>
        <w:rPr>
          <w:rFonts w:hint="eastAsia" w:ascii="宋体" w:hAnsi="宋体" w:eastAsia="宋体" w:cs="宋体"/>
          <w:kern w:val="0"/>
          <w:sz w:val="21"/>
          <w:szCs w:val="21"/>
        </w:rPr>
        <w:t xml:space="preserve">图 </w:t>
      </w: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STYLEREF 2 \s </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4.6</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noBreakHyphen/>
      </w: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SEQ 图 \* ARABIC \s 2 </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2</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 xml:space="preserve"> 超融合集群架构</w:t>
      </w:r>
    </w:p>
    <w:p w14:paraId="75BFD825">
      <w:pPr>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rPr>
        <w:t>逻辑网络架构图如下</w:t>
      </w:r>
      <w:r>
        <w:rPr>
          <w:rFonts w:hint="eastAsia" w:ascii="宋体" w:hAnsi="宋体" w:cs="宋体"/>
          <w:sz w:val="21"/>
          <w:szCs w:val="21"/>
          <w:lang w:eastAsia="zh-CN"/>
        </w:rPr>
        <w:t>：</w:t>
      </w:r>
    </w:p>
    <w:p w14:paraId="667BCFB0">
      <w:pPr>
        <w:keepNext/>
        <w:spacing w:line="360" w:lineRule="auto"/>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5255260" cy="2203450"/>
            <wp:effectExtent l="0" t="0" r="2540" b="6350"/>
            <wp:docPr id="3" name="图片 3" descr="50e47cf81dc57fb2f591340af95dc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0e47cf81dc57fb2f591340af95dcff"/>
                    <pic:cNvPicPr>
                      <a:picLocks noChangeAspect="1"/>
                    </pic:cNvPicPr>
                  </pic:nvPicPr>
                  <pic:blipFill>
                    <a:blip r:embed="rId6"/>
                    <a:stretch>
                      <a:fillRect/>
                    </a:stretch>
                  </pic:blipFill>
                  <pic:spPr>
                    <a:xfrm>
                      <a:off x="0" y="0"/>
                      <a:ext cx="5255260" cy="2203450"/>
                    </a:xfrm>
                    <a:prstGeom prst="rect">
                      <a:avLst/>
                    </a:prstGeom>
                  </pic:spPr>
                </pic:pic>
              </a:graphicData>
            </a:graphic>
          </wp:inline>
        </w:drawing>
      </w:r>
    </w:p>
    <w:p w14:paraId="23561D9D">
      <w:pPr>
        <w:pStyle w:val="8"/>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 xml:space="preserve">图 </w:t>
      </w: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STYLEREF 2 \s </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4.6</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noBreakHyphen/>
      </w: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SEQ 图 \* ARABIC \s 2 </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3</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 xml:space="preserve"> 服务器虚拟化网络结构</w:t>
      </w:r>
    </w:p>
    <w:p w14:paraId="58C0078E">
      <w:pPr>
        <w:spacing w:line="360" w:lineRule="auto"/>
        <w:rPr>
          <w:rFonts w:hint="eastAsia" w:ascii="宋体" w:hAnsi="宋体" w:eastAsia="宋体" w:cs="宋体"/>
          <w:sz w:val="21"/>
          <w:szCs w:val="21"/>
        </w:rPr>
      </w:pPr>
    </w:p>
    <w:p w14:paraId="045F8B59">
      <w:pPr>
        <w:numPr>
          <w:ilvl w:val="0"/>
          <w:numId w:val="12"/>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（本架构采用分布式架构，将计算和存储资源分布在8台服务器上，通过VMware的管理软件实现资源的统一管理和调配。这种架构模式具有高可用性、可扩展性和灵活性等优点。</w:t>
      </w:r>
    </w:p>
    <w:p w14:paraId="1FA183E4">
      <w:pPr>
        <w:numPr>
          <w:ilvl w:val="0"/>
          <w:numId w:val="12"/>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容量规划</w:t>
      </w:r>
    </w:p>
    <w:p w14:paraId="69077B49">
      <w:pPr>
        <w:numPr>
          <w:ilvl w:val="0"/>
          <w:numId w:val="13"/>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计算资源：虚拟机负载需要984 vcpu，每台服务器提供128个线程，则8台服务器总共可提供的线程数为：8×128 = 1024个线程。预计使用百分比为：984÷1024×100%≈96%</w:t>
      </w:r>
      <w:r>
        <w:rPr>
          <w:rFonts w:hint="eastAsia" w:ascii="宋体" w:hAnsi="宋体" w:cs="宋体"/>
          <w:sz w:val="21"/>
          <w:szCs w:val="21"/>
          <w:lang w:eastAsia="zh-CN"/>
        </w:rPr>
        <w:t>。</w:t>
      </w:r>
    </w:p>
    <w:p w14:paraId="5536C972">
      <w:pPr>
        <w:numPr>
          <w:ilvl w:val="0"/>
          <w:numId w:val="13"/>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内存资源：虚拟机负载需要13904G RAM，每台服务器配备1TB（1024G）RAM，则8台服务器总共可提供的内存为：8×1024 = 8192G。预计使用百分比为：13904÷8192×100%≈170%</w:t>
      </w:r>
    </w:p>
    <w:p w14:paraId="6EB8E59E">
      <w:pPr>
        <w:numPr>
          <w:ilvl w:val="0"/>
          <w:numId w:val="13"/>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存储资源：虚拟机磁盘需求为15740G + 126400G = 142140G。每台服务器配备10个3.84T（3840G）NVMe盘，则8台服务器总共可提供的存储容量为：8×10×3840 = 307200G。预计使用百分比为：142140÷307200×100%≈46%</w:t>
      </w:r>
    </w:p>
    <w:p w14:paraId="37D1059E">
      <w:pPr>
        <w:numPr>
          <w:ilvl w:val="0"/>
          <w:numId w:val="12"/>
        </w:num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综上所述，基于8台服务器的VMware HCI超融合架构在计算资源方面预计使用约96%，内存资源方面预计使用约170%，存储资源方面预计使用约46%。该架构能够满足当前虚拟机负载的需求，可支持未来业务的扩展。同时，该架构模式具有高可用性、可扩展性和灵活性等优点，能够为本项目提供可靠的虚拟化平台。</w:t>
      </w:r>
    </w:p>
    <w:p w14:paraId="2F947DA6">
      <w:pPr>
        <w:numPr>
          <w:ilvl w:val="0"/>
          <w:numId w:val="12"/>
        </w:numPr>
        <w:spacing w:line="360" w:lineRule="auto"/>
        <w:ind w:left="0" w:leftChars="0" w:firstLine="0" w:firstLineChars="0"/>
        <w:rPr>
          <w:rFonts w:hint="eastAsia" w:ascii="宋体" w:hAnsi="宋体" w:cs="宋体"/>
          <w:szCs w:val="21"/>
        </w:rPr>
      </w:pPr>
      <w:r>
        <w:rPr>
          <w:rFonts w:hint="eastAsia" w:ascii="宋体" w:hAnsi="宋体" w:eastAsia="宋体" w:cs="宋体"/>
          <w:sz w:val="21"/>
          <w:szCs w:val="21"/>
        </w:rPr>
        <w:t>根据软件的供应情况和用户的发展情况，本项目IT基础资源拟分两批部署。第一批部署8台计算服务器和1台存储服务器及其他配套的软件，以快速满足软件的安装部署及应用联调，使平台尽快满足用户的使用需求。等IT基础计算资源峰值使用率超60%或者软件安装需求的计算资源不够时启动剩下批次的IT基础资源安装部署，采用扩容的方式形成更大的资源池。</w:t>
      </w:r>
    </w:p>
    <w:p w14:paraId="4983060D">
      <w:pPr>
        <w:shd w:val="clear" w:color="auto" w:fill="FFFFFF"/>
        <w:tabs>
          <w:tab w:val="left" w:pos="2908"/>
        </w:tabs>
        <w:spacing w:line="360" w:lineRule="auto"/>
        <w:jc w:val="left"/>
        <w:outlineLvl w:val="1"/>
        <w:rPr>
          <w:rFonts w:ascii="宋体" w:hAnsi="宋体" w:cs="宋体"/>
          <w:b/>
          <w:bCs/>
          <w:szCs w:val="21"/>
        </w:rPr>
      </w:pPr>
      <w:r>
        <w:rPr>
          <w:rFonts w:hint="eastAsia" w:ascii="宋体" w:hAnsi="宋体" w:cs="宋体"/>
          <w:b/>
          <w:bCs/>
          <w:szCs w:val="21"/>
        </w:rPr>
        <w:t>三、主要设备清单</w:t>
      </w:r>
    </w:p>
    <w:tbl>
      <w:tblPr>
        <w:tblStyle w:val="9"/>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4335"/>
        <w:gridCol w:w="1568"/>
        <w:gridCol w:w="1806"/>
      </w:tblGrid>
      <w:tr w14:paraId="6110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426" w:type="pct"/>
            <w:noWrap w:val="0"/>
            <w:vAlign w:val="center"/>
          </w:tcPr>
          <w:p w14:paraId="58255004">
            <w:pPr>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572" w:type="pct"/>
            <w:noWrap w:val="0"/>
            <w:vAlign w:val="center"/>
          </w:tcPr>
          <w:p w14:paraId="21E0ADF9">
            <w:pPr>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设备类型</w:t>
            </w:r>
          </w:p>
        </w:tc>
        <w:tc>
          <w:tcPr>
            <w:tcW w:w="930" w:type="pct"/>
            <w:noWrap/>
            <w:vAlign w:val="center"/>
          </w:tcPr>
          <w:p w14:paraId="4F82A751">
            <w:pPr>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数量（单位）</w:t>
            </w:r>
          </w:p>
        </w:tc>
        <w:tc>
          <w:tcPr>
            <w:tcW w:w="1071" w:type="pct"/>
            <w:noWrap/>
            <w:vAlign w:val="center"/>
          </w:tcPr>
          <w:p w14:paraId="0921612F">
            <w:pPr>
              <w:spacing w:line="360" w:lineRule="auto"/>
              <w:jc w:val="center"/>
              <w:rPr>
                <w:rFonts w:hint="eastAsia" w:ascii="宋体" w:hAnsi="宋体" w:eastAsia="宋体" w:cs="宋体"/>
                <w:b/>
                <w:kern w:val="0"/>
                <w:sz w:val="21"/>
                <w:szCs w:val="21"/>
              </w:rPr>
            </w:pPr>
            <w:r>
              <w:rPr>
                <w:rFonts w:hint="eastAsia" w:ascii="宋体" w:hAnsi="宋体" w:eastAsia="宋体" w:cs="宋体"/>
                <w:b/>
                <w:bCs/>
                <w:i w:val="0"/>
                <w:iCs w:val="0"/>
                <w:color w:val="000000"/>
                <w:kern w:val="0"/>
                <w:sz w:val="21"/>
                <w:szCs w:val="21"/>
                <w:u w:val="none"/>
                <w:lang w:val="en-US" w:eastAsia="zh-CN" w:bidi="ar"/>
              </w:rPr>
              <w:t>单价上限（元）</w:t>
            </w:r>
          </w:p>
        </w:tc>
      </w:tr>
      <w:tr w14:paraId="7C8B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2DE03071">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572" w:type="pct"/>
            <w:noWrap/>
            <w:vAlign w:val="center"/>
          </w:tcPr>
          <w:p w14:paraId="40C3437C">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服务器</w:t>
            </w:r>
          </w:p>
        </w:tc>
        <w:tc>
          <w:tcPr>
            <w:tcW w:w="930" w:type="pct"/>
            <w:noWrap/>
            <w:vAlign w:val="center"/>
          </w:tcPr>
          <w:p w14:paraId="26D934B6">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（台）</w:t>
            </w:r>
          </w:p>
        </w:tc>
        <w:tc>
          <w:tcPr>
            <w:tcW w:w="1071" w:type="pct"/>
            <w:noWrap/>
            <w:vAlign w:val="center"/>
          </w:tcPr>
          <w:p w14:paraId="44FF435C">
            <w:pPr>
              <w:spacing w:line="360"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350000</w:t>
            </w:r>
          </w:p>
        </w:tc>
      </w:tr>
      <w:tr w14:paraId="6FA4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4B9DF95C">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572" w:type="pct"/>
            <w:noWrap/>
            <w:vAlign w:val="center"/>
          </w:tcPr>
          <w:p w14:paraId="5406315E">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核心交换机</w:t>
            </w:r>
          </w:p>
        </w:tc>
        <w:tc>
          <w:tcPr>
            <w:tcW w:w="930" w:type="pct"/>
            <w:noWrap/>
            <w:vAlign w:val="center"/>
          </w:tcPr>
          <w:p w14:paraId="6EB4A108">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2（台）</w:t>
            </w:r>
          </w:p>
        </w:tc>
        <w:tc>
          <w:tcPr>
            <w:tcW w:w="1071" w:type="pct"/>
            <w:noWrap/>
            <w:vAlign w:val="center"/>
          </w:tcPr>
          <w:p w14:paraId="422D18F5">
            <w:pPr>
              <w:spacing w:line="360" w:lineRule="auto"/>
              <w:jc w:val="center"/>
              <w:rPr>
                <w:rFonts w:hint="eastAsia" w:ascii="宋体" w:hAnsi="宋体" w:eastAsia="宋体" w:cs="宋体"/>
                <w:b/>
                <w:bCs/>
                <w:kern w:val="0"/>
                <w:sz w:val="21"/>
                <w:szCs w:val="21"/>
              </w:rPr>
            </w:pPr>
            <w:r>
              <w:rPr>
                <w:rFonts w:hint="eastAsia" w:ascii="宋体" w:hAnsi="宋体" w:eastAsia="宋体" w:cs="宋体"/>
                <w:b/>
                <w:bCs/>
                <w:i w:val="0"/>
                <w:iCs w:val="0"/>
                <w:color w:val="000000"/>
                <w:kern w:val="0"/>
                <w:sz w:val="21"/>
                <w:szCs w:val="21"/>
                <w:u w:val="none"/>
                <w:lang w:val="en-US" w:eastAsia="zh-CN" w:bidi="ar"/>
              </w:rPr>
              <w:t>150000</w:t>
            </w:r>
          </w:p>
        </w:tc>
      </w:tr>
      <w:tr w14:paraId="43A4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1518E5F0">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572" w:type="pct"/>
            <w:noWrap/>
            <w:vAlign w:val="center"/>
          </w:tcPr>
          <w:p w14:paraId="4FDDAAFD">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光纤交换机</w:t>
            </w:r>
          </w:p>
        </w:tc>
        <w:tc>
          <w:tcPr>
            <w:tcW w:w="930" w:type="pct"/>
            <w:noWrap/>
            <w:vAlign w:val="center"/>
          </w:tcPr>
          <w:p w14:paraId="09E9458D">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（台）</w:t>
            </w:r>
          </w:p>
        </w:tc>
        <w:tc>
          <w:tcPr>
            <w:tcW w:w="1071" w:type="pct"/>
            <w:noWrap/>
            <w:vAlign w:val="center"/>
          </w:tcPr>
          <w:p w14:paraId="2AFC3902">
            <w:pPr>
              <w:spacing w:line="360"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67500</w:t>
            </w:r>
          </w:p>
        </w:tc>
      </w:tr>
      <w:tr w14:paraId="67E7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0D62AD24">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572" w:type="pct"/>
            <w:noWrap/>
            <w:vAlign w:val="center"/>
          </w:tcPr>
          <w:p w14:paraId="35D7CA12">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访问交换机</w:t>
            </w:r>
          </w:p>
        </w:tc>
        <w:tc>
          <w:tcPr>
            <w:tcW w:w="930" w:type="pct"/>
            <w:noWrap/>
            <w:vAlign w:val="center"/>
          </w:tcPr>
          <w:p w14:paraId="73665935">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（台）</w:t>
            </w:r>
          </w:p>
        </w:tc>
        <w:tc>
          <w:tcPr>
            <w:tcW w:w="1071" w:type="pct"/>
            <w:noWrap/>
            <w:vAlign w:val="center"/>
          </w:tcPr>
          <w:p w14:paraId="2E65231B">
            <w:pPr>
              <w:spacing w:line="360"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20000</w:t>
            </w:r>
          </w:p>
        </w:tc>
      </w:tr>
      <w:tr w14:paraId="74FE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3ECBCF6C">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2572" w:type="pct"/>
            <w:noWrap/>
            <w:vAlign w:val="center"/>
          </w:tcPr>
          <w:p w14:paraId="45C34D41">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备份存储器</w:t>
            </w:r>
          </w:p>
        </w:tc>
        <w:tc>
          <w:tcPr>
            <w:tcW w:w="930" w:type="pct"/>
            <w:noWrap/>
            <w:vAlign w:val="center"/>
          </w:tcPr>
          <w:p w14:paraId="3AC9B56E">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台</w:t>
            </w:r>
            <w:r>
              <w:rPr>
                <w:rFonts w:hint="eastAsia" w:ascii="宋体" w:hAnsi="宋体" w:eastAsia="宋体" w:cs="宋体"/>
                <w:kern w:val="0"/>
                <w:sz w:val="21"/>
                <w:szCs w:val="21"/>
              </w:rPr>
              <w:t>）</w:t>
            </w:r>
          </w:p>
        </w:tc>
        <w:tc>
          <w:tcPr>
            <w:tcW w:w="1071" w:type="pct"/>
            <w:noWrap/>
            <w:vAlign w:val="center"/>
          </w:tcPr>
          <w:p w14:paraId="49A741DF">
            <w:pPr>
              <w:spacing w:line="360" w:lineRule="auto"/>
              <w:jc w:val="center"/>
              <w:rPr>
                <w:rFonts w:hint="eastAsia" w:ascii="宋体" w:hAnsi="宋体" w:eastAsia="宋体" w:cs="宋体"/>
                <w:b/>
                <w:bCs/>
                <w:kern w:val="0"/>
                <w:sz w:val="21"/>
                <w:szCs w:val="21"/>
              </w:rPr>
            </w:pPr>
            <w:r>
              <w:rPr>
                <w:rFonts w:hint="eastAsia" w:ascii="宋体" w:hAnsi="宋体" w:eastAsia="宋体" w:cs="宋体"/>
                <w:b/>
                <w:bCs/>
                <w:i w:val="0"/>
                <w:iCs w:val="0"/>
                <w:color w:val="000000"/>
                <w:kern w:val="0"/>
                <w:sz w:val="21"/>
                <w:szCs w:val="21"/>
                <w:u w:val="none"/>
                <w:lang w:val="en-US" w:eastAsia="zh-CN" w:bidi="ar"/>
              </w:rPr>
              <w:t>250000</w:t>
            </w:r>
          </w:p>
        </w:tc>
      </w:tr>
      <w:tr w14:paraId="5E9C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53556029">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2572" w:type="pct"/>
            <w:noWrap/>
            <w:vAlign w:val="center"/>
          </w:tcPr>
          <w:p w14:paraId="7C654BB4">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防火墙</w:t>
            </w:r>
          </w:p>
        </w:tc>
        <w:tc>
          <w:tcPr>
            <w:tcW w:w="930" w:type="pct"/>
            <w:noWrap/>
            <w:vAlign w:val="center"/>
          </w:tcPr>
          <w:p w14:paraId="3AAFED7E">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2（套）</w:t>
            </w:r>
          </w:p>
        </w:tc>
        <w:tc>
          <w:tcPr>
            <w:tcW w:w="1071" w:type="pct"/>
            <w:noWrap/>
            <w:vAlign w:val="center"/>
          </w:tcPr>
          <w:p w14:paraId="4D5A5328">
            <w:pPr>
              <w:spacing w:line="360"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70000</w:t>
            </w:r>
          </w:p>
        </w:tc>
      </w:tr>
      <w:tr w14:paraId="389E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6FE887A6">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2572" w:type="pct"/>
            <w:noWrap/>
            <w:vAlign w:val="center"/>
          </w:tcPr>
          <w:p w14:paraId="02ECF381">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无线AP</w:t>
            </w:r>
          </w:p>
        </w:tc>
        <w:tc>
          <w:tcPr>
            <w:tcW w:w="930" w:type="pct"/>
            <w:noWrap/>
            <w:vAlign w:val="center"/>
          </w:tcPr>
          <w:p w14:paraId="1306DC01">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10（套）</w:t>
            </w:r>
          </w:p>
        </w:tc>
        <w:tc>
          <w:tcPr>
            <w:tcW w:w="1071" w:type="pct"/>
            <w:noWrap/>
            <w:vAlign w:val="center"/>
          </w:tcPr>
          <w:p w14:paraId="5F468DD5">
            <w:pPr>
              <w:spacing w:line="360"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3000</w:t>
            </w:r>
          </w:p>
        </w:tc>
      </w:tr>
      <w:tr w14:paraId="27E7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0CBEE494">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2572" w:type="pct"/>
            <w:noWrap/>
            <w:vAlign w:val="center"/>
          </w:tcPr>
          <w:p w14:paraId="51F8EC58">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无线控制器AC</w:t>
            </w:r>
          </w:p>
        </w:tc>
        <w:tc>
          <w:tcPr>
            <w:tcW w:w="930" w:type="pct"/>
            <w:noWrap/>
            <w:vAlign w:val="center"/>
          </w:tcPr>
          <w:p w14:paraId="05531D25">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1（套）</w:t>
            </w:r>
          </w:p>
        </w:tc>
        <w:tc>
          <w:tcPr>
            <w:tcW w:w="1071" w:type="pct"/>
            <w:noWrap/>
            <w:vAlign w:val="center"/>
          </w:tcPr>
          <w:p w14:paraId="1E091333">
            <w:pPr>
              <w:spacing w:line="360"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12000</w:t>
            </w:r>
          </w:p>
        </w:tc>
      </w:tr>
      <w:tr w14:paraId="1D7B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5E137639">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2572" w:type="pct"/>
            <w:noWrap/>
            <w:vAlign w:val="center"/>
          </w:tcPr>
          <w:p w14:paraId="2D3AFD1E">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视频监控</w:t>
            </w:r>
          </w:p>
        </w:tc>
        <w:tc>
          <w:tcPr>
            <w:tcW w:w="930" w:type="pct"/>
            <w:noWrap/>
            <w:vAlign w:val="center"/>
          </w:tcPr>
          <w:p w14:paraId="1B82E265">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1（套）</w:t>
            </w:r>
          </w:p>
        </w:tc>
        <w:tc>
          <w:tcPr>
            <w:tcW w:w="1071" w:type="pct"/>
            <w:noWrap/>
            <w:vAlign w:val="center"/>
          </w:tcPr>
          <w:p w14:paraId="4EEC307F">
            <w:pPr>
              <w:spacing w:line="360"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30000</w:t>
            </w:r>
          </w:p>
        </w:tc>
      </w:tr>
      <w:tr w14:paraId="02FF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44F98357">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2572" w:type="pct"/>
            <w:noWrap/>
            <w:vAlign w:val="center"/>
          </w:tcPr>
          <w:p w14:paraId="4DB32300">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许可服务工作站</w:t>
            </w:r>
          </w:p>
        </w:tc>
        <w:tc>
          <w:tcPr>
            <w:tcW w:w="930" w:type="pct"/>
            <w:noWrap/>
            <w:vAlign w:val="center"/>
          </w:tcPr>
          <w:p w14:paraId="022A2A33">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3（套）</w:t>
            </w:r>
          </w:p>
        </w:tc>
        <w:tc>
          <w:tcPr>
            <w:tcW w:w="1071" w:type="pct"/>
            <w:shd w:val="clear" w:color="auto" w:fill="auto"/>
            <w:noWrap/>
            <w:vAlign w:val="center"/>
          </w:tcPr>
          <w:p w14:paraId="4D911496">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21200</w:t>
            </w:r>
          </w:p>
        </w:tc>
      </w:tr>
      <w:tr w14:paraId="6C28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4E0D7B84">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2572" w:type="pct"/>
            <w:noWrap/>
            <w:vAlign w:val="center"/>
          </w:tcPr>
          <w:p w14:paraId="4AA26F6D">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ATS</w:t>
            </w:r>
          </w:p>
        </w:tc>
        <w:tc>
          <w:tcPr>
            <w:tcW w:w="930" w:type="pct"/>
            <w:noWrap/>
            <w:vAlign w:val="center"/>
          </w:tcPr>
          <w:p w14:paraId="658CEE59">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2（套）</w:t>
            </w:r>
          </w:p>
        </w:tc>
        <w:tc>
          <w:tcPr>
            <w:tcW w:w="1071" w:type="pct"/>
            <w:shd w:val="clear" w:color="auto" w:fill="auto"/>
            <w:noWrap/>
            <w:vAlign w:val="center"/>
          </w:tcPr>
          <w:p w14:paraId="39582C34">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6000</w:t>
            </w:r>
          </w:p>
        </w:tc>
      </w:tr>
      <w:tr w14:paraId="7E38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2EA496D6">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2572" w:type="pct"/>
            <w:noWrap/>
            <w:vAlign w:val="center"/>
          </w:tcPr>
          <w:p w14:paraId="654C5318">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网络综合布线</w:t>
            </w:r>
          </w:p>
        </w:tc>
        <w:tc>
          <w:tcPr>
            <w:tcW w:w="930" w:type="pct"/>
            <w:noWrap/>
            <w:vAlign w:val="center"/>
          </w:tcPr>
          <w:p w14:paraId="1205DB97">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1（套）</w:t>
            </w:r>
          </w:p>
        </w:tc>
        <w:tc>
          <w:tcPr>
            <w:tcW w:w="1071" w:type="pct"/>
            <w:noWrap/>
            <w:vAlign w:val="center"/>
          </w:tcPr>
          <w:p w14:paraId="7129B10B">
            <w:pPr>
              <w:spacing w:line="360"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350000</w:t>
            </w:r>
          </w:p>
        </w:tc>
      </w:tr>
      <w:tr w14:paraId="44BB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426" w:type="pct"/>
            <w:noWrap/>
            <w:vAlign w:val="center"/>
          </w:tcPr>
          <w:p w14:paraId="0553B3B8">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2572" w:type="pct"/>
            <w:noWrap/>
            <w:vAlign w:val="center"/>
          </w:tcPr>
          <w:p w14:paraId="0AB042F8">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Windows Server 2022 License Package</w:t>
            </w:r>
          </w:p>
        </w:tc>
        <w:tc>
          <w:tcPr>
            <w:tcW w:w="930" w:type="pct"/>
            <w:noWrap/>
            <w:vAlign w:val="center"/>
          </w:tcPr>
          <w:p w14:paraId="399AF058">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15（套）</w:t>
            </w:r>
          </w:p>
        </w:tc>
        <w:tc>
          <w:tcPr>
            <w:tcW w:w="1071" w:type="pct"/>
            <w:shd w:val="clear" w:color="auto" w:fill="auto"/>
            <w:noWrap/>
            <w:vAlign w:val="center"/>
          </w:tcPr>
          <w:p w14:paraId="0A6ECAD2">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13000</w:t>
            </w:r>
          </w:p>
        </w:tc>
      </w:tr>
      <w:tr w14:paraId="6EFF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7BB08308">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2572" w:type="pct"/>
            <w:noWrap/>
            <w:vAlign w:val="center"/>
          </w:tcPr>
          <w:p w14:paraId="2728D889">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Redhat Linux Server</w:t>
            </w:r>
          </w:p>
        </w:tc>
        <w:tc>
          <w:tcPr>
            <w:tcW w:w="930" w:type="pct"/>
            <w:noWrap/>
            <w:vAlign w:val="center"/>
          </w:tcPr>
          <w:p w14:paraId="12C2B0A7">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20（套）</w:t>
            </w:r>
          </w:p>
        </w:tc>
        <w:tc>
          <w:tcPr>
            <w:tcW w:w="1071" w:type="pct"/>
            <w:shd w:val="clear" w:color="auto" w:fill="auto"/>
            <w:noWrap/>
            <w:vAlign w:val="center"/>
          </w:tcPr>
          <w:p w14:paraId="70F5A698">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8000</w:t>
            </w:r>
          </w:p>
        </w:tc>
      </w:tr>
      <w:tr w14:paraId="26F8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3604F64B">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2572" w:type="pct"/>
            <w:noWrap/>
            <w:vAlign w:val="center"/>
          </w:tcPr>
          <w:p w14:paraId="37F9462F">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Oracle</w:t>
            </w:r>
          </w:p>
        </w:tc>
        <w:tc>
          <w:tcPr>
            <w:tcW w:w="930" w:type="pct"/>
            <w:noWrap/>
            <w:vAlign w:val="center"/>
          </w:tcPr>
          <w:p w14:paraId="04DDE2FD">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6（套）</w:t>
            </w:r>
          </w:p>
        </w:tc>
        <w:tc>
          <w:tcPr>
            <w:tcW w:w="1071" w:type="pct"/>
            <w:shd w:val="clear" w:color="auto" w:fill="auto"/>
            <w:noWrap/>
            <w:vAlign w:val="center"/>
          </w:tcPr>
          <w:p w14:paraId="68CEBEBC">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155000</w:t>
            </w:r>
          </w:p>
        </w:tc>
      </w:tr>
      <w:tr w14:paraId="1E35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7B52135B">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2572" w:type="pct"/>
            <w:noWrap/>
            <w:vAlign w:val="center"/>
          </w:tcPr>
          <w:p w14:paraId="67F53A1E">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Vmware虚拟化软件</w:t>
            </w:r>
          </w:p>
        </w:tc>
        <w:tc>
          <w:tcPr>
            <w:tcW w:w="930" w:type="pct"/>
            <w:noWrap/>
            <w:vAlign w:val="center"/>
          </w:tcPr>
          <w:p w14:paraId="22D0FD7A">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1（年）</w:t>
            </w:r>
          </w:p>
        </w:tc>
        <w:tc>
          <w:tcPr>
            <w:tcW w:w="1071" w:type="pct"/>
            <w:shd w:val="clear" w:color="auto" w:fill="auto"/>
            <w:noWrap/>
            <w:vAlign w:val="center"/>
          </w:tcPr>
          <w:p w14:paraId="41A8B3B3">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1200000</w:t>
            </w:r>
          </w:p>
        </w:tc>
      </w:tr>
      <w:tr w14:paraId="7355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579A387D">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2572" w:type="pct"/>
            <w:noWrap/>
            <w:vAlign w:val="center"/>
          </w:tcPr>
          <w:p w14:paraId="01ECD8B4">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堡垒机</w:t>
            </w:r>
          </w:p>
        </w:tc>
        <w:tc>
          <w:tcPr>
            <w:tcW w:w="930" w:type="pct"/>
            <w:noWrap/>
            <w:vAlign w:val="center"/>
          </w:tcPr>
          <w:p w14:paraId="58C76F2C">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1（套）</w:t>
            </w:r>
          </w:p>
        </w:tc>
        <w:tc>
          <w:tcPr>
            <w:tcW w:w="1071" w:type="pct"/>
            <w:noWrap/>
            <w:vAlign w:val="center"/>
          </w:tcPr>
          <w:p w14:paraId="529D6074">
            <w:pPr>
              <w:spacing w:line="360"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70000</w:t>
            </w:r>
          </w:p>
        </w:tc>
      </w:tr>
      <w:tr w14:paraId="41D7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069DBE3D">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2572" w:type="pct"/>
            <w:noWrap/>
            <w:vAlign w:val="center"/>
          </w:tcPr>
          <w:p w14:paraId="10DDAE5F">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日志审计</w:t>
            </w:r>
          </w:p>
        </w:tc>
        <w:tc>
          <w:tcPr>
            <w:tcW w:w="930" w:type="pct"/>
            <w:noWrap/>
            <w:vAlign w:val="center"/>
          </w:tcPr>
          <w:p w14:paraId="5E08B9F5">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1（套）</w:t>
            </w:r>
          </w:p>
        </w:tc>
        <w:tc>
          <w:tcPr>
            <w:tcW w:w="1071" w:type="pct"/>
            <w:noWrap/>
            <w:vAlign w:val="center"/>
          </w:tcPr>
          <w:p w14:paraId="14F783A5">
            <w:pPr>
              <w:spacing w:line="360"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90000</w:t>
            </w:r>
          </w:p>
        </w:tc>
      </w:tr>
      <w:tr w14:paraId="0CCE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pct"/>
            <w:noWrap/>
            <w:vAlign w:val="center"/>
          </w:tcPr>
          <w:p w14:paraId="4EF04F9B">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2572" w:type="pct"/>
            <w:noWrap/>
            <w:vAlign w:val="center"/>
          </w:tcPr>
          <w:p w14:paraId="38548136">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主机防病毒</w:t>
            </w:r>
          </w:p>
        </w:tc>
        <w:tc>
          <w:tcPr>
            <w:tcW w:w="930" w:type="pct"/>
            <w:noWrap/>
            <w:vAlign w:val="center"/>
          </w:tcPr>
          <w:p w14:paraId="228E5CBE">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1（套）</w:t>
            </w:r>
          </w:p>
        </w:tc>
        <w:tc>
          <w:tcPr>
            <w:tcW w:w="1071" w:type="pct"/>
            <w:noWrap/>
            <w:vAlign w:val="center"/>
          </w:tcPr>
          <w:p w14:paraId="71FA5373">
            <w:pPr>
              <w:spacing w:line="360"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90000</w:t>
            </w:r>
          </w:p>
        </w:tc>
      </w:tr>
      <w:tr w14:paraId="0B4E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pct"/>
            <w:noWrap/>
            <w:vAlign w:val="center"/>
          </w:tcPr>
          <w:p w14:paraId="50C8F3FE">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2572" w:type="pct"/>
            <w:noWrap/>
            <w:vAlign w:val="center"/>
          </w:tcPr>
          <w:p w14:paraId="53FB3CEE">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Veeam备份软件</w:t>
            </w:r>
          </w:p>
        </w:tc>
        <w:tc>
          <w:tcPr>
            <w:tcW w:w="930" w:type="pct"/>
            <w:noWrap/>
            <w:vAlign w:val="center"/>
          </w:tcPr>
          <w:p w14:paraId="24E24600">
            <w:pPr>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10（套）</w:t>
            </w:r>
          </w:p>
        </w:tc>
        <w:tc>
          <w:tcPr>
            <w:tcW w:w="1071" w:type="pct"/>
            <w:noWrap/>
            <w:vAlign w:val="center"/>
          </w:tcPr>
          <w:p w14:paraId="6172B0E4">
            <w:pPr>
              <w:spacing w:line="360" w:lineRule="auto"/>
              <w:jc w:val="center"/>
              <w:rPr>
                <w:rFonts w:hint="eastAsia" w:ascii="宋体" w:hAnsi="宋体" w:eastAsia="宋体" w:cs="宋体"/>
                <w:b/>
                <w:bCs/>
                <w:kern w:val="0"/>
                <w:sz w:val="21"/>
                <w:szCs w:val="21"/>
                <w:lang w:val="en-US" w:eastAsia="zh-CN"/>
              </w:rPr>
            </w:pPr>
            <w:r>
              <w:rPr>
                <w:rFonts w:hint="eastAsia" w:ascii="宋体" w:hAnsi="宋体" w:eastAsia="宋体" w:cs="宋体"/>
                <w:b/>
                <w:bCs/>
                <w:i w:val="0"/>
                <w:iCs w:val="0"/>
                <w:color w:val="000000"/>
                <w:kern w:val="0"/>
                <w:sz w:val="21"/>
                <w:szCs w:val="21"/>
                <w:u w:val="none"/>
                <w:lang w:val="en-US" w:eastAsia="zh-CN" w:bidi="ar"/>
              </w:rPr>
              <w:t>9000</w:t>
            </w:r>
          </w:p>
        </w:tc>
      </w:tr>
    </w:tbl>
    <w:p w14:paraId="1BCE06FD">
      <w:pPr>
        <w:widowControl/>
        <w:shd w:val="clear" w:color="auto" w:fill="FFFFFF"/>
        <w:tabs>
          <w:tab w:val="left" w:pos="2908"/>
        </w:tabs>
        <w:spacing w:line="360" w:lineRule="auto"/>
        <w:jc w:val="left"/>
        <w:rPr>
          <w:rFonts w:hint="eastAsia" w:ascii="宋体" w:hAnsi="宋体" w:cs="宋体"/>
          <w:b/>
          <w:bCs/>
          <w:szCs w:val="21"/>
        </w:rPr>
      </w:pPr>
    </w:p>
    <w:p w14:paraId="759927FF">
      <w:pPr>
        <w:widowControl/>
        <w:numPr>
          <w:ilvl w:val="0"/>
          <w:numId w:val="14"/>
        </w:numPr>
        <w:shd w:val="clear" w:color="auto" w:fill="FFFFFF"/>
        <w:tabs>
          <w:tab w:val="left" w:pos="2908"/>
        </w:tabs>
        <w:spacing w:line="360" w:lineRule="auto"/>
        <w:jc w:val="left"/>
        <w:outlineLvl w:val="1"/>
        <w:rPr>
          <w:rFonts w:hint="eastAsia" w:ascii="宋体" w:hAnsi="宋体" w:cs="宋体"/>
          <w:szCs w:val="21"/>
        </w:rPr>
      </w:pPr>
      <w:r>
        <w:rPr>
          <w:rFonts w:hint="eastAsia" w:ascii="宋体" w:hAnsi="宋体" w:cs="宋体"/>
          <w:b/>
          <w:bCs/>
          <w:szCs w:val="21"/>
        </w:rPr>
        <w:t>设备详细技术参数</w:t>
      </w:r>
      <w:r>
        <w:rPr>
          <w:rFonts w:hint="eastAsia" w:ascii="宋体" w:hAnsi="宋体" w:cs="宋体"/>
          <w:szCs w:val="21"/>
        </w:rPr>
        <w:t>：</w:t>
      </w:r>
    </w:p>
    <w:p w14:paraId="68EEAF32">
      <w:pPr>
        <w:numPr>
          <w:ilvl w:val="0"/>
          <w:numId w:val="15"/>
        </w:numPr>
        <w:shd w:val="clear"/>
        <w:spacing w:line="360" w:lineRule="auto"/>
        <w:ind w:left="0" w:leftChars="0" w:firstLine="51" w:firstLineChars="24"/>
        <w:outlineLvl w:val="2"/>
        <w:rPr>
          <w:rFonts w:hint="eastAsia" w:ascii="宋体" w:hAnsi="宋体" w:eastAsia="宋体" w:cs="宋体"/>
          <w:b/>
          <w:bCs/>
          <w:sz w:val="21"/>
          <w:szCs w:val="21"/>
        </w:rPr>
      </w:pPr>
      <w:r>
        <w:rPr>
          <w:rFonts w:hint="eastAsia" w:ascii="宋体" w:hAnsi="宋体" w:cs="宋体"/>
          <w:b/>
          <w:bCs/>
          <w:sz w:val="21"/>
          <w:szCs w:val="21"/>
          <w:lang w:val="en-US" w:eastAsia="zh-CN"/>
        </w:rPr>
        <w:t>硬件设备详细参数</w:t>
      </w:r>
    </w:p>
    <w:tbl>
      <w:tblPr>
        <w:tblStyle w:val="9"/>
        <w:tblW w:w="8589" w:type="dxa"/>
        <w:tblInd w:w="-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1816"/>
        <w:gridCol w:w="6070"/>
      </w:tblGrid>
      <w:tr w14:paraId="73A5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D4D6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1CD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00CB74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功能及参数描述</w:t>
            </w:r>
          </w:p>
        </w:tc>
      </w:tr>
      <w:tr w14:paraId="0008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7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A62D2D">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5A3188A">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服务器</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4C3236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14"/>
                <w:rFonts w:hint="eastAsia" w:ascii="宋体" w:hAnsi="宋体" w:eastAsia="宋体" w:cs="宋体"/>
                <w:sz w:val="21"/>
                <w:szCs w:val="21"/>
                <w:lang w:val="en-US" w:eastAsia="zh-CN" w:bidi="ar"/>
              </w:rPr>
              <w:t>规格：4U机架式服务器，带免工具导轨；</w:t>
            </w:r>
          </w:p>
        </w:tc>
      </w:tr>
      <w:tr w14:paraId="46EA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C99FF1">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535D79">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7B4A17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2、处理器：配置2颗Platinum 8462Y+ 32C 300W 2.8GHz；</w:t>
            </w:r>
          </w:p>
        </w:tc>
      </w:tr>
      <w:tr w14:paraId="042B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A46139">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834936">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46D246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3、内存：1TB (32*32G) TruDDR4 4800MHz，实配≥32条内存插槽；</w:t>
            </w:r>
          </w:p>
        </w:tc>
      </w:tr>
      <w:tr w14:paraId="4107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77DD62">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F7B164">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4B091C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4、硬盘：配置2块480GB热插拔SSD（raid1），10块3.84T SSD 固态硬盘</w:t>
            </w:r>
          </w:p>
        </w:tc>
      </w:tr>
      <w:tr w14:paraId="08B95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BBD45A">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CC1B68">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7F3B65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5、网卡：配置4个千兆以太网口，2个双口10/25Gb以太网卡（含模块，10G 、25G各半），1个专用管理网口</w:t>
            </w:r>
          </w:p>
        </w:tc>
      </w:tr>
      <w:tr w14:paraId="2883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3B1EDE">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965F21">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61C16C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6、电源：配置2块1800W热插拔冗余电源</w:t>
            </w:r>
          </w:p>
        </w:tc>
      </w:tr>
      <w:tr w14:paraId="2CB5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512955">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20CA38">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093728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7、管理；配置远程管理功能及高级模块授权</w:t>
            </w:r>
          </w:p>
        </w:tc>
      </w:tr>
      <w:tr w14:paraId="4E19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A995A8">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759861">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069F8B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8、质保：提供原厂3年7x24小时，硬盘不返还保修服务</w:t>
            </w:r>
          </w:p>
        </w:tc>
      </w:tr>
      <w:tr w14:paraId="2879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908F27">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34E3E4">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1519F0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9、NVIDIA RTX A4500 200W（max） 显卡*4</w:t>
            </w:r>
          </w:p>
        </w:tc>
      </w:tr>
      <w:tr w14:paraId="46A48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7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393742C">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2</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C17B1B">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核心交换机</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5B893A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1、交换容量≥2.5Tbps，包转发率≥1600Mpps；</w:t>
            </w:r>
          </w:p>
        </w:tc>
      </w:tr>
      <w:tr w14:paraId="74F2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B1EC6E">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24AF7C">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7E7710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2、为了提高设备可靠性，支持模块化可插拔双电源；</w:t>
            </w:r>
          </w:p>
        </w:tc>
      </w:tr>
      <w:tr w14:paraId="79153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7D9E05">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8A572C">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1DE219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3、支持25GE光口≥28，100GE光口≥4；</w:t>
            </w:r>
          </w:p>
        </w:tc>
      </w:tr>
      <w:tr w14:paraId="7F97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C7D316">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0820C2">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6ED4BB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4、支持静态路由、RIP v1/v2、OSPF、BGP、ISIS、RIPng、OSPFv3、ISISv6、BGP4+；</w:t>
            </w:r>
          </w:p>
        </w:tc>
      </w:tr>
      <w:tr w14:paraId="7057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5480C8">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E3D520">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7A7248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5、支持IGMP v1/v2/v3、PIM-SM、PIM-DM、PIM-SSM；</w:t>
            </w:r>
          </w:p>
        </w:tc>
      </w:tr>
      <w:tr w14:paraId="2455F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8B121E">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7D3134">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746D34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6、支持VxLAN功能，支持BGP EVPN，实现自动建立隧道；</w:t>
            </w:r>
          </w:p>
        </w:tc>
      </w:tr>
      <w:tr w14:paraId="44B9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29F394">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FB8099">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65A574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7、支持G.8032标准以太环网协议；</w:t>
            </w:r>
          </w:p>
        </w:tc>
      </w:tr>
      <w:tr w14:paraId="7F03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CE2565">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9B0EF5">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27B55F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8、配置：双电源</w:t>
            </w:r>
          </w:p>
        </w:tc>
      </w:tr>
      <w:tr w14:paraId="7281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7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A62FE8">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3</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6B8B93F">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光纤交换机</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648DADC5">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1、交换容量≥2.5Tbps，包转发率≥1600Mpps；</w:t>
            </w:r>
          </w:p>
        </w:tc>
      </w:tr>
      <w:tr w14:paraId="1AA0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917662">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7E996C">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340878C1">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2、为了提高设备可靠性，支持模块化可插拔双电源；</w:t>
            </w:r>
          </w:p>
        </w:tc>
      </w:tr>
      <w:tr w14:paraId="672E2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5ABBE7">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6188D1">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350EB98A">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3、支持25GE光口≥28，100GE光口≥4；</w:t>
            </w:r>
          </w:p>
        </w:tc>
      </w:tr>
      <w:tr w14:paraId="1F059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3CEBE9">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9D9980">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335569E6">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4、支持静态路由、RIP v1/v2、OSPF、BGP、ISIS、RIPng、OSPFv3、ISISv6、BGP4+；</w:t>
            </w:r>
          </w:p>
        </w:tc>
      </w:tr>
      <w:tr w14:paraId="2327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AB543F">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CCAC92">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7D16D065">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5、支持IGMP v1/v2/v3、PIM-SM、PIM-DM、PIM-SSM；</w:t>
            </w:r>
          </w:p>
        </w:tc>
      </w:tr>
      <w:tr w14:paraId="393B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007503">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192D9B">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0186DA4D">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6、支持VxLAN功能，支持BGP EVPN，实现自动建立隧道；</w:t>
            </w:r>
          </w:p>
        </w:tc>
      </w:tr>
      <w:tr w14:paraId="79769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DCE0B8">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D8633D">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7B5139C6">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7、支持G.8032标准以太环网协议；</w:t>
            </w:r>
          </w:p>
        </w:tc>
      </w:tr>
      <w:tr w14:paraId="008B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CB60A6">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EF54C3">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0218A189">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8、配置：双电源</w:t>
            </w:r>
          </w:p>
        </w:tc>
      </w:tr>
      <w:tr w14:paraId="37A7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7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4A5896">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4</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03926BF">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访问交换机</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01EF76EA">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1、交换容量≥672Gbps，包转发率≥207Mpps；</w:t>
            </w:r>
          </w:p>
        </w:tc>
      </w:tr>
      <w:tr w14:paraId="4255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74F2D1">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A6CF2D">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4E02F4A4">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2、支持千兆电口≥48，万兆光口≥6，支持802.3at POE+功能</w:t>
            </w:r>
          </w:p>
        </w:tc>
      </w:tr>
      <w:tr w14:paraId="0A09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CEA4CE">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3A8A77">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09145EDC">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3、支持2个电源，可以实现1+1备份；</w:t>
            </w:r>
          </w:p>
        </w:tc>
      </w:tr>
      <w:tr w14:paraId="02E7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7AAE40">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EC1985">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4DA1CFD3">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4、关键芯片（CPU）采用国产芯片，自主可控；</w:t>
            </w:r>
          </w:p>
        </w:tc>
      </w:tr>
      <w:tr w14:paraId="6BFD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46074D">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B319D7">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59013540">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5、支持静态路由、RIP、OSPF、RIPng、OSPFv3，ISIS，ISISv6，BGP，BGP4+；</w:t>
            </w:r>
          </w:p>
        </w:tc>
      </w:tr>
      <w:tr w14:paraId="26DB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4749BB">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DCD2E9">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4C1B6397">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6、支持VRRP、BFD，支持IPv6、支持IPv4/IPv6双栈；</w:t>
            </w:r>
          </w:p>
        </w:tc>
      </w:tr>
      <w:tr w14:paraId="01594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C97DD1">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0157F8">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337C954A">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7、支持 802.3az 能效以太网 EEE，节能环保</w:t>
            </w:r>
          </w:p>
        </w:tc>
      </w:tr>
      <w:tr w14:paraId="5B3A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1BD933D">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7304FC">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65ADFD7E">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8、配置：双电源</w:t>
            </w:r>
          </w:p>
        </w:tc>
      </w:tr>
      <w:tr w14:paraId="5982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7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F6BFB8A">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5</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54953A">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备份存储器</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4CC05390">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w:t>
            </w:r>
            <w:r>
              <w:rPr>
                <w:rStyle w:val="15"/>
                <w:rFonts w:hint="eastAsia" w:ascii="宋体" w:hAnsi="宋体" w:eastAsia="宋体" w:cs="宋体"/>
                <w:sz w:val="21"/>
                <w:szCs w:val="21"/>
                <w:lang w:val="en-US" w:eastAsia="zh-CN" w:bidi="ar"/>
              </w:rPr>
              <w:t xml:space="preserve"> </w:t>
            </w:r>
            <w:r>
              <w:rPr>
                <w:rStyle w:val="16"/>
                <w:rFonts w:hint="eastAsia" w:ascii="宋体" w:hAnsi="宋体" w:eastAsia="宋体" w:cs="宋体"/>
                <w:sz w:val="21"/>
                <w:szCs w:val="21"/>
                <w:lang w:val="en-US" w:eastAsia="zh-CN" w:bidi="ar"/>
              </w:rPr>
              <w:t>2 x Intel Xeon Silver, 2095 Mhz, 8C</w:t>
            </w:r>
          </w:p>
        </w:tc>
      </w:tr>
      <w:tr w14:paraId="45A5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732F022">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B55633">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26B1A0EE">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2、 2x 1.92TB Cache SSD</w:t>
            </w:r>
          </w:p>
        </w:tc>
      </w:tr>
      <w:tr w14:paraId="1C27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20B501">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C07F1A">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066E6BB9">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3、 4 x 16GB 记忆体</w:t>
            </w:r>
          </w:p>
        </w:tc>
      </w:tr>
      <w:tr w14:paraId="5588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AC8C3F">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41A1DFE">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6816D375">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4、 支援 A-P HA</w:t>
            </w:r>
          </w:p>
        </w:tc>
      </w:tr>
      <w:tr w14:paraId="4905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FA8DDF">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5E93D9">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1400B0E8">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5、配备400T可用存储容量</w:t>
            </w:r>
          </w:p>
        </w:tc>
      </w:tr>
      <w:tr w14:paraId="71C1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5AC6E7">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37CFA1">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78AEB602">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6、支持4*10Gb网卡</w:t>
            </w:r>
          </w:p>
        </w:tc>
      </w:tr>
      <w:tr w14:paraId="151C5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A78CAC3">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6</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724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防火墙</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7D21A7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Style w:val="14"/>
                <w:rFonts w:hint="eastAsia" w:ascii="宋体" w:hAnsi="宋体" w:eastAsia="宋体" w:cs="宋体"/>
                <w:sz w:val="21"/>
                <w:szCs w:val="21"/>
                <w:lang w:val="en-US" w:eastAsia="zh-CN" w:bidi="ar"/>
              </w:rPr>
              <w:t>双电源，8个千兆电口（4对bypass），2个万兆光口，64G 固态硬盘</w:t>
            </w:r>
          </w:p>
        </w:tc>
      </w:tr>
      <w:tr w14:paraId="3007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7AB326">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4C8148">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330ABA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2、性能规格：网络吞吐量20G，应用层吞吐10G，最大并发数300万</w:t>
            </w:r>
          </w:p>
        </w:tc>
      </w:tr>
      <w:tr w14:paraId="1558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E53252">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B5314">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217B42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3、支持SSL VPN功能，SSL VPN用户数无限制；L2TP VPN</w:t>
            </w:r>
          </w:p>
        </w:tc>
      </w:tr>
      <w:tr w14:paraId="010C4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9A205F">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F03CD">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171532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4、支持IEC104，Modbus、CIP等工业协议；</w:t>
            </w:r>
          </w:p>
        </w:tc>
      </w:tr>
      <w:tr w14:paraId="53A5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141979">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5BD5D">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51FA07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5、支持下一代防火墙访问控制、入侵防御、网络防病毒、上网行为及URL分类管理、流控和IPSec VPN模块；</w:t>
            </w:r>
          </w:p>
        </w:tc>
      </w:tr>
      <w:tr w14:paraId="1315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AB63EA">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C9A5A">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459ED1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6、提供3年入侵防御、网络防病毒、上网行为及URL分类管理特征库升级服务；</w:t>
            </w:r>
          </w:p>
        </w:tc>
      </w:tr>
      <w:tr w14:paraId="27AD0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1"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3C50F3">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E0EE6">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756BCC5D">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7.支持用户账号全生命周期保护功能，包括用户账号多余入口检测、用户账号弱口令检测、用户账号暴力破解检测、失陷账号检测，防止因账号被暴力破解导致的非法提权情况发生。（提供产品功能界面截图证明、提供具备CMA和CNAS标识的检测报告扫描件，注：检验（检测）报告要求具有CMA或CNAS等标识的，若有材料证明相关检测事项不在实施该项检测的机构许可（认可）CMA或CNAS等资质范围或检测范围内的，该检验（检测）报告视为不满足招标文件要求，作负偏离处理。）</w:t>
            </w:r>
          </w:p>
        </w:tc>
      </w:tr>
      <w:tr w14:paraId="1F52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A1A18B">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9E4CAB">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00F24EAF">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▲8.支持自定义流量监控组件，可基于设备、应用、源目的IP、接口设置不同的流量和会话数</w:t>
            </w:r>
            <w:r>
              <w:rPr>
                <w:rFonts w:hint="eastAsia" w:ascii="宋体" w:hAnsi="宋体" w:cs="宋体"/>
                <w:b/>
                <w:bCs/>
                <w:i w:val="0"/>
                <w:iCs w:val="0"/>
                <w:color w:val="FF0000"/>
                <w:kern w:val="0"/>
                <w:sz w:val="21"/>
                <w:szCs w:val="21"/>
                <w:u w:val="none"/>
                <w:lang w:val="en-US" w:eastAsia="zh-CN" w:bidi="ar"/>
              </w:rPr>
              <w:t>进行</w:t>
            </w:r>
            <w:r>
              <w:rPr>
                <w:rFonts w:hint="eastAsia" w:ascii="宋体" w:hAnsi="宋体" w:eastAsia="宋体" w:cs="宋体"/>
                <w:b/>
                <w:bCs/>
                <w:i w:val="0"/>
                <w:iCs w:val="0"/>
                <w:color w:val="FF0000"/>
                <w:kern w:val="0"/>
                <w:sz w:val="21"/>
                <w:szCs w:val="21"/>
                <w:u w:val="none"/>
                <w:lang w:val="en-US" w:eastAsia="zh-CN" w:bidi="ar"/>
              </w:rPr>
              <w:t>动态展示，展示效果支持面积图、折线图、柱状图等至少三种形式。（提供产品功能界面截图证明）</w:t>
            </w:r>
          </w:p>
        </w:tc>
      </w:tr>
      <w:tr w14:paraId="1396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87989A">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685A5">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6F7FDCC7">
            <w:pPr>
              <w:keepNext w:val="0"/>
              <w:keepLines w:val="0"/>
              <w:widowControl/>
              <w:suppressLineNumbers w:val="0"/>
              <w:jc w:val="left"/>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9.支持策略生命周期管理功能，支持对安全策略修改的时间、原因、变更类型进行统一管理，便于策略的运维与管理。（提供产品功能界面截图证明、提供具备CMA和CNAS标识的检测报告扫描件，注：检验（检测）报告要求具有CMA或CNAS等标识的，若有材料证明相关检测事项不在实施该项检测的机构许可（认可）CMA或CNAS等资质范围或检测范围内的，该检验（检测）报告视为不满足招标文件要求，作负偏离处理。）</w:t>
            </w:r>
          </w:p>
        </w:tc>
      </w:tr>
      <w:tr w14:paraId="058CB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7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F903837">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7</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0F2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无线AP</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2B3F81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1、支持802.11a/b/g/n/ac/ac Wave2标准；</w:t>
            </w:r>
          </w:p>
        </w:tc>
      </w:tr>
      <w:tr w14:paraId="6E5D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7AC40B">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51B0C6">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21FB9E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2、支持2.4GHz/5GHz双频段同时工作；</w:t>
            </w:r>
          </w:p>
        </w:tc>
      </w:tr>
      <w:tr w14:paraId="1081E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09F0427">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C2D3B">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15283E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3、1000M双频吸顶式企业级无线接入点</w:t>
            </w:r>
          </w:p>
        </w:tc>
      </w:tr>
      <w:tr w14:paraId="261E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7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242FC07">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8</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44D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无线控制器AC</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3DD6F0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1、电源：AC/DC电源适配器</w:t>
            </w:r>
          </w:p>
        </w:tc>
      </w:tr>
      <w:tr w14:paraId="6153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4935E4">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F6D91">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360724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3、转发能力：8Gbps</w:t>
            </w:r>
          </w:p>
        </w:tc>
      </w:tr>
      <w:tr w14:paraId="58E6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65BD48">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F0359">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385E6491">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4、最大可管理AP的数量：256</w:t>
            </w:r>
          </w:p>
        </w:tc>
      </w:tr>
      <w:tr w14:paraId="72AE8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8AC346">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1D20DB">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6445E0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5、无线用户接入能力：4096</w:t>
            </w:r>
          </w:p>
        </w:tc>
      </w:tr>
      <w:tr w14:paraId="04022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03D030">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B3E9FA">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6C8782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6、AP与AC间组网方式：支持L2/L3层网络拓扑</w:t>
            </w:r>
          </w:p>
        </w:tc>
      </w:tr>
      <w:tr w14:paraId="577A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D205FE">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248F49">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381FF5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7、转发模式：支持直接转发/隧道转发</w:t>
            </w:r>
          </w:p>
        </w:tc>
      </w:tr>
      <w:tr w14:paraId="476F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9756DB">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B3E3EF">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480E44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9、无线协议：802.11 a/b/g/n/ac/ac wave2/ax/be</w:t>
            </w:r>
          </w:p>
        </w:tc>
      </w:tr>
      <w:tr w14:paraId="2E42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7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220AD9">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9</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4744B9">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视频监控</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6234E4C0">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1、摄像头20个，SMART3=265，移动侦测</w:t>
            </w:r>
          </w:p>
        </w:tc>
      </w:tr>
      <w:tr w14:paraId="05B9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2A18C3">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C4E2EC">
            <w:pPr>
              <w:jc w:val="center"/>
              <w:rPr>
                <w:rFonts w:hint="eastAsia" w:ascii="宋体" w:hAnsi="宋体" w:eastAsia="宋体" w:cs="宋体"/>
                <w:i w:val="0"/>
                <w:iCs w:val="0"/>
                <w:color w:val="0D0D0D"/>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1D819D12">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2、存储支持容量不少于15TB，数据中心级别磁盘</w:t>
            </w:r>
          </w:p>
        </w:tc>
      </w:tr>
      <w:tr w14:paraId="7096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74C3B">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10</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6EB67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许可服务工作站</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5A312D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英特尔至强处理器 W-2223/64G/512G+4T/RTX 4000 8G</w:t>
            </w:r>
          </w:p>
        </w:tc>
      </w:tr>
      <w:tr w14:paraId="71C5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trPr>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7FC20">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11</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5B567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ATS</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06309F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EATS16N + 网卡</w:t>
            </w:r>
          </w:p>
        </w:tc>
      </w:tr>
      <w:tr w14:paraId="128C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2FB74B7">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12</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D66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网络综合布线</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0A610E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1、所有网线符合 CAT6A标准，交换机数据跳线使用 20公分超短跳线。</w:t>
            </w:r>
          </w:p>
        </w:tc>
      </w:tr>
      <w:tr w14:paraId="0D59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0B2D02">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086A3">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4BEA3E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2、网线与端口超过80米的情况下，需新增小机柜分支</w:t>
            </w:r>
          </w:p>
        </w:tc>
      </w:tr>
      <w:tr w14:paraId="4C0C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90EE8">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13</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4A7D0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Windows Server 2022 License Package</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785312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配套服务器购买Windows server 2022 企业版，独立Windows 虚拟机 （Vsphere 平台下）</w:t>
            </w:r>
          </w:p>
        </w:tc>
      </w:tr>
      <w:tr w14:paraId="3C78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36D59">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14</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00DD1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Redhat Linux Server</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1E7CC4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服务器操作系统</w:t>
            </w:r>
          </w:p>
        </w:tc>
      </w:tr>
      <w:tr w14:paraId="5456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trPr>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7339B">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15</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2932E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Oracle</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3008F72B">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数据库系统 19C</w:t>
            </w:r>
          </w:p>
        </w:tc>
      </w:tr>
      <w:tr w14:paraId="006B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7A371">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16</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B902C">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Vmware虚拟化软件</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center"/>
          </w:tcPr>
          <w:p w14:paraId="37E45082">
            <w:pPr>
              <w:keepNext w:val="0"/>
              <w:keepLines w:val="0"/>
              <w:widowControl/>
              <w:suppressLineNumbers w:val="0"/>
              <w:jc w:val="left"/>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 xml:space="preserve">VMware Cloud Foundation 包含每台主机64核心，每台主机38T vsan容量 </w:t>
            </w:r>
            <w:r>
              <w:rPr>
                <w:rStyle w:val="16"/>
                <w:rFonts w:hint="eastAsia" w:ascii="宋体" w:hAnsi="宋体" w:eastAsia="宋体" w:cs="宋体"/>
                <w:sz w:val="21"/>
                <w:szCs w:val="21"/>
                <w:lang w:val="en-US" w:eastAsia="zh-CN" w:bidi="ar"/>
              </w:rPr>
              <w:t xml:space="preserve"> 总计8台主机的授权（订阅）</w:t>
            </w:r>
          </w:p>
        </w:tc>
      </w:tr>
      <w:tr w14:paraId="5372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7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D2FFE9">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17</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C31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堡垒机</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top"/>
          </w:tcPr>
          <w:p w14:paraId="365395D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1、支持200个资产接入授权，最大可扩展资产数：1000，图形运维最大并发数：200，字符运维最大并发数：350。含3年维保</w:t>
            </w:r>
          </w:p>
        </w:tc>
      </w:tr>
      <w:tr w14:paraId="031F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B17C26">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1E17F0">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top"/>
          </w:tcPr>
          <w:p w14:paraId="78AE25F7">
            <w:pPr>
              <w:keepNext w:val="0"/>
              <w:keepLines w:val="0"/>
              <w:widowControl/>
              <w:suppressLineNumbers w:val="0"/>
              <w:jc w:val="left"/>
              <w:textAlignment w:val="top"/>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▲2、支持在授权基础上自定义访问审批流程，可设置一级或多级审批人，每级审批可指定通过投票数，需逐级审批通过才可最终发起运维操作。（提供产品功能界面截图证明）</w:t>
            </w:r>
          </w:p>
        </w:tc>
      </w:tr>
      <w:tr w14:paraId="6993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2E5111">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0F521">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top"/>
          </w:tcPr>
          <w:p w14:paraId="68F8ECCF">
            <w:pPr>
              <w:keepNext w:val="0"/>
              <w:keepLines w:val="0"/>
              <w:widowControl/>
              <w:suppressLineNumbers w:val="0"/>
              <w:jc w:val="left"/>
              <w:textAlignment w:val="top"/>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▲3、支持web页面直接发起运维，无须安装任何控件，并同时支持调用SecureCRT、Xshell、Putty、WinSCP、FileZilla、RDP等客户端工具实现单点登录，不改变运维人员操作习惯。（提供产品功能界面截图证明）</w:t>
            </w:r>
          </w:p>
        </w:tc>
      </w:tr>
      <w:tr w14:paraId="5410E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57E5D2">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8E1070">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top"/>
          </w:tcPr>
          <w:p w14:paraId="35FC258D">
            <w:pPr>
              <w:keepNext w:val="0"/>
              <w:keepLines w:val="0"/>
              <w:widowControl/>
              <w:suppressLineNumbers w:val="0"/>
              <w:jc w:val="left"/>
              <w:textAlignment w:val="top"/>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▲4、全面支持IPV6，设备自身可以配置IPV6地址供客户端访问，并且支持目标设备配置IPV6地址实现单点登录和审计。（提供产品功能界面截图证明）</w:t>
            </w:r>
          </w:p>
        </w:tc>
      </w:tr>
      <w:tr w14:paraId="159E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E4E18F6">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18</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DDA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日志审计</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top"/>
          </w:tcPr>
          <w:p w14:paraId="04AA77D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1、默认包含主机审计许可证书数量：200，最大可扩展审计主机许可数：450，含3年维保。</w:t>
            </w:r>
          </w:p>
        </w:tc>
      </w:tr>
      <w:tr w14:paraId="33CE8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FDFFB4">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0882A">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top"/>
          </w:tcPr>
          <w:p w14:paraId="428058B8">
            <w:pPr>
              <w:keepNext w:val="0"/>
              <w:keepLines w:val="0"/>
              <w:widowControl/>
              <w:suppressLineNumbers w:val="0"/>
              <w:jc w:val="left"/>
              <w:textAlignment w:val="top"/>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2、支持通过正则、分隔符、json、xml的可视方式进行自定义规则解析，支持对解析结果字段的新增、合并、映射。（提供具备CMA和CNAS标识的检测报告扫描件，注：检验（检测）报告要求具有CMA或CNAS等标识的，若有材料证明相关检测事项不在实施该项检测的机构许可（认可）CMA或CNAS等资质范围或检测范围内的，该检验（检测）报告视为不满足招标文件要求，作负偏离处理。）</w:t>
            </w:r>
          </w:p>
        </w:tc>
      </w:tr>
      <w:tr w14:paraId="5745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7534C8">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D82EEF">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top"/>
          </w:tcPr>
          <w:p w14:paraId="1224D9B3">
            <w:pPr>
              <w:keepNext w:val="0"/>
              <w:keepLines w:val="0"/>
              <w:widowControl/>
              <w:suppressLineNumbers w:val="0"/>
              <w:jc w:val="left"/>
              <w:textAlignment w:val="top"/>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3、支持对单个/多个日志源批量转发，支持定时转发，可通过syslog和kafka方式转发到第三方平台，并且支持转发原始日志和已解析日志的两种日志。（提供具备CMA和CNAS标识的检测报告扫描件，注：检验（检测）报告要求具有CMA或CNAS等标识的，若有材料证明相关检测事项不在实施该项检测的机构许可（认可）CMA或CNAS等资质范围或检测范围内的，该检验（检测）报告视为不满足招标文件要求，作负偏离处理。）</w:t>
            </w:r>
          </w:p>
        </w:tc>
      </w:tr>
      <w:tr w14:paraId="2839B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3"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FF0522">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0C985A">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top"/>
          </w:tcPr>
          <w:p w14:paraId="330C0C20">
            <w:pPr>
              <w:keepNext w:val="0"/>
              <w:keepLines w:val="0"/>
              <w:widowControl/>
              <w:suppressLineNumbers w:val="0"/>
              <w:jc w:val="left"/>
              <w:textAlignment w:val="top"/>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4、支持对每个日志源设置过滤条件规则，自动过滤无用日志，满足根据实际业务需求减少采集对象发送到核心服务器的安全事件数，减少对网络带宽和数据库存储空间的占用。（提供具备CMA和CNAS标识的检测报告扫描件，注：检验（检测）报告要求具有CMA或CNAS等标识的，若有材料证明相关检测事项不在实施该项检测的机构许可（认可）CMA或CNAS等资质范围或检测范围内的，该检验（检测）报告</w:t>
            </w:r>
            <w:r>
              <w:rPr>
                <w:rFonts w:hint="eastAsia" w:ascii="宋体" w:hAnsi="宋体" w:cs="宋体"/>
                <w:b/>
                <w:bCs/>
                <w:i w:val="0"/>
                <w:iCs w:val="0"/>
                <w:color w:val="FF0000"/>
                <w:kern w:val="0"/>
                <w:sz w:val="21"/>
                <w:szCs w:val="21"/>
                <w:u w:val="none"/>
                <w:lang w:val="en-US" w:eastAsia="zh-CN" w:bidi="ar"/>
              </w:rPr>
              <w:t>范围</w:t>
            </w:r>
            <w:r>
              <w:rPr>
                <w:rFonts w:hint="eastAsia" w:ascii="宋体" w:hAnsi="宋体" w:eastAsia="宋体" w:cs="宋体"/>
                <w:b/>
                <w:bCs/>
                <w:i w:val="0"/>
                <w:iCs w:val="0"/>
                <w:color w:val="FF0000"/>
                <w:kern w:val="0"/>
                <w:sz w:val="21"/>
                <w:szCs w:val="21"/>
                <w:u w:val="none"/>
                <w:lang w:val="en-US" w:eastAsia="zh-CN" w:bidi="ar"/>
              </w:rPr>
              <w:t>视为不满足招标文件要求，作负偏离处理。）</w:t>
            </w:r>
          </w:p>
        </w:tc>
      </w:tr>
      <w:tr w14:paraId="4D2E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A273226">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19</w:t>
            </w:r>
          </w:p>
        </w:tc>
        <w:tc>
          <w:tcPr>
            <w:tcW w:w="1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4CE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主机防病毒</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top"/>
          </w:tcPr>
          <w:p w14:paraId="3A558AD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1、代理模式，支持windows 以及 linux的主机防病毒，支持100个主机接入，病毒库更新服务</w:t>
            </w:r>
          </w:p>
        </w:tc>
      </w:tr>
      <w:tr w14:paraId="2125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AF294A">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DEEBE">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top"/>
          </w:tcPr>
          <w:p w14:paraId="2FB69DD0">
            <w:pPr>
              <w:keepNext w:val="0"/>
              <w:keepLines w:val="0"/>
              <w:widowControl/>
              <w:suppressLineNumbers w:val="0"/>
              <w:jc w:val="left"/>
              <w:textAlignment w:val="top"/>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2、提供勒索病毒整体防护体系入口，直观展示最近七天勒索病毒防护效果，包括已处置的恶意文件数量、已拦截可疑行为次数、已阻止的未知进程操作次数、已阻止的暴力破解攻击次数。（提供产品功能界面截图证明）</w:t>
            </w:r>
          </w:p>
        </w:tc>
      </w:tr>
      <w:tr w14:paraId="157E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517474">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9DB76">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top"/>
          </w:tcPr>
          <w:p w14:paraId="2A884601">
            <w:pPr>
              <w:keepNext w:val="0"/>
              <w:keepLines w:val="0"/>
              <w:widowControl/>
              <w:suppressLineNumbers w:val="0"/>
              <w:jc w:val="left"/>
              <w:textAlignment w:val="top"/>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3、支持以可视化形式展现攻击故事，提供可视化的进程树溯源，可直观看出攻击入口、相关操作行为、高危实体文件等信息，协助客户进行事件攻击溯源和研判分析。（提供产品可视化展示攻击链条和路径的截图证明）</w:t>
            </w:r>
          </w:p>
        </w:tc>
      </w:tr>
      <w:tr w14:paraId="300F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2D466A">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42ABA">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top"/>
          </w:tcPr>
          <w:p w14:paraId="632CF1AE">
            <w:pPr>
              <w:keepNext w:val="0"/>
              <w:keepLines w:val="0"/>
              <w:widowControl/>
              <w:suppressLineNumbers w:val="0"/>
              <w:jc w:val="left"/>
              <w:textAlignment w:val="top"/>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4、支持windows服务器RDP远程登录保护，可开启RDP远程登录二次认证，以防止黑客对服务器的入侵；支持Linux服务器SSH远程登录保护，可开启SSH远程登录二次认证，以防止黑客利用弱密码脆弱性对服务器的入侵；支持设置验证码验证或自定义密码验证，支持设置登录认证提示、生效时间段和免二次认证白名单。（提供产品功能界面截图证明）</w:t>
            </w:r>
          </w:p>
        </w:tc>
      </w:tr>
      <w:tr w14:paraId="19A3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0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E4E0B0">
            <w:pPr>
              <w:jc w:val="center"/>
              <w:rPr>
                <w:rFonts w:hint="eastAsia" w:ascii="宋体" w:hAnsi="宋体" w:eastAsia="宋体" w:cs="宋体"/>
                <w:i w:val="0"/>
                <w:iCs w:val="0"/>
                <w:color w:val="0D0D0D"/>
                <w:sz w:val="21"/>
                <w:szCs w:val="21"/>
                <w:u w:val="none"/>
              </w:rPr>
            </w:pPr>
          </w:p>
        </w:tc>
        <w:tc>
          <w:tcPr>
            <w:tcW w:w="1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681E3">
            <w:pPr>
              <w:jc w:val="center"/>
              <w:rPr>
                <w:rFonts w:hint="eastAsia" w:ascii="宋体" w:hAnsi="宋体" w:eastAsia="宋体" w:cs="宋体"/>
                <w:i w:val="0"/>
                <w:iCs w:val="0"/>
                <w:color w:val="000000"/>
                <w:sz w:val="21"/>
                <w:szCs w:val="21"/>
                <w:u w:val="none"/>
              </w:rPr>
            </w:pPr>
          </w:p>
        </w:tc>
        <w:tc>
          <w:tcPr>
            <w:tcW w:w="6070" w:type="dxa"/>
            <w:tcBorders>
              <w:top w:val="single" w:color="auto" w:sz="4" w:space="0"/>
              <w:left w:val="single" w:color="auto" w:sz="4" w:space="0"/>
              <w:bottom w:val="single" w:color="auto" w:sz="4" w:space="0"/>
              <w:right w:val="single" w:color="auto" w:sz="4" w:space="0"/>
            </w:tcBorders>
            <w:shd w:val="clear" w:color="auto" w:fill="auto"/>
            <w:vAlign w:val="top"/>
          </w:tcPr>
          <w:p w14:paraId="4DB10C45">
            <w:pPr>
              <w:keepNext w:val="0"/>
              <w:keepLines w:val="0"/>
              <w:widowControl/>
              <w:suppressLineNumbers w:val="0"/>
              <w:jc w:val="left"/>
              <w:textAlignment w:val="top"/>
              <w:rPr>
                <w:rFonts w:hint="eastAsia" w:ascii="宋体" w:hAnsi="宋体" w:eastAsia="宋体" w:cs="宋体"/>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5、支持基于威胁情报的病毒文件哈希值、行为、域名、网络连接等各项终端系统层、应用层行为数据在全网终端发起搜索，挖掘潜伏攻击，快速定位出全网终端感染该威胁的情况。（提供产品功能界面截图证明）</w:t>
            </w:r>
          </w:p>
        </w:tc>
      </w:tr>
      <w:tr w14:paraId="28AA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6FFD2">
            <w:pPr>
              <w:keepNext w:val="0"/>
              <w:keepLines w:val="0"/>
              <w:widowControl/>
              <w:suppressLineNumbers w:val="0"/>
              <w:jc w:val="center"/>
              <w:textAlignment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D0D0D"/>
                <w:kern w:val="0"/>
                <w:sz w:val="21"/>
                <w:szCs w:val="21"/>
                <w:u w:val="none"/>
                <w:lang w:val="en-US" w:eastAsia="zh-CN" w:bidi="ar"/>
              </w:rPr>
              <w:t>20</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10936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Veeam备份软件</w:t>
            </w:r>
          </w:p>
        </w:tc>
        <w:tc>
          <w:tcPr>
            <w:tcW w:w="6070" w:type="dxa"/>
            <w:tcBorders>
              <w:top w:val="single" w:color="auto" w:sz="4" w:space="0"/>
              <w:left w:val="single" w:color="auto" w:sz="4" w:space="0"/>
              <w:bottom w:val="single" w:color="auto" w:sz="4" w:space="0"/>
              <w:right w:val="single" w:color="auto" w:sz="4" w:space="0"/>
            </w:tcBorders>
            <w:shd w:val="clear" w:color="auto" w:fill="auto"/>
            <w:vAlign w:val="top"/>
          </w:tcPr>
          <w:p w14:paraId="45C75B0C">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Veeam 备份与复制通用许可证。包含企业增强版功能。——1 年期订阅，预付费，并提供 7*24 小时支持。</w:t>
            </w:r>
          </w:p>
        </w:tc>
      </w:tr>
    </w:tbl>
    <w:p w14:paraId="2D552429">
      <w:pPr>
        <w:shd w:val="clear" w:color="auto" w:fill="FFFFFF"/>
        <w:tabs>
          <w:tab w:val="left" w:pos="2908"/>
        </w:tabs>
        <w:spacing w:line="360" w:lineRule="auto"/>
        <w:ind w:firstLine="371" w:firstLineChars="177"/>
        <w:jc w:val="left"/>
        <w:rPr>
          <w:rFonts w:hint="eastAsia" w:ascii="宋体" w:hAnsi="宋体" w:cs="宋体"/>
          <w:szCs w:val="21"/>
        </w:rPr>
      </w:pPr>
    </w:p>
    <w:p w14:paraId="69CD7B7F">
      <w:pPr>
        <w:numPr>
          <w:ilvl w:val="0"/>
          <w:numId w:val="15"/>
        </w:numPr>
        <w:spacing w:line="360" w:lineRule="auto"/>
        <w:ind w:left="0" w:leftChars="0" w:firstLine="51" w:firstLineChars="24"/>
        <w:outlineLvl w:val="2"/>
        <w:rPr>
          <w:rFonts w:hint="eastAsia" w:ascii="宋体" w:hAnsi="宋体" w:eastAsia="宋体" w:cs="宋体"/>
          <w:b/>
          <w:bCs/>
          <w:sz w:val="21"/>
          <w:szCs w:val="21"/>
        </w:rPr>
      </w:pPr>
      <w:r>
        <w:rPr>
          <w:rFonts w:hint="eastAsia" w:ascii="宋体" w:hAnsi="宋体" w:cs="宋体"/>
          <w:b/>
          <w:bCs/>
          <w:sz w:val="21"/>
          <w:szCs w:val="21"/>
          <w:lang w:val="en-US" w:eastAsia="zh-CN"/>
        </w:rPr>
        <w:t>系统集成实施服务</w:t>
      </w:r>
    </w:p>
    <w:tbl>
      <w:tblPr>
        <w:tblStyle w:val="10"/>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204"/>
        <w:gridCol w:w="4820"/>
        <w:gridCol w:w="1686"/>
      </w:tblGrid>
      <w:tr w14:paraId="44A4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21" w:type="pct"/>
          </w:tcPr>
          <w:p w14:paraId="5025DA28">
            <w:pPr>
              <w:spacing w:after="0"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715" w:type="pct"/>
          </w:tcPr>
          <w:p w14:paraId="1B115467">
            <w:pPr>
              <w:spacing w:after="0"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类别</w:t>
            </w:r>
          </w:p>
        </w:tc>
        <w:tc>
          <w:tcPr>
            <w:tcW w:w="2862" w:type="pct"/>
          </w:tcPr>
          <w:p w14:paraId="54F89016">
            <w:pPr>
              <w:spacing w:after="0"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详细内容</w:t>
            </w:r>
          </w:p>
        </w:tc>
        <w:tc>
          <w:tcPr>
            <w:tcW w:w="1001" w:type="pct"/>
          </w:tcPr>
          <w:p w14:paraId="179B82F6">
            <w:pPr>
              <w:spacing w:after="0"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报价上限（元）</w:t>
            </w:r>
          </w:p>
        </w:tc>
      </w:tr>
      <w:tr w14:paraId="3CEAD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trPr>
        <w:tc>
          <w:tcPr>
            <w:tcW w:w="421" w:type="pct"/>
            <w:shd w:val="clear" w:color="auto" w:fill="auto"/>
            <w:vAlign w:val="center"/>
          </w:tcPr>
          <w:p w14:paraId="49A7DDC4">
            <w:pPr>
              <w:spacing w:after="0" w:line="44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15" w:type="pct"/>
            <w:vMerge w:val="restart"/>
            <w:shd w:val="clear" w:color="auto" w:fill="auto"/>
            <w:vAlign w:val="center"/>
          </w:tcPr>
          <w:p w14:paraId="0F796ABB">
            <w:pPr>
              <w:spacing w:after="0" w:line="440" w:lineRule="exact"/>
              <w:jc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集成服务</w:t>
            </w:r>
          </w:p>
        </w:tc>
        <w:tc>
          <w:tcPr>
            <w:tcW w:w="2862" w:type="pct"/>
            <w:shd w:val="clear" w:color="auto" w:fill="auto"/>
            <w:vAlign w:val="center"/>
          </w:tcPr>
          <w:p w14:paraId="3B79185E">
            <w:pPr>
              <w:spacing w:after="0" w:line="440" w:lineRule="exact"/>
              <w:rPr>
                <w:rFonts w:hint="eastAsia" w:ascii="宋体" w:hAnsi="宋体" w:eastAsia="宋体" w:cs="宋体"/>
                <w:sz w:val="21"/>
                <w:szCs w:val="21"/>
              </w:rPr>
            </w:pPr>
            <w:r>
              <w:rPr>
                <w:rFonts w:hint="eastAsia" w:ascii="宋体" w:hAnsi="宋体" w:eastAsia="宋体" w:cs="宋体"/>
                <w:sz w:val="21"/>
                <w:szCs w:val="21"/>
              </w:rPr>
              <w:t>完成硬件设备组装、集成等工作，满足项目总体要求。</w:t>
            </w:r>
          </w:p>
        </w:tc>
        <w:tc>
          <w:tcPr>
            <w:tcW w:w="1001" w:type="pct"/>
            <w:vMerge w:val="restart"/>
          </w:tcPr>
          <w:p w14:paraId="013F1CC4">
            <w:pPr>
              <w:spacing w:after="0" w:line="440" w:lineRule="exact"/>
              <w:rPr>
                <w:rFonts w:hint="eastAsia" w:ascii="宋体" w:hAnsi="宋体" w:eastAsia="宋体" w:cs="宋体"/>
                <w:sz w:val="21"/>
                <w:szCs w:val="21"/>
              </w:rPr>
            </w:pPr>
            <w:r>
              <w:rPr>
                <w:rFonts w:hint="eastAsia" w:ascii="宋体" w:hAnsi="宋体" w:eastAsia="宋体" w:cs="宋体"/>
                <w:sz w:val="21"/>
                <w:szCs w:val="21"/>
              </w:rPr>
              <w:t>按照《信息系统工程造价指导（2019版）》执行</w:t>
            </w:r>
          </w:p>
        </w:tc>
      </w:tr>
      <w:tr w14:paraId="620E4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trPr>
        <w:tc>
          <w:tcPr>
            <w:tcW w:w="421" w:type="pct"/>
            <w:shd w:val="clear" w:color="auto" w:fill="auto"/>
            <w:vAlign w:val="center"/>
          </w:tcPr>
          <w:p w14:paraId="6B626163">
            <w:pPr>
              <w:spacing w:after="0" w:line="44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715" w:type="pct"/>
            <w:vMerge w:val="continue"/>
            <w:shd w:val="clear" w:color="auto" w:fill="auto"/>
            <w:vAlign w:val="center"/>
          </w:tcPr>
          <w:p w14:paraId="2E42A4BF">
            <w:pPr>
              <w:spacing w:after="0" w:line="440" w:lineRule="exact"/>
              <w:jc w:val="center"/>
              <w:rPr>
                <w:rFonts w:hint="eastAsia" w:ascii="宋体" w:hAnsi="宋体" w:eastAsia="宋体" w:cs="宋体"/>
                <w:b/>
                <w:bCs/>
                <w:sz w:val="21"/>
                <w:szCs w:val="21"/>
              </w:rPr>
            </w:pPr>
          </w:p>
        </w:tc>
        <w:tc>
          <w:tcPr>
            <w:tcW w:w="2862" w:type="pct"/>
            <w:shd w:val="clear" w:color="auto" w:fill="auto"/>
            <w:vAlign w:val="center"/>
          </w:tcPr>
          <w:p w14:paraId="35FD5DBD">
            <w:pPr>
              <w:spacing w:after="0" w:line="440" w:lineRule="exact"/>
              <w:rPr>
                <w:rFonts w:hint="eastAsia" w:ascii="宋体" w:hAnsi="宋体" w:eastAsia="宋体" w:cs="宋体"/>
                <w:sz w:val="21"/>
                <w:szCs w:val="21"/>
              </w:rPr>
            </w:pPr>
            <w:r>
              <w:rPr>
                <w:rFonts w:hint="eastAsia" w:ascii="宋体" w:hAnsi="宋体" w:eastAsia="宋体" w:cs="宋体"/>
                <w:sz w:val="21"/>
                <w:szCs w:val="21"/>
              </w:rPr>
              <w:t>完成整体系统集成工作，满足深圳市新质生产力赋能平台项目全系统联合测试要求。</w:t>
            </w:r>
          </w:p>
        </w:tc>
        <w:tc>
          <w:tcPr>
            <w:tcW w:w="1001" w:type="pct"/>
            <w:vMerge w:val="continue"/>
          </w:tcPr>
          <w:p w14:paraId="26F8136C">
            <w:pPr>
              <w:spacing w:after="0" w:line="440" w:lineRule="exact"/>
              <w:rPr>
                <w:rFonts w:hint="eastAsia" w:ascii="宋体" w:hAnsi="宋体" w:eastAsia="宋体" w:cs="宋体"/>
                <w:sz w:val="21"/>
                <w:szCs w:val="21"/>
              </w:rPr>
            </w:pPr>
          </w:p>
        </w:tc>
      </w:tr>
      <w:tr w14:paraId="6095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trPr>
        <w:tc>
          <w:tcPr>
            <w:tcW w:w="421" w:type="pct"/>
            <w:shd w:val="clear" w:color="auto" w:fill="auto"/>
            <w:vAlign w:val="center"/>
          </w:tcPr>
          <w:p w14:paraId="1B924EDD">
            <w:pPr>
              <w:spacing w:after="0" w:line="44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15" w:type="pct"/>
            <w:vMerge w:val="continue"/>
            <w:shd w:val="clear" w:color="auto" w:fill="auto"/>
            <w:vAlign w:val="center"/>
          </w:tcPr>
          <w:p w14:paraId="6EFB48C2">
            <w:pPr>
              <w:spacing w:after="0" w:line="440" w:lineRule="exact"/>
              <w:jc w:val="center"/>
              <w:rPr>
                <w:rFonts w:hint="eastAsia" w:ascii="宋体" w:hAnsi="宋体" w:eastAsia="宋体" w:cs="宋体"/>
                <w:b/>
                <w:bCs/>
                <w:sz w:val="21"/>
                <w:szCs w:val="21"/>
              </w:rPr>
            </w:pPr>
          </w:p>
        </w:tc>
        <w:tc>
          <w:tcPr>
            <w:tcW w:w="2862" w:type="pct"/>
            <w:shd w:val="clear" w:color="auto" w:fill="auto"/>
            <w:vAlign w:val="center"/>
          </w:tcPr>
          <w:p w14:paraId="620F4F7C">
            <w:pPr>
              <w:spacing w:after="0" w:line="440" w:lineRule="exact"/>
              <w:rPr>
                <w:rFonts w:hint="eastAsia" w:ascii="宋体" w:hAnsi="宋体" w:eastAsia="宋体" w:cs="宋体"/>
                <w:sz w:val="21"/>
                <w:szCs w:val="21"/>
              </w:rPr>
            </w:pPr>
            <w:r>
              <w:rPr>
                <w:rFonts w:hint="eastAsia" w:ascii="宋体" w:hAnsi="宋体" w:eastAsia="宋体" w:cs="宋体"/>
                <w:sz w:val="21"/>
                <w:szCs w:val="21"/>
              </w:rPr>
              <w:t>完成</w:t>
            </w:r>
            <w:r>
              <w:rPr>
                <w:rFonts w:hint="eastAsia" w:ascii="宋体" w:hAnsi="宋体" w:eastAsia="宋体" w:cs="宋体"/>
                <w:sz w:val="21"/>
                <w:szCs w:val="21"/>
                <w:lang w:eastAsia="zh-CN"/>
              </w:rPr>
              <w:t>时限</w:t>
            </w:r>
            <w:r>
              <w:rPr>
                <w:rFonts w:hint="eastAsia" w:ascii="宋体" w:hAnsi="宋体" w:eastAsia="宋体" w:cs="宋体"/>
                <w:sz w:val="21"/>
                <w:szCs w:val="21"/>
              </w:rPr>
              <w:t>项目总体要求所需的施工，包括但不限于布线、组网、联调、测试等工作。</w:t>
            </w:r>
          </w:p>
        </w:tc>
        <w:tc>
          <w:tcPr>
            <w:tcW w:w="1001" w:type="pct"/>
            <w:vMerge w:val="continue"/>
          </w:tcPr>
          <w:p w14:paraId="73A8B0FD">
            <w:pPr>
              <w:spacing w:after="0" w:line="440" w:lineRule="exact"/>
              <w:rPr>
                <w:rFonts w:hint="eastAsia" w:ascii="宋体" w:hAnsi="宋体" w:eastAsia="宋体" w:cs="宋体"/>
                <w:sz w:val="21"/>
                <w:szCs w:val="21"/>
              </w:rPr>
            </w:pPr>
          </w:p>
        </w:tc>
      </w:tr>
    </w:tbl>
    <w:p w14:paraId="2886F30E">
      <w:pPr>
        <w:numPr>
          <w:ilvl w:val="0"/>
          <w:numId w:val="0"/>
        </w:numPr>
        <w:spacing w:line="360" w:lineRule="auto"/>
        <w:outlineLvl w:val="9"/>
        <w:rPr>
          <w:rFonts w:hint="eastAsia" w:ascii="宋体" w:hAnsi="宋体" w:eastAsia="宋体" w:cs="宋体"/>
          <w:b/>
          <w:bCs/>
          <w:sz w:val="21"/>
          <w:szCs w:val="21"/>
        </w:rPr>
      </w:pPr>
    </w:p>
    <w:p w14:paraId="6F40DDFF">
      <w:pPr>
        <w:shd w:val="clear" w:color="auto" w:fill="FFFFFF"/>
        <w:tabs>
          <w:tab w:val="left" w:pos="2908"/>
        </w:tabs>
        <w:spacing w:line="360" w:lineRule="auto"/>
        <w:jc w:val="left"/>
        <w:outlineLvl w:val="1"/>
        <w:rPr>
          <w:rFonts w:hint="eastAsia" w:ascii="宋体" w:hAnsi="宋体" w:cs="宋体"/>
          <w:b/>
          <w:bCs/>
          <w:szCs w:val="21"/>
        </w:rPr>
      </w:pPr>
      <w:r>
        <w:rPr>
          <w:rFonts w:hint="eastAsia" w:ascii="宋体" w:hAnsi="宋体" w:cs="宋体"/>
          <w:b/>
          <w:bCs/>
          <w:szCs w:val="21"/>
        </w:rPr>
        <w:t>五、商务要求</w:t>
      </w:r>
    </w:p>
    <w:p w14:paraId="5ECB7709">
      <w:pPr>
        <w:shd w:val="clear" w:color="auto" w:fill="FFFFFF"/>
        <w:tabs>
          <w:tab w:val="left" w:pos="2908"/>
        </w:tabs>
        <w:spacing w:line="360" w:lineRule="auto"/>
        <w:jc w:val="left"/>
        <w:rPr>
          <w:rFonts w:hint="eastAsia" w:ascii="宋体" w:hAnsi="宋体" w:cs="宋体"/>
          <w:szCs w:val="21"/>
          <w:lang w:val="zh-CN"/>
        </w:rPr>
      </w:pPr>
      <w:r>
        <w:rPr>
          <w:rFonts w:hint="eastAsia" w:ascii="宋体" w:hAnsi="宋体" w:cs="宋体"/>
          <w:szCs w:val="21"/>
        </w:rPr>
        <w:t>1、</w:t>
      </w:r>
      <w:r>
        <w:rPr>
          <w:rFonts w:hint="eastAsia" w:ascii="宋体" w:hAnsi="宋体" w:cs="宋体"/>
          <w:szCs w:val="21"/>
          <w:lang w:val="zh-CN"/>
        </w:rPr>
        <w:t>安装</w:t>
      </w:r>
      <w:r>
        <w:rPr>
          <w:rFonts w:hint="eastAsia" w:ascii="宋体" w:hAnsi="宋体" w:cs="宋体"/>
          <w:szCs w:val="21"/>
        </w:rPr>
        <w:t>调试</w:t>
      </w:r>
      <w:r>
        <w:rPr>
          <w:rFonts w:hint="eastAsia" w:ascii="宋体" w:hAnsi="宋体" w:cs="宋体"/>
          <w:szCs w:val="21"/>
          <w:lang w:val="zh-CN"/>
        </w:rPr>
        <w:t>：</w:t>
      </w:r>
      <w:r>
        <w:rPr>
          <w:rFonts w:hint="eastAsia" w:ascii="宋体" w:hAnsi="宋体" w:cs="宋体"/>
          <w:szCs w:val="21"/>
        </w:rPr>
        <w:t>应委派</w:t>
      </w:r>
      <w:r>
        <w:rPr>
          <w:rFonts w:hint="eastAsia" w:ascii="宋体" w:hAnsi="宋体" w:cs="宋体"/>
          <w:szCs w:val="21"/>
          <w:lang w:val="zh-CN"/>
        </w:rPr>
        <w:t>专业技术人员</w:t>
      </w:r>
      <w:r>
        <w:rPr>
          <w:rFonts w:hint="eastAsia" w:ascii="宋体" w:hAnsi="宋体" w:cs="宋体"/>
          <w:szCs w:val="21"/>
        </w:rPr>
        <w:t>按</w:t>
      </w:r>
      <w:r>
        <w:rPr>
          <w:rFonts w:hint="eastAsia" w:ascii="宋体" w:hAnsi="宋体" w:cs="宋体"/>
          <w:szCs w:val="21"/>
          <w:lang w:val="en-US" w:eastAsia="zh-CN"/>
        </w:rPr>
        <w:t>使用方</w:t>
      </w:r>
      <w:r>
        <w:rPr>
          <w:rFonts w:hint="eastAsia" w:ascii="宋体" w:hAnsi="宋体" w:cs="宋体"/>
          <w:szCs w:val="21"/>
        </w:rPr>
        <w:t>要求到</w:t>
      </w:r>
      <w:r>
        <w:rPr>
          <w:rFonts w:hint="eastAsia" w:ascii="宋体" w:hAnsi="宋体" w:cs="宋体"/>
          <w:szCs w:val="21"/>
          <w:lang w:val="zh-CN"/>
        </w:rPr>
        <w:t>现场安装和调试</w:t>
      </w:r>
      <w:r>
        <w:rPr>
          <w:rFonts w:hint="eastAsia" w:ascii="宋体" w:hAnsi="宋体" w:cs="宋体"/>
          <w:szCs w:val="21"/>
        </w:rPr>
        <w:t>设备</w:t>
      </w:r>
      <w:r>
        <w:rPr>
          <w:rFonts w:hint="eastAsia" w:ascii="宋体" w:hAnsi="宋体" w:cs="宋体"/>
          <w:szCs w:val="21"/>
          <w:lang w:val="zh-CN"/>
        </w:rPr>
        <w:t>及有关软件，</w:t>
      </w:r>
      <w:r>
        <w:rPr>
          <w:rFonts w:hint="eastAsia" w:ascii="宋体" w:hAnsi="宋体" w:cs="宋体"/>
          <w:szCs w:val="21"/>
        </w:rPr>
        <w:t>提供技术指导服务</w:t>
      </w:r>
      <w:r>
        <w:rPr>
          <w:rFonts w:hint="eastAsia" w:ascii="宋体" w:hAnsi="宋体" w:cs="宋体"/>
          <w:szCs w:val="21"/>
          <w:lang w:val="zh-CN"/>
        </w:rPr>
        <w:t>。</w:t>
      </w:r>
    </w:p>
    <w:p w14:paraId="39F2FF15">
      <w:pPr>
        <w:shd w:val="clear" w:color="auto" w:fill="FFFFFF"/>
        <w:tabs>
          <w:tab w:val="left" w:pos="2908"/>
        </w:tabs>
        <w:spacing w:line="360" w:lineRule="auto"/>
        <w:jc w:val="left"/>
        <w:rPr>
          <w:rFonts w:hint="eastAsia" w:ascii="宋体" w:hAnsi="宋体" w:cs="宋体"/>
          <w:szCs w:val="21"/>
          <w:lang w:val="zh-CN"/>
        </w:rPr>
      </w:pPr>
      <w:r>
        <w:rPr>
          <w:rFonts w:hint="eastAsia" w:ascii="宋体" w:hAnsi="宋体" w:cs="宋体"/>
          <w:szCs w:val="21"/>
        </w:rPr>
        <w:t>2、质保期：</w:t>
      </w:r>
      <w:r>
        <w:rPr>
          <w:rFonts w:hint="eastAsia" w:ascii="宋体" w:hAnsi="宋体" w:cs="宋体"/>
          <w:szCs w:val="21"/>
          <w:lang w:val="zh-CN"/>
        </w:rPr>
        <w:t>本项目保修期为验收合格之日起三年，至项目通过验收后起算。在保修期内，非人为故障的出现问题的货物，必须承诺在收到</w:t>
      </w:r>
      <w:r>
        <w:rPr>
          <w:rFonts w:hint="eastAsia" w:ascii="宋体" w:hAnsi="宋体" w:cs="宋体"/>
          <w:szCs w:val="21"/>
          <w:lang w:val="en-US" w:eastAsia="zh-CN"/>
        </w:rPr>
        <w:t>使用方</w:t>
      </w:r>
      <w:r>
        <w:rPr>
          <w:rFonts w:hint="eastAsia" w:ascii="宋体" w:hAnsi="宋体" w:cs="宋体"/>
          <w:szCs w:val="21"/>
          <w:lang w:val="zh-CN"/>
        </w:rPr>
        <w:t>通知</w:t>
      </w:r>
      <w:r>
        <w:rPr>
          <w:rFonts w:hint="eastAsia" w:ascii="宋体" w:hAnsi="宋体" w:cs="宋体"/>
          <w:szCs w:val="21"/>
          <w:lang w:val="en-US" w:eastAsia="zh-CN"/>
        </w:rPr>
        <w:t>及时</w:t>
      </w:r>
      <w:r>
        <w:rPr>
          <w:rFonts w:hint="eastAsia" w:ascii="宋体" w:hAnsi="宋体" w:cs="宋体"/>
          <w:szCs w:val="21"/>
          <w:lang w:val="zh-CN"/>
        </w:rPr>
        <w:t>响应，</w:t>
      </w:r>
      <w:r>
        <w:rPr>
          <w:rFonts w:hint="eastAsia" w:ascii="宋体" w:hAnsi="宋体" w:cs="宋体"/>
          <w:szCs w:val="21"/>
          <w:lang w:val="en-US" w:eastAsia="zh-CN"/>
        </w:rPr>
        <w:t>及时</w:t>
      </w:r>
      <w:r>
        <w:rPr>
          <w:rFonts w:hint="eastAsia" w:ascii="宋体" w:hAnsi="宋体" w:cs="宋体"/>
          <w:szCs w:val="21"/>
          <w:lang w:val="zh-CN"/>
        </w:rPr>
        <w:t>到场，</w:t>
      </w:r>
      <w:r>
        <w:rPr>
          <w:rFonts w:hint="eastAsia" w:ascii="宋体" w:hAnsi="宋体" w:cs="宋体"/>
          <w:szCs w:val="21"/>
          <w:lang w:val="en-US" w:eastAsia="zh-CN"/>
        </w:rPr>
        <w:t>及时</w:t>
      </w:r>
      <w:r>
        <w:rPr>
          <w:rFonts w:hint="eastAsia" w:ascii="宋体" w:hAnsi="宋体" w:cs="宋体"/>
          <w:szCs w:val="21"/>
          <w:lang w:val="zh-CN"/>
        </w:rPr>
        <w:t>解决问题，若不能解决问题，必须提供满足整套系统匹配使用的备用货物给予</w:t>
      </w:r>
      <w:r>
        <w:rPr>
          <w:rFonts w:hint="eastAsia" w:ascii="宋体" w:hAnsi="宋体" w:cs="宋体"/>
          <w:szCs w:val="21"/>
          <w:lang w:val="en-US" w:eastAsia="zh-CN"/>
        </w:rPr>
        <w:t>使用方</w:t>
      </w:r>
      <w:r>
        <w:rPr>
          <w:rFonts w:hint="eastAsia" w:ascii="宋体" w:hAnsi="宋体" w:cs="宋体"/>
          <w:szCs w:val="21"/>
          <w:lang w:val="zh-CN"/>
        </w:rPr>
        <w:t>使用，将故障产品维修完毕，并交还</w:t>
      </w:r>
      <w:r>
        <w:rPr>
          <w:rFonts w:hint="eastAsia" w:ascii="宋体" w:hAnsi="宋体" w:cs="宋体"/>
          <w:szCs w:val="21"/>
          <w:lang w:val="en-US" w:eastAsia="zh-CN"/>
        </w:rPr>
        <w:t>使用方</w:t>
      </w:r>
      <w:r>
        <w:rPr>
          <w:rFonts w:hint="eastAsia" w:ascii="宋体" w:hAnsi="宋体" w:cs="宋体"/>
          <w:szCs w:val="21"/>
          <w:lang w:val="zh-CN"/>
        </w:rPr>
        <w:t>。</w:t>
      </w:r>
    </w:p>
    <w:p w14:paraId="5581E1ED">
      <w:pPr>
        <w:shd w:val="clear" w:color="auto" w:fill="FFFFFF"/>
        <w:tabs>
          <w:tab w:val="left" w:pos="2908"/>
        </w:tabs>
        <w:spacing w:line="360" w:lineRule="auto"/>
        <w:jc w:val="left"/>
        <w:rPr>
          <w:rFonts w:hint="eastAsia" w:ascii="宋体" w:hAnsi="宋体" w:cs="宋体"/>
          <w:szCs w:val="21"/>
          <w:lang w:val="zh-CN"/>
        </w:rPr>
      </w:pPr>
      <w:r>
        <w:rPr>
          <w:rFonts w:hint="eastAsia" w:ascii="宋体" w:hAnsi="宋体" w:cs="宋体"/>
          <w:szCs w:val="21"/>
        </w:rPr>
        <w:t>3、日常</w:t>
      </w:r>
      <w:r>
        <w:rPr>
          <w:rFonts w:hint="eastAsia" w:ascii="宋体" w:hAnsi="宋体" w:cs="宋体"/>
          <w:szCs w:val="21"/>
          <w:lang w:val="zh-CN"/>
        </w:rPr>
        <w:t>维护</w:t>
      </w:r>
      <w:r>
        <w:rPr>
          <w:rFonts w:hint="eastAsia" w:ascii="宋体" w:hAnsi="宋体" w:cs="宋体"/>
          <w:szCs w:val="21"/>
        </w:rPr>
        <w:t>保养</w:t>
      </w:r>
      <w:r>
        <w:rPr>
          <w:rFonts w:hint="eastAsia" w:ascii="宋体" w:hAnsi="宋体" w:cs="宋体"/>
          <w:szCs w:val="21"/>
          <w:lang w:val="zh-CN"/>
        </w:rPr>
        <w:t>：</w:t>
      </w:r>
      <w:r>
        <w:rPr>
          <w:rFonts w:hint="eastAsia" w:ascii="宋体" w:hAnsi="宋体" w:cs="宋体"/>
          <w:szCs w:val="21"/>
        </w:rPr>
        <w:t>承诺应</w:t>
      </w:r>
      <w:r>
        <w:rPr>
          <w:rFonts w:hint="eastAsia" w:ascii="宋体" w:hAnsi="宋体" w:cs="宋体"/>
          <w:szCs w:val="21"/>
          <w:lang w:val="zh-CN"/>
        </w:rPr>
        <w:t>在</w:t>
      </w:r>
      <w:r>
        <w:rPr>
          <w:rFonts w:hint="eastAsia" w:ascii="宋体" w:hAnsi="宋体" w:cs="宋体"/>
          <w:szCs w:val="21"/>
        </w:rPr>
        <w:t>项目设有</w:t>
      </w:r>
      <w:r>
        <w:rPr>
          <w:rFonts w:hint="eastAsia" w:ascii="宋体" w:hAnsi="宋体" w:cs="宋体"/>
          <w:szCs w:val="21"/>
          <w:lang w:val="zh-CN"/>
        </w:rPr>
        <w:t>售后维修服务机构，有专职的工程</w:t>
      </w:r>
      <w:r>
        <w:rPr>
          <w:rFonts w:hint="eastAsia" w:ascii="宋体" w:hAnsi="宋体" w:cs="宋体"/>
          <w:szCs w:val="21"/>
        </w:rPr>
        <w:t>人员</w:t>
      </w:r>
      <w:r>
        <w:rPr>
          <w:rFonts w:hint="eastAsia" w:ascii="宋体" w:hAnsi="宋体" w:cs="宋体"/>
          <w:szCs w:val="21"/>
          <w:lang w:val="zh-CN"/>
        </w:rPr>
        <w:t>，提供维修</w:t>
      </w:r>
      <w:r>
        <w:rPr>
          <w:rFonts w:hint="eastAsia" w:ascii="宋体" w:hAnsi="宋体" w:cs="宋体"/>
          <w:szCs w:val="21"/>
        </w:rPr>
        <w:t>保养</w:t>
      </w:r>
      <w:r>
        <w:rPr>
          <w:rFonts w:hint="eastAsia" w:ascii="宋体" w:hAnsi="宋体" w:cs="宋体"/>
          <w:szCs w:val="21"/>
          <w:lang w:val="zh-CN"/>
        </w:rPr>
        <w:t>服务和技术支持。若</w:t>
      </w:r>
      <w:r>
        <w:rPr>
          <w:rFonts w:hint="eastAsia" w:ascii="宋体" w:hAnsi="宋体" w:cs="宋体"/>
          <w:szCs w:val="21"/>
          <w:lang w:val="en-US" w:eastAsia="zh-CN"/>
        </w:rPr>
        <w:t>使用方</w:t>
      </w:r>
      <w:r>
        <w:rPr>
          <w:rFonts w:hint="eastAsia" w:ascii="宋体" w:hAnsi="宋体" w:cs="宋体"/>
          <w:szCs w:val="21"/>
          <w:lang w:val="zh-CN"/>
        </w:rPr>
        <w:t>遇故障后求援，需要保证</w:t>
      </w:r>
      <w:r>
        <w:rPr>
          <w:rFonts w:hint="eastAsia" w:ascii="宋体" w:hAnsi="宋体" w:cs="宋体"/>
          <w:szCs w:val="21"/>
          <w:lang w:val="en-US" w:eastAsia="zh-CN"/>
        </w:rPr>
        <w:t>及时</w:t>
      </w:r>
      <w:r>
        <w:rPr>
          <w:rFonts w:hint="eastAsia" w:ascii="宋体" w:hAnsi="宋体" w:cs="宋体"/>
          <w:szCs w:val="21"/>
          <w:lang w:val="zh-CN"/>
        </w:rPr>
        <w:t>有专人回复。若维修工程电话不能解决故障，即使有特殊情况，需要保证在2～3个工作日内派到</w:t>
      </w:r>
      <w:r>
        <w:rPr>
          <w:rFonts w:hint="eastAsia" w:ascii="宋体" w:hAnsi="宋体" w:cs="宋体"/>
          <w:szCs w:val="21"/>
        </w:rPr>
        <w:t>专职人员</w:t>
      </w:r>
      <w:r>
        <w:rPr>
          <w:rFonts w:hint="eastAsia" w:ascii="宋体" w:hAnsi="宋体" w:cs="宋体"/>
          <w:szCs w:val="21"/>
          <w:lang w:val="zh-CN"/>
        </w:rPr>
        <w:t>现场处理。每次维修最多不超过</w:t>
      </w:r>
      <w:r>
        <w:rPr>
          <w:rFonts w:hint="eastAsia" w:ascii="宋体" w:hAnsi="宋体" w:cs="宋体"/>
          <w:szCs w:val="21"/>
          <w:lang w:val="en-US" w:eastAsia="zh-CN"/>
        </w:rPr>
        <w:t>5</w:t>
      </w:r>
      <w:r>
        <w:rPr>
          <w:rFonts w:hint="eastAsia" w:ascii="宋体" w:hAnsi="宋体" w:cs="宋体"/>
          <w:szCs w:val="21"/>
          <w:lang w:val="zh-CN"/>
        </w:rPr>
        <w:t>个工作日完成。能快捷地提供相应零配件</w:t>
      </w:r>
      <w:r>
        <w:rPr>
          <w:rFonts w:hint="eastAsia" w:ascii="宋体" w:hAnsi="宋体" w:cs="宋体"/>
          <w:szCs w:val="21"/>
        </w:rPr>
        <w:t>以供维修保养使用</w:t>
      </w:r>
      <w:r>
        <w:rPr>
          <w:rFonts w:hint="eastAsia" w:ascii="宋体" w:hAnsi="宋体" w:cs="宋体"/>
          <w:szCs w:val="21"/>
          <w:lang w:val="zh-CN"/>
        </w:rPr>
        <w:t>。</w:t>
      </w:r>
    </w:p>
    <w:p w14:paraId="25095926">
      <w:pPr>
        <w:shd w:val="clear" w:color="auto" w:fill="FFFFFF"/>
        <w:tabs>
          <w:tab w:val="left" w:pos="2908"/>
        </w:tabs>
        <w:spacing w:line="360" w:lineRule="auto"/>
        <w:jc w:val="left"/>
        <w:rPr>
          <w:rFonts w:hint="eastAsia" w:ascii="宋体" w:hAnsi="宋体" w:cs="宋体"/>
          <w:b/>
          <w:bCs/>
          <w:szCs w:val="21"/>
        </w:rPr>
      </w:pPr>
      <w:r>
        <w:rPr>
          <w:rFonts w:hint="eastAsia" w:ascii="宋体" w:hAnsi="宋体" w:cs="宋体"/>
          <w:szCs w:val="21"/>
        </w:rPr>
        <w:t>4、</w:t>
      </w:r>
      <w:r>
        <w:rPr>
          <w:rFonts w:hint="eastAsia" w:ascii="宋体" w:hAnsi="宋体" w:cs="宋体"/>
          <w:szCs w:val="21"/>
          <w:lang w:eastAsia="zh-CN"/>
        </w:rPr>
        <w:t>其他</w:t>
      </w:r>
      <w:r>
        <w:rPr>
          <w:rFonts w:hint="eastAsia" w:ascii="宋体" w:hAnsi="宋体" w:cs="宋体"/>
          <w:szCs w:val="21"/>
        </w:rPr>
        <w:t>要求</w:t>
      </w:r>
      <w:r>
        <w:rPr>
          <w:rFonts w:hint="eastAsia" w:ascii="宋体" w:hAnsi="宋体" w:cs="宋体"/>
          <w:szCs w:val="21"/>
          <w:lang w:val="zh-CN"/>
        </w:rPr>
        <w:t>：</w:t>
      </w:r>
      <w:r>
        <w:rPr>
          <w:rFonts w:hint="eastAsia" w:ascii="宋体" w:hAnsi="宋体" w:cs="宋体"/>
          <w:szCs w:val="21"/>
        </w:rPr>
        <w:t>在质保期</w:t>
      </w:r>
      <w:r>
        <w:rPr>
          <w:rFonts w:hint="eastAsia" w:ascii="宋体" w:hAnsi="宋体" w:cs="宋体"/>
          <w:szCs w:val="21"/>
          <w:lang w:val="zh-CN"/>
        </w:rPr>
        <w:t>内</w:t>
      </w:r>
      <w:r>
        <w:rPr>
          <w:rFonts w:hint="eastAsia" w:ascii="宋体" w:hAnsi="宋体" w:cs="宋体"/>
          <w:szCs w:val="21"/>
        </w:rPr>
        <w:t>需</w:t>
      </w:r>
      <w:r>
        <w:rPr>
          <w:rFonts w:hint="eastAsia" w:ascii="宋体" w:hAnsi="宋体" w:cs="宋体"/>
          <w:szCs w:val="21"/>
          <w:lang w:val="zh-CN"/>
        </w:rPr>
        <w:t>安排相关技术人员对</w:t>
      </w:r>
      <w:r>
        <w:rPr>
          <w:rFonts w:hint="eastAsia" w:ascii="宋体" w:hAnsi="宋体" w:cs="宋体"/>
          <w:szCs w:val="21"/>
        </w:rPr>
        <w:t>所</w:t>
      </w:r>
      <w:r>
        <w:rPr>
          <w:rFonts w:hint="eastAsia" w:ascii="宋体" w:hAnsi="宋体" w:cs="宋体"/>
          <w:szCs w:val="21"/>
          <w:lang w:val="en-US" w:eastAsia="zh-CN"/>
        </w:rPr>
        <w:t>提供</w:t>
      </w:r>
      <w:r>
        <w:rPr>
          <w:rFonts w:hint="eastAsia" w:ascii="宋体" w:hAnsi="宋体" w:cs="宋体"/>
          <w:szCs w:val="21"/>
        </w:rPr>
        <w:t>的设备产品</w:t>
      </w:r>
      <w:r>
        <w:rPr>
          <w:rFonts w:hint="eastAsia" w:ascii="宋体" w:hAnsi="宋体" w:cs="宋体"/>
          <w:szCs w:val="21"/>
          <w:lang w:val="zh-CN"/>
        </w:rPr>
        <w:t>进行</w:t>
      </w:r>
      <w:r>
        <w:rPr>
          <w:rFonts w:hint="eastAsia" w:ascii="宋体" w:hAnsi="宋体" w:cs="宋体"/>
          <w:szCs w:val="21"/>
        </w:rPr>
        <w:t>维护</w:t>
      </w:r>
      <w:r>
        <w:rPr>
          <w:rFonts w:hint="eastAsia" w:ascii="宋体" w:hAnsi="宋体" w:cs="宋体"/>
          <w:szCs w:val="21"/>
          <w:lang w:val="zh-CN"/>
        </w:rPr>
        <w:t>保养，保养的内容按照</w:t>
      </w:r>
      <w:r>
        <w:rPr>
          <w:rFonts w:hint="eastAsia" w:ascii="宋体" w:hAnsi="宋体" w:cs="宋体"/>
          <w:szCs w:val="21"/>
          <w:lang w:val="en-US" w:eastAsia="zh-CN"/>
        </w:rPr>
        <w:t>使用方</w:t>
      </w:r>
      <w:r>
        <w:rPr>
          <w:rFonts w:hint="eastAsia" w:ascii="宋体" w:hAnsi="宋体" w:cs="宋体"/>
          <w:szCs w:val="21"/>
          <w:lang w:val="zh-CN"/>
        </w:rPr>
        <w:t xml:space="preserve">提出的要求进行。 </w:t>
      </w:r>
    </w:p>
    <w:p w14:paraId="551B4A41">
      <w:pPr>
        <w:shd w:val="clear" w:color="auto" w:fill="FFFFFF"/>
        <w:tabs>
          <w:tab w:val="left" w:pos="2908"/>
        </w:tabs>
        <w:spacing w:line="360" w:lineRule="auto"/>
        <w:jc w:val="left"/>
        <w:outlineLvl w:val="1"/>
        <w:rPr>
          <w:rFonts w:ascii="宋体" w:hAnsi="宋体" w:cs="宋体"/>
          <w:b/>
          <w:bCs/>
          <w:szCs w:val="21"/>
        </w:rPr>
      </w:pPr>
      <w:r>
        <w:rPr>
          <w:rFonts w:hint="eastAsia" w:ascii="宋体" w:hAnsi="宋体" w:cs="宋体"/>
          <w:b/>
          <w:bCs/>
          <w:szCs w:val="21"/>
        </w:rPr>
        <w:t>六、其他要求</w:t>
      </w:r>
    </w:p>
    <w:p w14:paraId="3A201DAA">
      <w:pPr>
        <w:numPr>
          <w:ilvl w:val="0"/>
          <w:numId w:val="16"/>
        </w:numPr>
        <w:spacing w:line="360" w:lineRule="auto"/>
        <w:ind w:left="0" w:leftChars="0" w:firstLine="51" w:firstLineChars="24"/>
        <w:outlineLvl w:val="2"/>
        <w:rPr>
          <w:rFonts w:hint="eastAsia" w:ascii="宋体" w:hAnsi="宋体" w:cs="宋体"/>
          <w:b/>
          <w:bCs/>
          <w:sz w:val="21"/>
          <w:szCs w:val="21"/>
          <w:lang w:val="en-US" w:eastAsia="zh-CN"/>
        </w:rPr>
      </w:pPr>
      <w:r>
        <w:rPr>
          <w:rFonts w:hint="eastAsia" w:ascii="宋体" w:hAnsi="宋体" w:cs="宋体"/>
          <w:b/>
          <w:bCs/>
          <w:sz w:val="21"/>
          <w:szCs w:val="21"/>
          <w:lang w:val="en-US" w:eastAsia="zh-CN"/>
        </w:rPr>
        <w:t>包装和运输</w:t>
      </w:r>
    </w:p>
    <w:p w14:paraId="68248D76">
      <w:pPr>
        <w:shd w:val="clear" w:color="auto" w:fill="FFFFFF"/>
        <w:tabs>
          <w:tab w:val="left" w:pos="2908"/>
        </w:tabs>
        <w:spacing w:line="360" w:lineRule="auto"/>
        <w:jc w:val="left"/>
        <w:rPr>
          <w:rFonts w:hint="eastAsia" w:ascii="宋体" w:hAnsi="宋体" w:cs="宋体"/>
          <w:szCs w:val="21"/>
        </w:rPr>
      </w:pPr>
      <w:r>
        <w:rPr>
          <w:rFonts w:hint="eastAsia" w:ascii="宋体" w:hAnsi="宋体" w:cs="宋体"/>
          <w:szCs w:val="21"/>
        </w:rPr>
        <w:t>（1）货物的包装和发运应符合货物特性要求。</w:t>
      </w:r>
    </w:p>
    <w:p w14:paraId="1AE0AB6D">
      <w:pPr>
        <w:shd w:val="clear" w:color="auto" w:fill="FFFFFF"/>
        <w:tabs>
          <w:tab w:val="left" w:pos="2908"/>
        </w:tabs>
        <w:spacing w:line="360" w:lineRule="auto"/>
        <w:jc w:val="left"/>
        <w:rPr>
          <w:rFonts w:hint="eastAsia" w:ascii="宋体" w:hAnsi="宋体" w:cs="宋体"/>
          <w:szCs w:val="21"/>
        </w:rPr>
      </w:pPr>
      <w:r>
        <w:rPr>
          <w:rFonts w:hint="eastAsia" w:ascii="宋体" w:hAnsi="宋体" w:cs="宋体"/>
          <w:szCs w:val="21"/>
        </w:rPr>
        <w:t>（2）为了保证货物在长途运输和装卸过程中的安全，货物包装应符合国家或行业标准规定。由于包装不善导致货物锈蚀、</w:t>
      </w:r>
      <w:r>
        <w:rPr>
          <w:rFonts w:hint="eastAsia" w:ascii="宋体" w:hAnsi="宋体" w:cs="宋体"/>
          <w:szCs w:val="21"/>
          <w:lang w:eastAsia="zh-CN"/>
        </w:rPr>
        <w:t>丢失</w:t>
      </w:r>
      <w:r>
        <w:rPr>
          <w:rFonts w:hint="eastAsia" w:ascii="宋体" w:hAnsi="宋体" w:cs="宋体"/>
          <w:szCs w:val="21"/>
        </w:rPr>
        <w:t>或损坏，由</w:t>
      </w:r>
      <w:r>
        <w:rPr>
          <w:rFonts w:hint="eastAsia" w:ascii="宋体" w:hAnsi="宋体" w:cs="宋体"/>
          <w:szCs w:val="21"/>
          <w:lang w:val="en-US" w:eastAsia="zh-CN"/>
        </w:rPr>
        <w:t>服务方</w:t>
      </w:r>
      <w:r>
        <w:rPr>
          <w:rFonts w:hint="eastAsia" w:ascii="宋体" w:hAnsi="宋体" w:cs="宋体"/>
          <w:szCs w:val="21"/>
        </w:rPr>
        <w:t>承担一切责任。</w:t>
      </w:r>
    </w:p>
    <w:p w14:paraId="2A1CD063">
      <w:pPr>
        <w:shd w:val="clear" w:color="auto" w:fill="FFFFFF"/>
        <w:tabs>
          <w:tab w:val="left" w:pos="2908"/>
        </w:tabs>
        <w:spacing w:line="360" w:lineRule="auto"/>
        <w:jc w:val="left"/>
        <w:rPr>
          <w:rFonts w:hint="eastAsia" w:ascii="宋体" w:hAnsi="宋体" w:cs="宋体"/>
          <w:szCs w:val="21"/>
        </w:rPr>
      </w:pPr>
      <w:r>
        <w:rPr>
          <w:rFonts w:hint="eastAsia" w:ascii="宋体" w:hAnsi="宋体" w:cs="宋体"/>
          <w:szCs w:val="21"/>
        </w:rPr>
        <w:t>（3）应按工程进度安排计划，派出适当的人员到安装现场负责安装和调试工作。在安装调试期间，严格遵守</w:t>
      </w:r>
      <w:r>
        <w:rPr>
          <w:rFonts w:hint="eastAsia" w:ascii="宋体" w:hAnsi="宋体" w:cs="宋体"/>
          <w:szCs w:val="21"/>
          <w:lang w:val="en-US" w:eastAsia="zh-CN"/>
        </w:rPr>
        <w:t>使用方</w:t>
      </w:r>
      <w:r>
        <w:rPr>
          <w:rFonts w:hint="eastAsia" w:ascii="宋体" w:hAnsi="宋体" w:cs="宋体"/>
          <w:szCs w:val="21"/>
        </w:rPr>
        <w:t>的有关制度。</w:t>
      </w:r>
    </w:p>
    <w:p w14:paraId="567D2322">
      <w:pPr>
        <w:shd w:val="clear" w:color="auto" w:fill="FFFFFF"/>
        <w:tabs>
          <w:tab w:val="left" w:pos="2908"/>
        </w:tabs>
        <w:spacing w:line="360" w:lineRule="auto"/>
        <w:jc w:val="left"/>
        <w:rPr>
          <w:rFonts w:hint="eastAsia" w:ascii="宋体" w:hAnsi="宋体" w:eastAsia="宋体" w:cs="宋体"/>
          <w:szCs w:val="21"/>
          <w:lang w:eastAsia="zh-CN"/>
        </w:rPr>
      </w:pPr>
      <w:r>
        <w:rPr>
          <w:rFonts w:hint="eastAsia" w:ascii="宋体" w:hAnsi="宋体" w:cs="宋体"/>
          <w:szCs w:val="21"/>
        </w:rPr>
        <w:t>（4）在安装、调试后进行检查验收，如果发现数量不足，质量、技术或材料说明跟清单不符等问题，应负责按照</w:t>
      </w:r>
      <w:r>
        <w:rPr>
          <w:rFonts w:hint="eastAsia" w:ascii="宋体" w:hAnsi="宋体" w:cs="宋体"/>
          <w:szCs w:val="21"/>
          <w:lang w:val="en-US" w:eastAsia="zh-CN"/>
        </w:rPr>
        <w:t>使用方</w:t>
      </w:r>
      <w:r>
        <w:rPr>
          <w:rFonts w:hint="eastAsia" w:ascii="宋体" w:hAnsi="宋体" w:cs="宋体"/>
          <w:szCs w:val="21"/>
        </w:rPr>
        <w:t>的要求采取补足更换等处理措施</w:t>
      </w:r>
      <w:r>
        <w:rPr>
          <w:rFonts w:hint="eastAsia" w:ascii="宋体" w:hAnsi="宋体" w:cs="宋体"/>
          <w:szCs w:val="21"/>
          <w:lang w:eastAsia="zh-CN"/>
        </w:rPr>
        <w:t>。</w:t>
      </w:r>
    </w:p>
    <w:p w14:paraId="7F05AA62">
      <w:pPr>
        <w:numPr>
          <w:ilvl w:val="0"/>
          <w:numId w:val="16"/>
        </w:numPr>
        <w:spacing w:line="360" w:lineRule="auto"/>
        <w:ind w:left="0" w:leftChars="0" w:firstLine="51" w:firstLineChars="24"/>
        <w:outlineLvl w:val="2"/>
        <w:rPr>
          <w:rFonts w:hint="eastAsia" w:ascii="宋体" w:hAnsi="宋体" w:cs="宋体"/>
          <w:b/>
          <w:bCs/>
          <w:sz w:val="21"/>
          <w:szCs w:val="21"/>
          <w:lang w:val="en-US" w:eastAsia="zh-CN"/>
        </w:rPr>
      </w:pPr>
      <w:r>
        <w:rPr>
          <w:rFonts w:hint="eastAsia" w:ascii="宋体" w:hAnsi="宋体" w:cs="宋体"/>
          <w:b/>
          <w:bCs/>
          <w:sz w:val="21"/>
          <w:szCs w:val="21"/>
          <w:lang w:val="en-US" w:eastAsia="zh-CN"/>
        </w:rPr>
        <w:t>产品要求</w:t>
      </w:r>
    </w:p>
    <w:p w14:paraId="55F74F3F">
      <w:pPr>
        <w:shd w:val="clear" w:color="auto" w:fill="FFFFFF"/>
        <w:tabs>
          <w:tab w:val="left" w:pos="2908"/>
        </w:tabs>
        <w:spacing w:line="360" w:lineRule="auto"/>
        <w:jc w:val="left"/>
        <w:rPr>
          <w:rFonts w:hint="eastAsia" w:ascii="宋体" w:hAnsi="宋体" w:cs="宋体"/>
          <w:szCs w:val="21"/>
        </w:rPr>
      </w:pPr>
      <w:r>
        <w:rPr>
          <w:rFonts w:hint="eastAsia" w:ascii="宋体" w:hAnsi="宋体" w:cs="宋体"/>
          <w:szCs w:val="21"/>
        </w:rPr>
        <w:t>（1）货物为原制造商制造的全新产品，无污染，无侵权行为、表面无划损、无任何缺陷隐患，在中国境内可依常规安全合法使用。</w:t>
      </w:r>
    </w:p>
    <w:p w14:paraId="0D6A666E">
      <w:pPr>
        <w:shd w:val="clear" w:color="auto" w:fill="FFFFFF"/>
        <w:tabs>
          <w:tab w:val="left" w:pos="2908"/>
        </w:tabs>
        <w:spacing w:line="360" w:lineRule="auto"/>
        <w:jc w:val="left"/>
        <w:rPr>
          <w:rFonts w:hint="eastAsia" w:ascii="宋体" w:hAnsi="宋体" w:cs="宋体"/>
          <w:szCs w:val="21"/>
        </w:rPr>
      </w:pPr>
      <w:r>
        <w:rPr>
          <w:rFonts w:hint="eastAsia" w:ascii="宋体" w:hAnsi="宋体" w:cs="宋体"/>
          <w:szCs w:val="21"/>
        </w:rPr>
        <w:t>（2）货物为原厂商未启封全新包装，序列号、包装箱号与出厂批号一致，标注发标方名称，并可追索查阅。</w:t>
      </w:r>
    </w:p>
    <w:p w14:paraId="1AF2A696">
      <w:pPr>
        <w:numPr>
          <w:ilvl w:val="0"/>
          <w:numId w:val="16"/>
        </w:numPr>
        <w:spacing w:line="360" w:lineRule="auto"/>
        <w:ind w:left="0" w:leftChars="0" w:firstLine="51" w:firstLineChars="24"/>
        <w:outlineLvl w:val="2"/>
        <w:rPr>
          <w:rFonts w:hint="eastAsia" w:ascii="宋体" w:hAnsi="宋体" w:cs="宋体"/>
          <w:szCs w:val="21"/>
        </w:rPr>
      </w:pPr>
      <w:r>
        <w:rPr>
          <w:rFonts w:hint="eastAsia" w:ascii="宋体" w:hAnsi="宋体" w:cs="宋体"/>
          <w:b/>
          <w:bCs/>
          <w:sz w:val="21"/>
          <w:szCs w:val="21"/>
          <w:lang w:val="en-US" w:eastAsia="zh-CN"/>
        </w:rPr>
        <w:t>货物验收要求</w:t>
      </w:r>
    </w:p>
    <w:p w14:paraId="2013B9D1">
      <w:pPr>
        <w:numPr>
          <w:ilvl w:val="0"/>
          <w:numId w:val="0"/>
        </w:numPr>
        <w:spacing w:line="360" w:lineRule="auto"/>
        <w:ind w:firstLine="420" w:firstLineChars="200"/>
        <w:outlineLvl w:val="9"/>
        <w:rPr>
          <w:rFonts w:hint="eastAsia" w:ascii="宋体" w:hAnsi="宋体" w:cs="宋体"/>
          <w:szCs w:val="21"/>
        </w:rPr>
      </w:pPr>
      <w:r>
        <w:rPr>
          <w:rFonts w:hint="eastAsia" w:ascii="宋体" w:hAnsi="宋体" w:cs="宋体"/>
          <w:szCs w:val="21"/>
        </w:rPr>
        <w:t xml:space="preserve">安装调试完成后双方共同进行验收，并签署项目验收报告。 </w:t>
      </w:r>
    </w:p>
    <w:p w14:paraId="0A28BAED">
      <w:pPr>
        <w:numPr>
          <w:ilvl w:val="0"/>
          <w:numId w:val="17"/>
        </w:numPr>
        <w:shd w:val="clear" w:color="auto" w:fill="FFFFFF"/>
        <w:tabs>
          <w:tab w:val="left" w:pos="2908"/>
        </w:tabs>
        <w:spacing w:line="360" w:lineRule="auto"/>
        <w:jc w:val="left"/>
        <w:outlineLvl w:val="1"/>
        <w:rPr>
          <w:rFonts w:hint="eastAsia" w:ascii="宋体" w:hAnsi="宋体" w:cs="宋体"/>
          <w:b/>
          <w:bCs/>
          <w:szCs w:val="21"/>
          <w:lang w:val="en-US" w:eastAsia="zh-CN"/>
        </w:rPr>
      </w:pPr>
      <w:r>
        <w:rPr>
          <w:rFonts w:hint="eastAsia" w:ascii="宋体" w:hAnsi="宋体" w:cs="宋体"/>
          <w:b/>
          <w:bCs/>
          <w:szCs w:val="21"/>
        </w:rPr>
        <w:t>付款方式</w:t>
      </w:r>
      <w:r>
        <w:rPr>
          <w:rFonts w:hint="eastAsia" w:ascii="宋体" w:hAnsi="宋体" w:cs="宋体"/>
          <w:b/>
          <w:bCs/>
          <w:szCs w:val="21"/>
          <w:lang w:eastAsia="zh-CN"/>
        </w:rPr>
        <w:t>（</w:t>
      </w:r>
      <w:r>
        <w:rPr>
          <w:rFonts w:hint="eastAsia" w:ascii="宋体" w:hAnsi="宋体" w:cs="宋体"/>
          <w:b/>
          <w:bCs/>
          <w:szCs w:val="21"/>
          <w:lang w:val="en-US" w:eastAsia="zh-CN"/>
        </w:rPr>
        <w:t>按照合同约定）</w:t>
      </w:r>
    </w:p>
    <w:p w14:paraId="2A26905F">
      <w:pPr>
        <w:pStyle w:val="2"/>
        <w:numPr>
          <w:ilvl w:val="0"/>
          <w:numId w:val="0"/>
        </w:numPr>
        <w:rPr>
          <w:rFonts w:hint="default"/>
          <w:lang w:val="en-US" w:eastAsia="zh-CN"/>
        </w:rPr>
      </w:pPr>
    </w:p>
    <w:p w14:paraId="19DECA92">
      <w:pPr>
        <w:pStyle w:val="2"/>
        <w:adjustRightInd w:val="0"/>
        <w:snapToGrid w:val="0"/>
        <w:spacing w:line="360" w:lineRule="auto"/>
        <w:jc w:val="left"/>
        <w:rPr>
          <w:rFonts w:hint="eastAsia"/>
          <w:lang w:val="en-US" w:eastAsia="zh-CN"/>
        </w:rPr>
      </w:pPr>
      <w:r>
        <w:rPr>
          <w:rFonts w:hint="eastAsia"/>
          <w:lang w:val="en-US" w:eastAsia="zh-CN"/>
        </w:rPr>
        <w:t>备注：</w:t>
      </w:r>
    </w:p>
    <w:p w14:paraId="229EB502">
      <w:pPr>
        <w:numPr>
          <w:ilvl w:val="0"/>
          <w:numId w:val="18"/>
        </w:numPr>
        <w:spacing w:line="360" w:lineRule="auto"/>
        <w:rPr>
          <w:rFonts w:hint="eastAsia" w:ascii="宋体" w:hAnsi="宋体" w:cs="宋体"/>
          <w:szCs w:val="21"/>
          <w:lang w:val="en-US" w:eastAsia="zh-CN"/>
        </w:rPr>
      </w:pPr>
      <w:r>
        <w:rPr>
          <w:rFonts w:hint="eastAsia" w:ascii="宋体" w:hAnsi="宋体" w:cs="宋体"/>
          <w:szCs w:val="21"/>
          <w:lang w:val="en-US" w:eastAsia="zh-CN"/>
        </w:rPr>
        <w:t>评分时，如对一项招标技术要求（以划分框为准）中的内容存在两处（或以上）负偏离的，在评分时只作一项负偏离扣分。</w:t>
      </w:r>
    </w:p>
    <w:p w14:paraId="3BACD735">
      <w:pPr>
        <w:numPr>
          <w:ilvl w:val="0"/>
          <w:numId w:val="18"/>
        </w:numPr>
        <w:spacing w:line="360" w:lineRule="auto"/>
        <w:rPr>
          <w:rFonts w:hint="eastAsia" w:ascii="宋体" w:hAnsi="宋体" w:cs="宋体"/>
          <w:szCs w:val="21"/>
          <w:lang w:val="en-US" w:eastAsia="zh-CN"/>
        </w:rPr>
      </w:pPr>
      <w:r>
        <w:rPr>
          <w:rFonts w:hint="eastAsia" w:ascii="宋体" w:hAnsi="宋体" w:cs="宋体"/>
          <w:szCs w:val="21"/>
          <w:lang w:val="en-US" w:eastAsia="zh-CN"/>
        </w:rPr>
        <w:t>带“★”号条款为不可负偏离条款，不作为评分准则中的评分内容，</w:t>
      </w:r>
      <w:r>
        <w:rPr>
          <w:rFonts w:hint="eastAsia" w:ascii="宋体" w:hAnsi="宋体" w:cs="宋体"/>
          <w:szCs w:val="21"/>
        </w:rPr>
        <w:t>若有任何一条负偏离或不满足则导致投标（响应）无效</w:t>
      </w:r>
      <w:r>
        <w:rPr>
          <w:rFonts w:hint="eastAsia" w:ascii="宋体" w:hAnsi="宋体" w:cs="宋体"/>
          <w:szCs w:val="21"/>
          <w:lang w:val="en-US" w:eastAsia="zh-CN"/>
        </w:rPr>
        <w:t>；</w:t>
      </w:r>
    </w:p>
    <w:p w14:paraId="608BE0A0">
      <w:pPr>
        <w:numPr>
          <w:ilvl w:val="0"/>
          <w:numId w:val="18"/>
        </w:numPr>
        <w:spacing w:line="360" w:lineRule="auto"/>
        <w:rPr>
          <w:rFonts w:hint="eastAsia" w:ascii="宋体" w:hAnsi="宋体" w:cs="宋体"/>
          <w:szCs w:val="21"/>
          <w:lang w:val="en-US" w:eastAsia="zh-CN"/>
        </w:rPr>
      </w:pPr>
      <w:r>
        <w:rPr>
          <w:rFonts w:hint="eastAsia" w:ascii="宋体" w:hAnsi="宋体" w:cs="宋体"/>
          <w:szCs w:val="21"/>
          <w:lang w:val="en-US" w:eastAsia="zh-CN"/>
        </w:rPr>
        <w:t>带“▲”指标项为重要参数条款</w:t>
      </w:r>
      <w:r>
        <w:rPr>
          <w:rFonts w:hint="eastAsia" w:ascii="宋体" w:hAnsi="宋体" w:cs="宋体"/>
          <w:szCs w:val="21"/>
        </w:rPr>
        <w:t>（如有）</w:t>
      </w:r>
      <w:r>
        <w:rPr>
          <w:rFonts w:hint="eastAsia" w:ascii="宋体" w:hAnsi="宋体" w:cs="宋体"/>
          <w:szCs w:val="21"/>
          <w:lang w:val="en-US" w:eastAsia="zh-CN"/>
        </w:rPr>
        <w:t>，负偏离时依相关评分准则内容</w:t>
      </w:r>
      <w:bookmarkStart w:id="1" w:name="_GoBack"/>
      <w:r>
        <w:rPr>
          <w:rFonts w:hint="eastAsia" w:ascii="宋体" w:hAnsi="宋体" w:cs="宋体"/>
          <w:szCs w:val="21"/>
          <w:lang w:val="en-US" w:eastAsia="zh-CN"/>
        </w:rPr>
        <w:t>做</w:t>
      </w:r>
      <w:bookmarkEnd w:id="1"/>
      <w:r>
        <w:rPr>
          <w:rFonts w:hint="eastAsia" w:ascii="宋体" w:hAnsi="宋体" w:cs="宋体"/>
          <w:szCs w:val="21"/>
          <w:lang w:val="en-US" w:eastAsia="zh-CN"/>
        </w:rPr>
        <w:t>重点扣分处理。</w:t>
      </w:r>
      <w:r>
        <w:rPr>
          <w:rFonts w:hint="eastAsia" w:ascii="宋体" w:hAnsi="宋体" w:cs="宋体"/>
          <w:szCs w:val="21"/>
        </w:rPr>
        <w:t>但不作为无效投标（响应）条款。</w:t>
      </w:r>
    </w:p>
    <w:p w14:paraId="61BD0D8E">
      <w:pPr>
        <w:spacing w:line="360" w:lineRule="auto"/>
        <w:rPr>
          <w:rFonts w:hint="eastAsia" w:ascii="宋体" w:hAnsi="宋体" w:cs="宋体"/>
          <w:szCs w:val="21"/>
          <w:lang w:val="en-US" w:eastAsia="zh-CN"/>
        </w:rPr>
      </w:pPr>
      <w:r>
        <w:rPr>
          <w:rFonts w:hint="eastAsia" w:ascii="宋体" w:hAnsi="宋体" w:cs="宋体"/>
          <w:szCs w:val="21"/>
          <w:lang w:val="en-US" w:eastAsia="zh-CN"/>
        </w:rPr>
        <w:t>4、招标技术要求中，要求提供证明资料的需提供相关证明资料。</w:t>
      </w:r>
    </w:p>
    <w:p w14:paraId="64918398">
      <w:pPr>
        <w:spacing w:line="360" w:lineRule="auto"/>
        <w:rPr>
          <w:rFonts w:hint="eastAsia" w:ascii="宋体" w:hAnsi="宋体" w:cs="宋体"/>
          <w:szCs w:val="21"/>
          <w:lang w:val="en-US" w:eastAsia="zh-CN"/>
        </w:rPr>
      </w:pPr>
      <w:r>
        <w:rPr>
          <w:rFonts w:hint="eastAsia" w:ascii="宋体" w:hAnsi="宋体" w:cs="宋体"/>
          <w:szCs w:val="21"/>
          <w:lang w:val="en-US" w:eastAsia="zh-CN"/>
        </w:rPr>
        <w:t>5、涉及区间的技术要求，除特别注明以外，所投产品范围涵盖对应的区间即认定为满足该项技术要求。</w:t>
      </w:r>
    </w:p>
    <w:p w14:paraId="4E9F4728">
      <w:pPr>
        <w:numPr>
          <w:ilvl w:val="0"/>
          <w:numId w:val="19"/>
        </w:numPr>
        <w:spacing w:line="360" w:lineRule="auto"/>
        <w:ind w:left="0" w:leftChars="0" w:firstLine="0" w:firstLineChars="0"/>
        <w:rPr>
          <w:rFonts w:hint="eastAsia"/>
        </w:rPr>
      </w:pPr>
      <w:r>
        <w:rPr>
          <w:rFonts w:hint="eastAsia" w:ascii="宋体" w:hAnsi="宋体" w:cs="宋体"/>
          <w:szCs w:val="21"/>
          <w:lang w:val="en-US" w:eastAsia="zh-CN"/>
        </w:rPr>
        <w:t>例：区间要求为5-20ML，所投产品范围最小值≤5ML，范围最大值≥20ML，即同时包含该范围的最小值和最大值为满足该项技术要求。</w:t>
      </w:r>
    </w:p>
    <w:p w14:paraId="3A8F180C">
      <w:pPr>
        <w:numPr>
          <w:ilvl w:val="0"/>
          <w:numId w:val="19"/>
        </w:numPr>
        <w:spacing w:line="360" w:lineRule="auto"/>
        <w:ind w:left="0" w:leftChars="0" w:firstLine="0" w:firstLineChars="0"/>
        <w:rPr>
          <w:rFonts w:hint="eastAsia"/>
        </w:rPr>
      </w:pPr>
      <w:r>
        <w:rPr>
          <w:rFonts w:hint="eastAsia" w:ascii="宋体" w:hAnsi="宋体" w:cs="宋体"/>
          <w:szCs w:val="21"/>
          <w:lang w:val="en-US" w:eastAsia="zh-CN"/>
        </w:rPr>
        <w:t>例：</w:t>
      </w:r>
      <w:r>
        <w:rPr>
          <w:rFonts w:hint="eastAsia"/>
          <w:lang w:val="en-US" w:eastAsia="zh-CN"/>
        </w:rPr>
        <w:t>技术要求为</w:t>
      </w:r>
      <w:r>
        <w:rPr>
          <w:rFonts w:hint="eastAsia" w:ascii="宋体" w:hAnsi="宋体" w:cs="宋体"/>
          <w:szCs w:val="21"/>
          <w:lang w:val="en-US" w:eastAsia="zh-CN"/>
        </w:rPr>
        <w:t>≥20ML，即同时包含该范围值和大于该范围的值。</w:t>
      </w:r>
    </w:p>
    <w:p w14:paraId="23DF60D7">
      <w:pPr>
        <w:spacing w:line="360" w:lineRule="auto"/>
        <w:rPr>
          <w:rFonts w:hint="eastAsia" w:ascii="宋体" w:hAnsi="宋体" w:cs="宋体"/>
          <w:szCs w:val="21"/>
          <w:lang w:val="en-US" w:eastAsia="zh-CN"/>
        </w:rPr>
      </w:pPr>
      <w:r>
        <w:rPr>
          <w:rFonts w:hint="eastAsia" w:ascii="宋体" w:hAnsi="宋体" w:cs="宋体"/>
          <w:szCs w:val="21"/>
          <w:lang w:val="en-US" w:eastAsia="zh-CN"/>
        </w:rPr>
        <w:t>6、检验（检测）报告若要求具有CMA、CNAS等标识的，若有材料证明相关检测事项不在实施该项检测的机构许可（认可）CMA、CNAS等资质范围或检测范围内的，该检验（检测）报告视为不满足招标文件要求，作负偏离处理。</w:t>
      </w:r>
    </w:p>
    <w:p w14:paraId="1A204A83">
      <w:pPr>
        <w:pStyle w:val="3"/>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BF336"/>
    <w:multiLevelType w:val="singleLevel"/>
    <w:tmpl w:val="878BF336"/>
    <w:lvl w:ilvl="0" w:tentative="0">
      <w:start w:val="1"/>
      <w:numFmt w:val="decimal"/>
      <w:suff w:val="nothing"/>
      <w:lvlText w:val="%1、"/>
      <w:lvlJc w:val="left"/>
    </w:lvl>
  </w:abstractNum>
  <w:abstractNum w:abstractNumId="1">
    <w:nsid w:val="89C6CA27"/>
    <w:multiLevelType w:val="singleLevel"/>
    <w:tmpl w:val="89C6CA27"/>
    <w:lvl w:ilvl="0" w:tentative="0">
      <w:start w:val="1"/>
      <w:numFmt w:val="decimal"/>
      <w:suff w:val="nothing"/>
      <w:lvlText w:val="%1、"/>
      <w:lvlJc w:val="left"/>
    </w:lvl>
  </w:abstractNum>
  <w:abstractNum w:abstractNumId="2">
    <w:nsid w:val="9EE0EFAC"/>
    <w:multiLevelType w:val="singleLevel"/>
    <w:tmpl w:val="9EE0EFAC"/>
    <w:lvl w:ilvl="0" w:tentative="0">
      <w:start w:val="1"/>
      <w:numFmt w:val="decimal"/>
      <w:suff w:val="nothing"/>
      <w:lvlText w:val="%1、"/>
      <w:lvlJc w:val="left"/>
    </w:lvl>
  </w:abstractNum>
  <w:abstractNum w:abstractNumId="3">
    <w:nsid w:val="AFAA174E"/>
    <w:multiLevelType w:val="singleLevel"/>
    <w:tmpl w:val="AFAA174E"/>
    <w:lvl w:ilvl="0" w:tentative="0">
      <w:start w:val="1"/>
      <w:numFmt w:val="lowerLetter"/>
      <w:lvlText w:val="%1."/>
      <w:lvlJc w:val="left"/>
      <w:pPr>
        <w:ind w:left="425" w:hanging="425"/>
      </w:pPr>
      <w:rPr>
        <w:rFonts w:hint="default"/>
      </w:rPr>
    </w:lvl>
  </w:abstractNum>
  <w:abstractNum w:abstractNumId="4">
    <w:nsid w:val="BDB9E0D0"/>
    <w:multiLevelType w:val="singleLevel"/>
    <w:tmpl w:val="BDB9E0D0"/>
    <w:lvl w:ilvl="0" w:tentative="0">
      <w:start w:val="1"/>
      <w:numFmt w:val="decimal"/>
      <w:lvlText w:val="%1)"/>
      <w:lvlJc w:val="left"/>
      <w:pPr>
        <w:ind w:left="425" w:hanging="425"/>
      </w:pPr>
      <w:rPr>
        <w:rFonts w:hint="default"/>
      </w:rPr>
    </w:lvl>
  </w:abstractNum>
  <w:abstractNum w:abstractNumId="5">
    <w:nsid w:val="D9705B9E"/>
    <w:multiLevelType w:val="singleLevel"/>
    <w:tmpl w:val="D9705B9E"/>
    <w:lvl w:ilvl="0" w:tentative="0">
      <w:start w:val="1"/>
      <w:numFmt w:val="decimal"/>
      <w:suff w:val="nothing"/>
      <w:lvlText w:val="%1、"/>
      <w:lvlJc w:val="left"/>
    </w:lvl>
  </w:abstractNum>
  <w:abstractNum w:abstractNumId="6">
    <w:nsid w:val="DCB4B96C"/>
    <w:multiLevelType w:val="singleLevel"/>
    <w:tmpl w:val="DCB4B96C"/>
    <w:lvl w:ilvl="0" w:tentative="0">
      <w:start w:val="2"/>
      <w:numFmt w:val="chineseCounting"/>
      <w:suff w:val="nothing"/>
      <w:lvlText w:val="%1、"/>
      <w:lvlJc w:val="left"/>
      <w:rPr>
        <w:rFonts w:hint="eastAsia"/>
      </w:rPr>
    </w:lvl>
  </w:abstractNum>
  <w:abstractNum w:abstractNumId="7">
    <w:nsid w:val="DDFB8EE5"/>
    <w:multiLevelType w:val="singleLevel"/>
    <w:tmpl w:val="DDFB8EE5"/>
    <w:lvl w:ilvl="0" w:tentative="0">
      <w:start w:val="1"/>
      <w:numFmt w:val="decimal"/>
      <w:suff w:val="nothing"/>
      <w:lvlText w:val="%1、"/>
      <w:lvlJc w:val="left"/>
    </w:lvl>
  </w:abstractNum>
  <w:abstractNum w:abstractNumId="8">
    <w:nsid w:val="F0651127"/>
    <w:multiLevelType w:val="singleLevel"/>
    <w:tmpl w:val="F0651127"/>
    <w:lvl w:ilvl="0" w:tentative="0">
      <w:start w:val="7"/>
      <w:numFmt w:val="chineseCounting"/>
      <w:suff w:val="nothing"/>
      <w:lvlText w:val="%1、"/>
      <w:lvlJc w:val="left"/>
      <w:rPr>
        <w:rFonts w:hint="eastAsia"/>
      </w:rPr>
    </w:lvl>
  </w:abstractNum>
  <w:abstractNum w:abstractNumId="9">
    <w:nsid w:val="0DB537B1"/>
    <w:multiLevelType w:val="singleLevel"/>
    <w:tmpl w:val="0DB537B1"/>
    <w:lvl w:ilvl="0" w:tentative="0">
      <w:start w:val="1"/>
      <w:numFmt w:val="decimal"/>
      <w:lvlText w:val="%1)"/>
      <w:lvlJc w:val="left"/>
      <w:pPr>
        <w:ind w:left="425" w:hanging="425"/>
      </w:pPr>
      <w:rPr>
        <w:rFonts w:hint="default"/>
      </w:rPr>
    </w:lvl>
  </w:abstractNum>
  <w:abstractNum w:abstractNumId="10">
    <w:nsid w:val="0EB1B29F"/>
    <w:multiLevelType w:val="singleLevel"/>
    <w:tmpl w:val="0EB1B29F"/>
    <w:lvl w:ilvl="0" w:tentative="0">
      <w:start w:val="1"/>
      <w:numFmt w:val="decimal"/>
      <w:lvlText w:val="(%1)"/>
      <w:lvlJc w:val="left"/>
      <w:pPr>
        <w:ind w:left="425" w:hanging="425"/>
      </w:pPr>
      <w:rPr>
        <w:rFonts w:hint="default"/>
      </w:rPr>
    </w:lvl>
  </w:abstractNum>
  <w:abstractNum w:abstractNumId="11">
    <w:nsid w:val="16B6D355"/>
    <w:multiLevelType w:val="singleLevel"/>
    <w:tmpl w:val="16B6D355"/>
    <w:lvl w:ilvl="0" w:tentative="0">
      <w:start w:val="4"/>
      <w:numFmt w:val="chineseCounting"/>
      <w:suff w:val="nothing"/>
      <w:lvlText w:val="%1、"/>
      <w:lvlJc w:val="left"/>
      <w:rPr>
        <w:rFonts w:hint="eastAsia"/>
      </w:rPr>
    </w:lvl>
  </w:abstractNum>
  <w:abstractNum w:abstractNumId="12">
    <w:nsid w:val="2E0B6FD0"/>
    <w:multiLevelType w:val="singleLevel"/>
    <w:tmpl w:val="2E0B6FD0"/>
    <w:lvl w:ilvl="0" w:tentative="0">
      <w:start w:val="1"/>
      <w:numFmt w:val="decimal"/>
      <w:suff w:val="nothing"/>
      <w:lvlText w:val="%1、"/>
      <w:lvlJc w:val="left"/>
    </w:lvl>
  </w:abstractNum>
  <w:abstractNum w:abstractNumId="13">
    <w:nsid w:val="33D89BAE"/>
    <w:multiLevelType w:val="singleLevel"/>
    <w:tmpl w:val="33D89BAE"/>
    <w:lvl w:ilvl="0" w:tentative="0">
      <w:start w:val="1"/>
      <w:numFmt w:val="decimal"/>
      <w:lvlText w:val="(%1)"/>
      <w:lvlJc w:val="left"/>
      <w:pPr>
        <w:ind w:left="425" w:hanging="425"/>
      </w:pPr>
      <w:rPr>
        <w:rFonts w:hint="default"/>
      </w:rPr>
    </w:lvl>
  </w:abstractNum>
  <w:abstractNum w:abstractNumId="14">
    <w:nsid w:val="3798FBEE"/>
    <w:multiLevelType w:val="singleLevel"/>
    <w:tmpl w:val="3798FBEE"/>
    <w:lvl w:ilvl="0" w:tentative="0">
      <w:start w:val="1"/>
      <w:numFmt w:val="decimal"/>
      <w:suff w:val="nothing"/>
      <w:lvlText w:val="%1、"/>
      <w:lvlJc w:val="left"/>
    </w:lvl>
  </w:abstractNum>
  <w:abstractNum w:abstractNumId="15">
    <w:nsid w:val="595A31A5"/>
    <w:multiLevelType w:val="singleLevel"/>
    <w:tmpl w:val="595A31A5"/>
    <w:lvl w:ilvl="0" w:tentative="0">
      <w:start w:val="1"/>
      <w:numFmt w:val="decimal"/>
      <w:suff w:val="nothing"/>
      <w:lvlText w:val="%1、"/>
      <w:lvlJc w:val="left"/>
    </w:lvl>
  </w:abstractNum>
  <w:abstractNum w:abstractNumId="16">
    <w:nsid w:val="6C9606BB"/>
    <w:multiLevelType w:val="singleLevel"/>
    <w:tmpl w:val="6C9606BB"/>
    <w:lvl w:ilvl="0" w:tentative="0">
      <w:start w:val="1"/>
      <w:numFmt w:val="decimal"/>
      <w:lvlText w:val="%1)"/>
      <w:lvlJc w:val="left"/>
      <w:pPr>
        <w:ind w:left="425" w:hanging="425"/>
      </w:pPr>
      <w:rPr>
        <w:rFonts w:hint="default"/>
      </w:rPr>
    </w:lvl>
  </w:abstractNum>
  <w:abstractNum w:abstractNumId="17">
    <w:nsid w:val="74419EC5"/>
    <w:multiLevelType w:val="singleLevel"/>
    <w:tmpl w:val="74419EC5"/>
    <w:lvl w:ilvl="0" w:tentative="0">
      <w:start w:val="1"/>
      <w:numFmt w:val="decimal"/>
      <w:suff w:val="nothing"/>
      <w:lvlText w:val="%1、"/>
      <w:lvlJc w:val="left"/>
    </w:lvl>
  </w:abstractNum>
  <w:abstractNum w:abstractNumId="18">
    <w:nsid w:val="79EE099A"/>
    <w:multiLevelType w:val="singleLevel"/>
    <w:tmpl w:val="79EE099A"/>
    <w:lvl w:ilvl="0" w:tentative="0">
      <w:start w:val="1"/>
      <w:numFmt w:val="decimal"/>
      <w:suff w:val="nothing"/>
      <w:lvlText w:val="（%1）"/>
      <w:lvlJc w:val="left"/>
    </w:lvl>
  </w:abstractNum>
  <w:num w:numId="1">
    <w:abstractNumId w:val="17"/>
  </w:num>
  <w:num w:numId="2">
    <w:abstractNumId w:val="6"/>
  </w:num>
  <w:num w:numId="3">
    <w:abstractNumId w:val="7"/>
  </w:num>
  <w:num w:numId="4">
    <w:abstractNumId w:val="2"/>
  </w:num>
  <w:num w:numId="5">
    <w:abstractNumId w:val="5"/>
  </w:num>
  <w:num w:numId="6">
    <w:abstractNumId w:val="0"/>
  </w:num>
  <w:num w:numId="7">
    <w:abstractNumId w:val="12"/>
  </w:num>
  <w:num w:numId="8">
    <w:abstractNumId w:val="16"/>
  </w:num>
  <w:num w:numId="9">
    <w:abstractNumId w:val="9"/>
  </w:num>
  <w:num w:numId="10">
    <w:abstractNumId w:val="10"/>
  </w:num>
  <w:num w:numId="11">
    <w:abstractNumId w:val="13"/>
  </w:num>
  <w:num w:numId="12">
    <w:abstractNumId w:val="18"/>
  </w:num>
  <w:num w:numId="13">
    <w:abstractNumId w:val="3"/>
  </w:num>
  <w:num w:numId="14">
    <w:abstractNumId w:val="11"/>
  </w:num>
  <w:num w:numId="15">
    <w:abstractNumId w:val="14"/>
  </w:num>
  <w:num w:numId="16">
    <w:abstractNumId w:val="15"/>
  </w:num>
  <w:num w:numId="17">
    <w:abstractNumId w:val="8"/>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F6954"/>
    <w:rsid w:val="00482D85"/>
    <w:rsid w:val="01B03C5F"/>
    <w:rsid w:val="06AF6954"/>
    <w:rsid w:val="06BF6017"/>
    <w:rsid w:val="08352D43"/>
    <w:rsid w:val="0AF00019"/>
    <w:rsid w:val="0BB602A0"/>
    <w:rsid w:val="12C65085"/>
    <w:rsid w:val="178A1D29"/>
    <w:rsid w:val="2D4A210B"/>
    <w:rsid w:val="2F556278"/>
    <w:rsid w:val="3080254E"/>
    <w:rsid w:val="340A7A25"/>
    <w:rsid w:val="358160C2"/>
    <w:rsid w:val="35FE3BB6"/>
    <w:rsid w:val="37920A5A"/>
    <w:rsid w:val="39A607ED"/>
    <w:rsid w:val="3C74072E"/>
    <w:rsid w:val="3DE17B60"/>
    <w:rsid w:val="40250FD8"/>
    <w:rsid w:val="4241667C"/>
    <w:rsid w:val="467C1D06"/>
    <w:rsid w:val="47040901"/>
    <w:rsid w:val="49183E54"/>
    <w:rsid w:val="4AE3654E"/>
    <w:rsid w:val="4CF431C6"/>
    <w:rsid w:val="4F171C18"/>
    <w:rsid w:val="52CD0741"/>
    <w:rsid w:val="53430609"/>
    <w:rsid w:val="54F47258"/>
    <w:rsid w:val="55D921A8"/>
    <w:rsid w:val="56E56820"/>
    <w:rsid w:val="57420A43"/>
    <w:rsid w:val="58243283"/>
    <w:rsid w:val="5C7929C3"/>
    <w:rsid w:val="61F97C61"/>
    <w:rsid w:val="6327307F"/>
    <w:rsid w:val="64755141"/>
    <w:rsid w:val="66642523"/>
    <w:rsid w:val="6A252B81"/>
    <w:rsid w:val="6FFD3CAC"/>
    <w:rsid w:val="762F50EB"/>
    <w:rsid w:val="77422BFC"/>
    <w:rsid w:val="77DE46D3"/>
    <w:rsid w:val="7AC97541"/>
    <w:rsid w:val="7CC61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before="240" w:after="0"/>
      <w:outlineLvl w:val="0"/>
    </w:pPr>
    <w:rPr>
      <w:rFonts w:asciiTheme="majorHAnsi" w:hAnsiTheme="majorHAnsi" w:eastAsiaTheme="majorEastAsia" w:cstheme="majorBidi"/>
      <w:color w:val="2E54A1" w:themeColor="accent1" w:themeShade="BF"/>
      <w:sz w:val="32"/>
      <w:szCs w:val="32"/>
    </w:rPr>
  </w:style>
  <w:style w:type="paragraph" w:styleId="5">
    <w:name w:val="heading 3"/>
    <w:basedOn w:val="1"/>
    <w:next w:val="1"/>
    <w:unhideWhenUsed/>
    <w:qFormat/>
    <w:uiPriority w:val="9"/>
    <w:pPr>
      <w:keepNext/>
      <w:keepLines/>
      <w:spacing w:before="40" w:after="0"/>
      <w:outlineLvl w:val="2"/>
    </w:pPr>
    <w:rPr>
      <w:rFonts w:asciiTheme="majorHAnsi" w:hAnsiTheme="majorHAnsi" w:eastAsiaTheme="majorEastAsia" w:cstheme="majorBidi"/>
      <w:color w:val="1E386B" w:themeColor="accent1" w:themeShade="80"/>
      <w:sz w:val="24"/>
      <w:szCs w:val="24"/>
    </w:rPr>
  </w:style>
  <w:style w:type="paragraph" w:styleId="6">
    <w:name w:val="heading 4"/>
    <w:basedOn w:val="1"/>
    <w:next w:val="1"/>
    <w:unhideWhenUsed/>
    <w:qFormat/>
    <w:uiPriority w:val="9"/>
    <w:pPr>
      <w:keepNext/>
      <w:keepLines/>
      <w:spacing w:before="40" w:after="0"/>
      <w:outlineLvl w:val="3"/>
    </w:pPr>
    <w:rPr>
      <w:rFonts w:asciiTheme="majorHAnsi" w:hAnsiTheme="majorHAnsi" w:eastAsiaTheme="majorEastAsia" w:cstheme="majorBidi"/>
      <w:i/>
      <w:iCs/>
      <w:color w:val="2E54A1" w:themeColor="accent1" w:themeShade="BF"/>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szCs w:val="24"/>
    </w:rPr>
  </w:style>
  <w:style w:type="paragraph" w:styleId="3">
    <w:name w:val="Body Text 2"/>
    <w:basedOn w:val="1"/>
    <w:next w:val="2"/>
    <w:qFormat/>
    <w:uiPriority w:val="0"/>
    <w:pPr>
      <w:spacing w:line="360" w:lineRule="auto"/>
    </w:pPr>
    <w:rPr>
      <w:sz w:val="24"/>
    </w:rPr>
  </w:style>
  <w:style w:type="paragraph" w:styleId="7">
    <w:name w:val="table of authorities"/>
    <w:basedOn w:val="1"/>
    <w:next w:val="1"/>
    <w:unhideWhenUsed/>
    <w:qFormat/>
    <w:uiPriority w:val="99"/>
    <w:pPr>
      <w:ind w:left="420" w:leftChars="200"/>
    </w:pPr>
  </w:style>
  <w:style w:type="paragraph" w:styleId="8">
    <w:name w:val="caption"/>
    <w:basedOn w:val="1"/>
    <w:next w:val="1"/>
    <w:unhideWhenUsed/>
    <w:qFormat/>
    <w:uiPriority w:val="35"/>
    <w:pPr>
      <w:widowControl w:val="0"/>
      <w:spacing w:after="0" w:line="240" w:lineRule="auto"/>
      <w:jc w:val="center"/>
    </w:pPr>
    <w:rPr>
      <w:rFonts w:ascii="Times New Roman" w:hAnsi="Times New Roman" w:eastAsia="黑体" w:cstheme="majorBidi"/>
      <w:kern w:val="2"/>
      <w:sz w:val="21"/>
      <w:szCs w:val="20"/>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paragraph" w:customStyle="1" w:styleId="13">
    <w:name w:val="p18"/>
    <w:basedOn w:val="1"/>
    <w:qFormat/>
    <w:uiPriority w:val="0"/>
    <w:pPr>
      <w:widowControl/>
    </w:pPr>
    <w:rPr>
      <w:rFonts w:ascii="宋体" w:hAnsi="宋体" w:cs="宋体"/>
      <w:kern w:val="0"/>
      <w:szCs w:val="21"/>
    </w:rPr>
  </w:style>
  <w:style w:type="character" w:customStyle="1" w:styleId="14">
    <w:name w:val="font31"/>
    <w:basedOn w:val="11"/>
    <w:qFormat/>
    <w:uiPriority w:val="0"/>
    <w:rPr>
      <w:rFonts w:hint="eastAsia" w:ascii="仿宋" w:hAnsi="仿宋" w:eastAsia="仿宋" w:cs="仿宋"/>
      <w:color w:val="000000"/>
      <w:sz w:val="28"/>
      <w:szCs w:val="28"/>
      <w:u w:val="none"/>
    </w:rPr>
  </w:style>
  <w:style w:type="character" w:customStyle="1" w:styleId="15">
    <w:name w:val="font61"/>
    <w:basedOn w:val="11"/>
    <w:qFormat/>
    <w:uiPriority w:val="0"/>
    <w:rPr>
      <w:rFonts w:ascii="Arial" w:hAnsi="Arial" w:cs="Arial"/>
      <w:color w:val="0D0D0D"/>
      <w:sz w:val="28"/>
      <w:szCs w:val="28"/>
      <w:u w:val="none"/>
    </w:rPr>
  </w:style>
  <w:style w:type="character" w:customStyle="1" w:styleId="16">
    <w:name w:val="font21"/>
    <w:basedOn w:val="11"/>
    <w:qFormat/>
    <w:uiPriority w:val="0"/>
    <w:rPr>
      <w:rFonts w:hint="eastAsia" w:ascii="仿宋" w:hAnsi="仿宋" w:eastAsia="仿宋" w:cs="仿宋"/>
      <w:color w:val="0D0D0D"/>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7213</Words>
  <Characters>8465</Characters>
  <Lines>0</Lines>
  <Paragraphs>0</Paragraphs>
  <TotalTime>90</TotalTime>
  <ScaleCrop>false</ScaleCrop>
  <LinksUpToDate>false</LinksUpToDate>
  <CharactersWithSpaces>8573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2025-01-17T02:02:00Z</dcterms:created>
  <dc:creator>cs</dc:creator>
  <cp:lastModifiedBy>张琦</cp:lastModifiedBy>
  <dcterms:modified xsi:type="dcterms:W3CDTF">2025-02-07T02:47:24Z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32C6052EB2F24E4CAB793286CDD6E1B1_13</vt:lpwstr>
  </property>
  <property fmtid="{D5CDD505-2E9C-101B-9397-08002B2CF9AE}" pid="4" name="KSOTemplateDocerSaveRecord">
    <vt:lpwstr>eyJoZGlkIjoiZjYxZTUyYjc1MzQwNWRmNjlmMWQyYmQ2NmM1M2U4MmMiLCJ1c2VySWQiOiIyNjEzMjU1OTEifQ==</vt:lpwstr>
  </property>
</Properties>
</file>