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DE9A">
      <w:pPr>
        <w:widowControl w:val="0"/>
        <w:autoSpaceDE w:val="0"/>
        <w:autoSpaceDN w:val="0"/>
        <w:adjustRightInd w:val="0"/>
        <w:snapToGrid w:val="0"/>
        <w:ind w:firstLine="0" w:firstLineChars="0"/>
        <w:jc w:val="left"/>
        <w:rPr>
          <w:rFonts w:ascii="仿宋" w:hAnsi="仿宋" w:eastAsia="仿宋" w:cs="仿宋"/>
          <w:b/>
          <w:bCs/>
          <w:sz w:val="36"/>
          <w:szCs w:val="36"/>
        </w:rPr>
      </w:pPr>
      <w:bookmarkStart w:id="0" w:name="_Toc278893410"/>
      <w:r>
        <w:rPr>
          <w:rFonts w:hint="eastAsia" w:ascii="仿宋" w:hAnsi="仿宋" w:eastAsia="仿宋" w:cs="仿宋"/>
          <w:b/>
          <w:sz w:val="36"/>
          <w:szCs w:val="36"/>
        </w:rPr>
        <w:t>附件</w:t>
      </w:r>
      <w:r>
        <w:rPr>
          <w:rFonts w:ascii="仿宋" w:hAnsi="仿宋" w:eastAsia="仿宋" w:cs="仿宋"/>
          <w:b/>
          <w:sz w:val="36"/>
          <w:szCs w:val="36"/>
        </w:rPr>
        <w:t>2</w:t>
      </w:r>
      <w:r>
        <w:rPr>
          <w:rFonts w:hint="eastAsia" w:ascii="仿宋" w:hAnsi="仿宋" w:eastAsia="仿宋" w:cs="仿宋"/>
          <w:b/>
          <w:sz w:val="36"/>
          <w:szCs w:val="36"/>
        </w:rPr>
        <w:t>：询价回执</w:t>
      </w:r>
      <w:r>
        <w:rPr>
          <w:rFonts w:hint="eastAsia" w:ascii="仿宋" w:hAnsi="仿宋" w:eastAsia="仿宋" w:cs="仿宋"/>
          <w:b/>
          <w:bCs/>
          <w:sz w:val="36"/>
          <w:szCs w:val="36"/>
        </w:rPr>
        <w:tab/>
      </w:r>
    </w:p>
    <w:p w14:paraId="4BF10B84">
      <w:pPr>
        <w:widowControl w:val="0"/>
        <w:autoSpaceDE w:val="0"/>
        <w:autoSpaceDN w:val="0"/>
        <w:adjustRightInd w:val="0"/>
        <w:snapToGrid w:val="0"/>
        <w:ind w:firstLine="0" w:firstLineChars="0"/>
        <w:jc w:val="center"/>
        <w:outlineLvl w:val="0"/>
        <w:rPr>
          <w:rFonts w:ascii="仿宋" w:hAnsi="仿宋" w:eastAsia="仿宋" w:cs="仿宋"/>
          <w:b/>
          <w:bCs/>
          <w:sz w:val="36"/>
          <w:szCs w:val="36"/>
        </w:rPr>
      </w:pPr>
      <w:r>
        <w:rPr>
          <w:rFonts w:hint="eastAsia" w:ascii="仿宋" w:hAnsi="仿宋" w:eastAsia="仿宋" w:cs="仿宋"/>
          <w:b/>
          <w:bCs/>
          <w:sz w:val="36"/>
          <w:szCs w:val="36"/>
        </w:rPr>
        <w:t>1.报价一览表</w:t>
      </w:r>
      <w:bookmarkEnd w:id="0"/>
    </w:p>
    <w:p w14:paraId="6F6651F1">
      <w:pPr>
        <w:widowControl w:val="0"/>
        <w:autoSpaceDE w:val="0"/>
        <w:autoSpaceDN w:val="0"/>
        <w:adjustRightInd w:val="0"/>
        <w:snapToGrid w:val="0"/>
        <w:ind w:firstLine="0" w:firstLineChars="0"/>
        <w:jc w:val="left"/>
        <w:rPr>
          <w:rFonts w:ascii="仿宋" w:hAnsi="仿宋" w:eastAsia="仿宋" w:cs="仿宋"/>
          <w:sz w:val="36"/>
          <w:szCs w:val="36"/>
          <w:u w:val="single"/>
        </w:rPr>
      </w:pPr>
      <w:r>
        <w:rPr>
          <w:rFonts w:hint="eastAsia" w:ascii="仿宋" w:hAnsi="仿宋" w:eastAsia="仿宋" w:cs="仿宋"/>
          <w:sz w:val="36"/>
          <w:szCs w:val="36"/>
        </w:rPr>
        <w:t>项目名称：</w:t>
      </w:r>
      <w:r>
        <w:rPr>
          <w:rFonts w:hint="eastAsia" w:ascii="仿宋" w:hAnsi="仿宋" w:eastAsia="仿宋" w:cs="仿宋"/>
          <w:sz w:val="36"/>
          <w:szCs w:val="36"/>
          <w:u w:val="single"/>
        </w:rPr>
        <w:t xml:space="preserve"> 深圳市新质生产力赋能平台系统硬件采购    </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7"/>
        <w:gridCol w:w="1553"/>
      </w:tblGrid>
      <w:tr w14:paraId="565E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4088" w:type="pct"/>
            <w:tcBorders>
              <w:left w:val="single" w:color="auto" w:sz="2" w:space="0"/>
            </w:tcBorders>
            <w:shd w:val="clear" w:color="auto" w:fill="DEEBF6" w:themeFill="accent1" w:themeFillTint="32"/>
            <w:vAlign w:val="center"/>
          </w:tcPr>
          <w:p w14:paraId="042B17DD">
            <w:pPr>
              <w:widowControl w:val="0"/>
              <w:autoSpaceDE w:val="0"/>
              <w:autoSpaceDN w:val="0"/>
              <w:adjustRightInd w:val="0"/>
              <w:snapToGrid w:val="0"/>
              <w:ind w:firstLine="0" w:firstLineChars="0"/>
              <w:jc w:val="center"/>
              <w:rPr>
                <w:rFonts w:ascii="仿宋" w:hAnsi="仿宋" w:eastAsia="仿宋" w:cs="仿宋"/>
                <w:b/>
                <w:sz w:val="36"/>
                <w:szCs w:val="36"/>
              </w:rPr>
            </w:pPr>
            <w:r>
              <w:rPr>
                <w:rFonts w:hint="eastAsia" w:ascii="仿宋" w:hAnsi="仿宋" w:eastAsia="仿宋" w:cs="仿宋"/>
                <w:b/>
                <w:sz w:val="36"/>
                <w:szCs w:val="36"/>
              </w:rPr>
              <w:t>投标总价（含税）</w:t>
            </w:r>
          </w:p>
          <w:p w14:paraId="37697530">
            <w:pPr>
              <w:widowControl w:val="0"/>
              <w:autoSpaceDE w:val="0"/>
              <w:autoSpaceDN w:val="0"/>
              <w:adjustRightInd w:val="0"/>
              <w:snapToGrid w:val="0"/>
              <w:ind w:firstLine="0" w:firstLineChars="0"/>
              <w:jc w:val="center"/>
              <w:rPr>
                <w:rFonts w:ascii="仿宋" w:hAnsi="仿宋" w:eastAsia="仿宋" w:cs="仿宋"/>
                <w:b/>
                <w:sz w:val="36"/>
                <w:szCs w:val="36"/>
              </w:rPr>
            </w:pPr>
            <w:r>
              <w:rPr>
                <w:rFonts w:hint="eastAsia" w:ascii="仿宋" w:hAnsi="仿宋" w:eastAsia="仿宋" w:cs="仿宋"/>
                <w:b/>
                <w:sz w:val="36"/>
                <w:szCs w:val="36"/>
              </w:rPr>
              <w:t>（人民币/元）</w:t>
            </w:r>
          </w:p>
        </w:tc>
        <w:tc>
          <w:tcPr>
            <w:tcW w:w="911" w:type="pct"/>
            <w:shd w:val="clear" w:color="auto" w:fill="DEEBF6" w:themeFill="accent1" w:themeFillTint="32"/>
            <w:vAlign w:val="center"/>
          </w:tcPr>
          <w:p w14:paraId="36D2BBB8">
            <w:pPr>
              <w:widowControl w:val="0"/>
              <w:autoSpaceDE w:val="0"/>
              <w:autoSpaceDN w:val="0"/>
              <w:adjustRightInd w:val="0"/>
              <w:snapToGrid w:val="0"/>
              <w:ind w:firstLine="0" w:firstLineChars="0"/>
              <w:jc w:val="center"/>
              <w:rPr>
                <w:rFonts w:ascii="仿宋" w:hAnsi="仿宋" w:eastAsia="仿宋" w:cs="仿宋"/>
                <w:b/>
                <w:sz w:val="36"/>
                <w:szCs w:val="36"/>
              </w:rPr>
            </w:pPr>
            <w:r>
              <w:rPr>
                <w:rFonts w:hint="eastAsia" w:ascii="仿宋" w:hAnsi="仿宋" w:eastAsia="仿宋" w:cs="仿宋"/>
                <w:b/>
                <w:sz w:val="36"/>
                <w:szCs w:val="36"/>
              </w:rPr>
              <w:t>备注</w:t>
            </w:r>
          </w:p>
        </w:tc>
      </w:tr>
      <w:tr w14:paraId="7B92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4088" w:type="pct"/>
            <w:tcBorders>
              <w:left w:val="single" w:color="auto" w:sz="2" w:space="0"/>
            </w:tcBorders>
            <w:vAlign w:val="center"/>
          </w:tcPr>
          <w:p w14:paraId="0BCB78F9">
            <w:pPr>
              <w:widowControl w:val="0"/>
              <w:autoSpaceDE w:val="0"/>
              <w:autoSpaceDN w:val="0"/>
              <w:adjustRightInd w:val="0"/>
              <w:snapToGrid w:val="0"/>
              <w:ind w:firstLine="0" w:firstLineChars="0"/>
              <w:jc w:val="center"/>
              <w:rPr>
                <w:rFonts w:ascii="仿宋" w:hAnsi="仿宋" w:eastAsia="仿宋" w:cs="仿宋"/>
                <w:sz w:val="36"/>
                <w:szCs w:val="36"/>
              </w:rPr>
            </w:pPr>
          </w:p>
        </w:tc>
        <w:tc>
          <w:tcPr>
            <w:tcW w:w="911" w:type="pct"/>
            <w:vAlign w:val="center"/>
          </w:tcPr>
          <w:p w14:paraId="7D24BB35">
            <w:pPr>
              <w:widowControl w:val="0"/>
              <w:autoSpaceDE w:val="0"/>
              <w:autoSpaceDN w:val="0"/>
              <w:adjustRightInd w:val="0"/>
              <w:snapToGrid w:val="0"/>
              <w:ind w:firstLine="0" w:firstLineChars="0"/>
              <w:jc w:val="center"/>
              <w:rPr>
                <w:rFonts w:ascii="仿宋" w:hAnsi="仿宋" w:eastAsia="仿宋" w:cs="仿宋"/>
                <w:sz w:val="36"/>
                <w:szCs w:val="36"/>
              </w:rPr>
            </w:pPr>
            <w:r>
              <w:rPr>
                <w:rFonts w:hint="eastAsia" w:ascii="仿宋" w:hAnsi="仿宋" w:eastAsia="仿宋" w:cs="仿宋"/>
                <w:sz w:val="24"/>
              </w:rPr>
              <w:t>总价=明细表一+二</w:t>
            </w:r>
          </w:p>
        </w:tc>
      </w:tr>
    </w:tbl>
    <w:p w14:paraId="3F5F4480">
      <w:pPr>
        <w:widowControl w:val="0"/>
        <w:autoSpaceDE w:val="0"/>
        <w:autoSpaceDN w:val="0"/>
        <w:adjustRightInd w:val="0"/>
        <w:snapToGrid w:val="0"/>
        <w:ind w:firstLine="720"/>
        <w:jc w:val="left"/>
        <w:rPr>
          <w:rFonts w:ascii="仿宋" w:hAnsi="仿宋" w:eastAsia="仿宋" w:cs="仿宋"/>
          <w:sz w:val="36"/>
          <w:szCs w:val="36"/>
        </w:rPr>
      </w:pPr>
    </w:p>
    <w:p w14:paraId="174E5FF3">
      <w:pPr>
        <w:widowControl w:val="0"/>
        <w:autoSpaceDE w:val="0"/>
        <w:autoSpaceDN w:val="0"/>
        <w:adjustRightInd w:val="0"/>
        <w:snapToGrid w:val="0"/>
        <w:ind w:firstLine="720"/>
        <w:jc w:val="left"/>
        <w:rPr>
          <w:rFonts w:ascii="仿宋" w:hAnsi="仿宋" w:eastAsia="仿宋" w:cs="仿宋"/>
          <w:b/>
          <w:bCs/>
          <w:sz w:val="48"/>
          <w:szCs w:val="48"/>
        </w:rPr>
      </w:pPr>
      <w:bookmarkStart w:id="1" w:name="_Toc201743175"/>
      <w:bookmarkStart w:id="2" w:name="_Toc290993142"/>
      <w:bookmarkStart w:id="3" w:name="_Toc199213770"/>
      <w:bookmarkStart w:id="4" w:name="_Toc353179117"/>
      <w:bookmarkStart w:id="5" w:name="_Toc201719175"/>
      <w:bookmarkStart w:id="6" w:name="_Toc280341062"/>
      <w:bookmarkStart w:id="7" w:name="_Toc199215805"/>
      <w:bookmarkStart w:id="8" w:name="_Toc350769836"/>
      <w:bookmarkStart w:id="9" w:name="_Toc201401716"/>
      <w:bookmarkStart w:id="10" w:name="_Toc280341060"/>
      <w:bookmarkStart w:id="11" w:name="_Toc350770143"/>
      <w:bookmarkStart w:id="12" w:name="_Toc349224955"/>
      <w:bookmarkStart w:id="13" w:name="_Toc350774927"/>
      <w:bookmarkStart w:id="14" w:name="_Toc199215999"/>
      <w:bookmarkStart w:id="15" w:name="_Toc201742920"/>
      <w:bookmarkStart w:id="16" w:name="_Toc373075880"/>
      <w:bookmarkStart w:id="17" w:name="_Toc350871837"/>
      <w:bookmarkStart w:id="18" w:name="_Toc278893413"/>
      <w:bookmarkStart w:id="19" w:name="_Toc353538815"/>
      <w:bookmarkStart w:id="20" w:name="_Toc342064557"/>
      <w:bookmarkStart w:id="21" w:name="_Toc351032922"/>
      <w:bookmarkStart w:id="22" w:name="_Toc342473298"/>
      <w:bookmarkStart w:id="23" w:name="_Toc353110277"/>
      <w:bookmarkStart w:id="24" w:name="_Toc342056723"/>
      <w:bookmarkStart w:id="25" w:name="_Toc342394853"/>
      <w:bookmarkStart w:id="26" w:name="_Toc390444192"/>
      <w:bookmarkStart w:id="27" w:name="_Toc372450815"/>
      <w:bookmarkStart w:id="28" w:name="_Toc354928098"/>
      <w:bookmarkStart w:id="29" w:name="_Toc285611324"/>
      <w:bookmarkStart w:id="30" w:name="_Toc291178366"/>
      <w:bookmarkStart w:id="31" w:name="_Toc354072485"/>
      <w:bookmarkStart w:id="32" w:name="_Toc201998003"/>
      <w:r>
        <w:rPr>
          <w:rFonts w:hint="eastAsia" w:ascii="仿宋" w:hAnsi="仿宋" w:eastAsia="仿宋" w:cs="仿宋"/>
          <w:sz w:val="36"/>
          <w:szCs w:val="36"/>
        </w:rPr>
        <w:t>投标人（盖章）：</w:t>
      </w:r>
      <w:r>
        <w:rPr>
          <w:rFonts w:hint="eastAsia" w:ascii="仿宋" w:hAnsi="仿宋" w:eastAsia="仿宋" w:cs="仿宋"/>
          <w:sz w:val="36"/>
          <w:szCs w:val="36"/>
          <w:u w:val="single"/>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仿宋" w:hAnsi="仿宋" w:eastAsia="仿宋" w:cs="仿宋"/>
          <w:b/>
          <w:sz w:val="24"/>
        </w:rPr>
        <w:br w:type="page"/>
      </w:r>
    </w:p>
    <w:p w14:paraId="52DAD57B">
      <w:pPr>
        <w:widowControl w:val="0"/>
        <w:autoSpaceDE w:val="0"/>
        <w:autoSpaceDN w:val="0"/>
        <w:adjustRightInd w:val="0"/>
        <w:snapToGrid w:val="0"/>
        <w:ind w:firstLine="0" w:firstLineChars="0"/>
        <w:jc w:val="center"/>
        <w:outlineLvl w:val="0"/>
        <w:rPr>
          <w:rFonts w:ascii="仿宋" w:hAnsi="仿宋" w:eastAsia="仿宋" w:cs="仿宋"/>
          <w:b/>
          <w:bCs/>
          <w:sz w:val="36"/>
          <w:szCs w:val="36"/>
        </w:rPr>
      </w:pPr>
      <w:bookmarkStart w:id="33" w:name="_Toc14152"/>
      <w:r>
        <w:rPr>
          <w:rFonts w:hint="eastAsia" w:ascii="仿宋" w:hAnsi="仿宋" w:eastAsia="仿宋" w:cs="仿宋"/>
          <w:b/>
          <w:bCs/>
          <w:sz w:val="36"/>
          <w:szCs w:val="36"/>
        </w:rPr>
        <w:t>2.货物与服务价格明细一览表</w:t>
      </w:r>
      <w:bookmarkEnd w:id="33"/>
    </w:p>
    <w:p w14:paraId="57836A43">
      <w:pPr>
        <w:widowControl w:val="0"/>
        <w:autoSpaceDE w:val="0"/>
        <w:autoSpaceDN w:val="0"/>
        <w:adjustRightInd w:val="0"/>
        <w:snapToGrid w:val="0"/>
        <w:ind w:firstLine="0" w:firstLineChars="0"/>
        <w:jc w:val="left"/>
        <w:rPr>
          <w:rFonts w:ascii="仿宋" w:hAnsi="仿宋" w:eastAsia="仿宋" w:cs="仿宋"/>
          <w:sz w:val="36"/>
          <w:szCs w:val="36"/>
          <w:u w:val="single"/>
        </w:rPr>
      </w:pPr>
      <w:r>
        <w:rPr>
          <w:rFonts w:hint="eastAsia" w:ascii="仿宋" w:hAnsi="仿宋" w:eastAsia="仿宋" w:cs="仿宋"/>
          <w:sz w:val="36"/>
          <w:szCs w:val="36"/>
        </w:rPr>
        <w:t>项目名称：</w:t>
      </w:r>
      <w:r>
        <w:rPr>
          <w:rFonts w:hint="eastAsia" w:ascii="仿宋" w:hAnsi="仿宋" w:eastAsia="仿宋" w:cs="仿宋"/>
          <w:sz w:val="36"/>
          <w:szCs w:val="36"/>
          <w:u w:val="single"/>
        </w:rPr>
        <w:t xml:space="preserve"> 深圳市新质生产力赋能平台系统硬件采购    </w:t>
      </w:r>
    </w:p>
    <w:p w14:paraId="1C2327A1">
      <w:pPr>
        <w:widowControl w:val="0"/>
        <w:autoSpaceDE w:val="0"/>
        <w:autoSpaceDN w:val="0"/>
        <w:adjustRightInd w:val="0"/>
        <w:snapToGrid w:val="0"/>
        <w:ind w:firstLine="0" w:firstLineChars="0"/>
        <w:jc w:val="left"/>
        <w:rPr>
          <w:rFonts w:ascii="仿宋" w:hAnsi="仿宋" w:eastAsia="仿宋" w:cs="仿宋"/>
          <w:b/>
          <w:bCs/>
          <w:sz w:val="36"/>
          <w:szCs w:val="36"/>
        </w:rPr>
      </w:pPr>
      <w:r>
        <w:rPr>
          <w:rFonts w:hint="eastAsia" w:ascii="仿宋" w:hAnsi="仿宋" w:eastAsia="仿宋" w:cs="仿宋"/>
          <w:b/>
          <w:bCs/>
          <w:sz w:val="36"/>
          <w:szCs w:val="36"/>
        </w:rPr>
        <w:t>一、系统硬件设备采购机房IT基础资源建设报价清单</w:t>
      </w:r>
    </w:p>
    <w:tbl>
      <w:tblPr>
        <w:tblStyle w:val="5"/>
        <w:tblW w:w="9256" w:type="dxa"/>
        <w:tblInd w:w="-368" w:type="dxa"/>
        <w:tblLayout w:type="fixed"/>
        <w:tblCellMar>
          <w:top w:w="0" w:type="dxa"/>
          <w:left w:w="108" w:type="dxa"/>
          <w:bottom w:w="0" w:type="dxa"/>
          <w:right w:w="108" w:type="dxa"/>
        </w:tblCellMar>
      </w:tblPr>
      <w:tblGrid>
        <w:gridCol w:w="614"/>
        <w:gridCol w:w="1376"/>
        <w:gridCol w:w="3767"/>
        <w:gridCol w:w="410"/>
        <w:gridCol w:w="471"/>
        <w:gridCol w:w="573"/>
        <w:gridCol w:w="651"/>
        <w:gridCol w:w="692"/>
        <w:gridCol w:w="702"/>
      </w:tblGrid>
      <w:tr w14:paraId="01C9425F">
        <w:tblPrEx>
          <w:tblCellMar>
            <w:top w:w="0" w:type="dxa"/>
            <w:left w:w="108" w:type="dxa"/>
            <w:bottom w:w="0" w:type="dxa"/>
            <w:right w:w="108" w:type="dxa"/>
          </w:tblCellMar>
        </w:tblPrEx>
        <w:trPr>
          <w:trHeight w:val="1808" w:hRule="atLeast"/>
          <w:tblHeader/>
        </w:trPr>
        <w:tc>
          <w:tcPr>
            <w:tcW w:w="614" w:type="dxa"/>
            <w:tcBorders>
              <w:top w:val="single" w:color="auto" w:sz="4" w:space="0"/>
              <w:left w:val="single" w:color="auto" w:sz="4" w:space="0"/>
              <w:bottom w:val="single" w:color="auto" w:sz="4" w:space="0"/>
              <w:right w:val="single" w:color="auto" w:sz="4" w:space="0"/>
            </w:tcBorders>
            <w:shd w:val="clear" w:color="auto" w:fill="DEEBF6" w:themeFill="accent1" w:themeFillTint="32"/>
            <w:noWrap/>
            <w:vAlign w:val="center"/>
          </w:tcPr>
          <w:p w14:paraId="5A91F74B">
            <w:pPr>
              <w:widowControl w:val="0"/>
              <w:autoSpaceDE w:val="0"/>
              <w:autoSpaceDN w:val="0"/>
              <w:adjustRightInd w:val="0"/>
              <w:snapToGrid w:val="0"/>
              <w:ind w:firstLine="0" w:firstLineChars="0"/>
              <w:jc w:val="center"/>
              <w:rPr>
                <w:rFonts w:ascii="仿宋" w:hAnsi="仿宋" w:eastAsia="仿宋" w:cs="仿宋"/>
                <w:b/>
                <w:sz w:val="24"/>
              </w:rPr>
            </w:pPr>
            <w:bookmarkStart w:id="34" w:name="table14"/>
            <w:bookmarkEnd w:id="34"/>
            <w:r>
              <w:rPr>
                <w:rFonts w:hint="eastAsia" w:ascii="仿宋" w:hAnsi="仿宋" w:eastAsia="仿宋" w:cs="仿宋"/>
                <w:b/>
                <w:sz w:val="24"/>
              </w:rPr>
              <w:t>序号</w:t>
            </w:r>
          </w:p>
        </w:tc>
        <w:tc>
          <w:tcPr>
            <w:tcW w:w="1376" w:type="dxa"/>
            <w:tcBorders>
              <w:top w:val="single" w:color="auto" w:sz="4" w:space="0"/>
              <w:left w:val="nil"/>
              <w:bottom w:val="single" w:color="auto" w:sz="4" w:space="0"/>
              <w:right w:val="single" w:color="auto" w:sz="4" w:space="0"/>
            </w:tcBorders>
            <w:shd w:val="clear" w:color="auto" w:fill="DEEBF6" w:themeFill="accent1" w:themeFillTint="32"/>
            <w:vAlign w:val="center"/>
          </w:tcPr>
          <w:p w14:paraId="71FDAA63">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货物名称</w:t>
            </w:r>
          </w:p>
        </w:tc>
        <w:tc>
          <w:tcPr>
            <w:tcW w:w="3767" w:type="dxa"/>
            <w:tcBorders>
              <w:top w:val="single" w:color="auto" w:sz="4" w:space="0"/>
              <w:left w:val="nil"/>
              <w:bottom w:val="single" w:color="auto" w:sz="4" w:space="0"/>
              <w:right w:val="single" w:color="auto" w:sz="4" w:space="0"/>
            </w:tcBorders>
            <w:shd w:val="clear" w:color="auto" w:fill="DEEBF6" w:themeFill="accent1" w:themeFillTint="32"/>
            <w:vAlign w:val="center"/>
          </w:tcPr>
          <w:p w14:paraId="3AB81055">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货物详细说明</w:t>
            </w:r>
            <w:r>
              <w:rPr>
                <w:rFonts w:hint="eastAsia" w:ascii="仿宋" w:hAnsi="仿宋" w:eastAsia="仿宋" w:cs="仿宋"/>
                <w:b/>
                <w:sz w:val="24"/>
              </w:rPr>
              <w:br w:type="textWrapping"/>
            </w:r>
            <w:r>
              <w:rPr>
                <w:rFonts w:hint="eastAsia" w:ascii="仿宋" w:hAnsi="仿宋" w:eastAsia="仿宋" w:cs="仿宋"/>
                <w:b/>
                <w:sz w:val="24"/>
              </w:rPr>
              <w:t>（品牌等）</w:t>
            </w:r>
          </w:p>
        </w:tc>
        <w:tc>
          <w:tcPr>
            <w:tcW w:w="410" w:type="dxa"/>
            <w:tcBorders>
              <w:top w:val="single" w:color="auto" w:sz="4" w:space="0"/>
              <w:left w:val="nil"/>
              <w:bottom w:val="single" w:color="auto" w:sz="4" w:space="0"/>
              <w:right w:val="single" w:color="auto" w:sz="4" w:space="0"/>
            </w:tcBorders>
            <w:shd w:val="clear" w:color="auto" w:fill="DEEBF6" w:themeFill="accent1" w:themeFillTint="32"/>
            <w:noWrap/>
            <w:vAlign w:val="center"/>
          </w:tcPr>
          <w:p w14:paraId="0AB140C0">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单位</w:t>
            </w:r>
          </w:p>
        </w:tc>
        <w:tc>
          <w:tcPr>
            <w:tcW w:w="471" w:type="dxa"/>
            <w:tcBorders>
              <w:top w:val="single" w:color="auto" w:sz="4" w:space="0"/>
              <w:left w:val="nil"/>
              <w:bottom w:val="single" w:color="auto" w:sz="4" w:space="0"/>
              <w:right w:val="single" w:color="auto" w:sz="4" w:space="0"/>
            </w:tcBorders>
            <w:shd w:val="clear" w:color="auto" w:fill="DEEBF6" w:themeFill="accent1" w:themeFillTint="32"/>
            <w:noWrap/>
            <w:vAlign w:val="center"/>
          </w:tcPr>
          <w:p w14:paraId="6A630582">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数量</w:t>
            </w:r>
          </w:p>
        </w:tc>
        <w:tc>
          <w:tcPr>
            <w:tcW w:w="573" w:type="dxa"/>
            <w:tcBorders>
              <w:top w:val="single" w:color="auto" w:sz="4" w:space="0"/>
              <w:left w:val="nil"/>
              <w:bottom w:val="single" w:color="auto" w:sz="4" w:space="0"/>
              <w:right w:val="single" w:color="auto" w:sz="4" w:space="0"/>
            </w:tcBorders>
            <w:shd w:val="clear" w:color="auto" w:fill="DEEBF6" w:themeFill="accent1" w:themeFillTint="32"/>
            <w:noWrap/>
            <w:vAlign w:val="center"/>
          </w:tcPr>
          <w:p w14:paraId="2C733CF1">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品牌</w:t>
            </w:r>
          </w:p>
        </w:tc>
        <w:tc>
          <w:tcPr>
            <w:tcW w:w="651" w:type="dxa"/>
            <w:tcBorders>
              <w:top w:val="single" w:color="auto" w:sz="4" w:space="0"/>
              <w:left w:val="nil"/>
              <w:bottom w:val="single" w:color="auto" w:sz="4" w:space="0"/>
              <w:right w:val="single" w:color="auto" w:sz="4" w:space="0"/>
            </w:tcBorders>
            <w:shd w:val="clear" w:color="auto" w:fill="DEEBF6" w:themeFill="accent1" w:themeFillTint="32"/>
            <w:noWrap/>
            <w:vAlign w:val="center"/>
          </w:tcPr>
          <w:p w14:paraId="31C335FC">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单价</w:t>
            </w:r>
            <w:r>
              <w:rPr>
                <w:rFonts w:hint="eastAsia" w:ascii="仿宋" w:hAnsi="仿宋" w:eastAsia="仿宋" w:cs="仿宋"/>
                <w:b/>
                <w:sz w:val="24"/>
                <w:lang w:eastAsia="zh-CN"/>
              </w:rPr>
              <w:t>（</w:t>
            </w:r>
            <w:r>
              <w:rPr>
                <w:rFonts w:hint="eastAsia" w:ascii="仿宋" w:hAnsi="仿宋" w:eastAsia="仿宋" w:cs="仿宋"/>
                <w:b/>
                <w:sz w:val="24"/>
              </w:rPr>
              <w:t>元</w:t>
            </w:r>
            <w:r>
              <w:rPr>
                <w:rFonts w:hint="eastAsia" w:ascii="仿宋" w:hAnsi="仿宋" w:eastAsia="仿宋" w:cs="仿宋"/>
                <w:b/>
                <w:sz w:val="24"/>
                <w:lang w:eastAsia="zh-CN"/>
              </w:rPr>
              <w:t>）</w:t>
            </w:r>
          </w:p>
        </w:tc>
        <w:tc>
          <w:tcPr>
            <w:tcW w:w="692" w:type="dxa"/>
            <w:tcBorders>
              <w:top w:val="single" w:color="auto" w:sz="4" w:space="0"/>
              <w:left w:val="nil"/>
              <w:bottom w:val="single" w:color="auto" w:sz="4" w:space="0"/>
              <w:right w:val="single" w:color="auto" w:sz="4" w:space="0"/>
            </w:tcBorders>
            <w:shd w:val="clear" w:color="auto" w:fill="DEEBF6" w:themeFill="accent1" w:themeFillTint="32"/>
            <w:noWrap/>
            <w:vAlign w:val="center"/>
          </w:tcPr>
          <w:p w14:paraId="43A8F024">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合计</w:t>
            </w:r>
            <w:r>
              <w:rPr>
                <w:rFonts w:hint="eastAsia" w:ascii="仿宋" w:hAnsi="仿宋" w:eastAsia="仿宋" w:cs="仿宋"/>
                <w:b/>
                <w:sz w:val="24"/>
                <w:lang w:eastAsia="zh-CN"/>
              </w:rPr>
              <w:t>（</w:t>
            </w:r>
            <w:r>
              <w:rPr>
                <w:rFonts w:hint="eastAsia" w:ascii="仿宋" w:hAnsi="仿宋" w:eastAsia="仿宋" w:cs="仿宋"/>
                <w:b/>
                <w:sz w:val="24"/>
              </w:rPr>
              <w:t>元</w:t>
            </w:r>
            <w:r>
              <w:rPr>
                <w:rFonts w:hint="eastAsia" w:ascii="仿宋" w:hAnsi="仿宋" w:eastAsia="仿宋" w:cs="仿宋"/>
                <w:b/>
                <w:sz w:val="24"/>
                <w:lang w:eastAsia="zh-CN"/>
              </w:rPr>
              <w:t>）</w:t>
            </w:r>
          </w:p>
        </w:tc>
        <w:tc>
          <w:tcPr>
            <w:tcW w:w="702" w:type="dxa"/>
            <w:tcBorders>
              <w:top w:val="single" w:color="auto" w:sz="4" w:space="0"/>
              <w:left w:val="nil"/>
              <w:bottom w:val="single" w:color="auto" w:sz="4" w:space="0"/>
              <w:right w:val="single" w:color="auto" w:sz="4" w:space="0"/>
            </w:tcBorders>
            <w:shd w:val="clear" w:color="auto" w:fill="DEEBF6" w:themeFill="accent1" w:themeFillTint="32"/>
            <w:noWrap/>
            <w:vAlign w:val="center"/>
          </w:tcPr>
          <w:p w14:paraId="7F89F20B">
            <w:pPr>
              <w:widowControl w:val="0"/>
              <w:autoSpaceDE w:val="0"/>
              <w:autoSpaceDN w:val="0"/>
              <w:adjustRightInd w:val="0"/>
              <w:snapToGrid w:val="0"/>
              <w:ind w:firstLine="0" w:firstLineChars="0"/>
              <w:jc w:val="center"/>
              <w:rPr>
                <w:rFonts w:ascii="仿宋" w:hAnsi="仿宋" w:eastAsia="仿宋" w:cs="仿宋"/>
                <w:b/>
                <w:sz w:val="24"/>
              </w:rPr>
            </w:pPr>
            <w:r>
              <w:rPr>
                <w:rFonts w:hint="eastAsia" w:ascii="仿宋" w:hAnsi="仿宋" w:eastAsia="仿宋" w:cs="仿宋"/>
                <w:b/>
                <w:sz w:val="24"/>
              </w:rPr>
              <w:t>备注</w:t>
            </w:r>
          </w:p>
        </w:tc>
      </w:tr>
      <w:tr w14:paraId="2A5DB1E9">
        <w:tblPrEx>
          <w:tblCellMar>
            <w:top w:w="0" w:type="dxa"/>
            <w:left w:w="108" w:type="dxa"/>
            <w:bottom w:w="0" w:type="dxa"/>
            <w:right w:w="108" w:type="dxa"/>
          </w:tblCellMar>
        </w:tblPrEx>
        <w:trPr>
          <w:trHeight w:val="629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71F5ADA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376" w:type="dxa"/>
            <w:tcBorders>
              <w:top w:val="nil"/>
              <w:left w:val="nil"/>
              <w:bottom w:val="single" w:color="auto" w:sz="4" w:space="0"/>
              <w:right w:val="single" w:color="auto" w:sz="4" w:space="0"/>
            </w:tcBorders>
            <w:shd w:val="clear" w:color="auto" w:fill="auto"/>
            <w:vAlign w:val="center"/>
          </w:tcPr>
          <w:p w14:paraId="31CAAB56">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服务器</w:t>
            </w:r>
          </w:p>
        </w:tc>
        <w:tc>
          <w:tcPr>
            <w:tcW w:w="3767" w:type="dxa"/>
            <w:tcBorders>
              <w:top w:val="nil"/>
              <w:left w:val="nil"/>
              <w:bottom w:val="single" w:color="auto" w:sz="4" w:space="0"/>
              <w:right w:val="single" w:color="auto" w:sz="4" w:space="0"/>
            </w:tcBorders>
            <w:shd w:val="clear" w:color="auto" w:fill="auto"/>
            <w:vAlign w:val="center"/>
          </w:tcPr>
          <w:p w14:paraId="32C0C5D6">
            <w:pPr>
              <w:spacing w:line="240" w:lineRule="auto"/>
              <w:ind w:firstLine="0" w:firstLineChars="0"/>
              <w:jc w:val="left"/>
              <w:textAlignment w:val="center"/>
              <w:rPr>
                <w:rFonts w:hint="eastAsia"/>
              </w:rPr>
            </w:pPr>
            <w:r>
              <w:rPr>
                <w:rFonts w:hint="eastAsia"/>
              </w:rPr>
              <w:t>1、规格：4U机架式服务器，带免工具导轨；</w:t>
            </w:r>
          </w:p>
          <w:p w14:paraId="3D7BFADC">
            <w:pPr>
              <w:spacing w:line="240" w:lineRule="auto"/>
              <w:ind w:firstLine="0" w:firstLineChars="0"/>
              <w:jc w:val="left"/>
              <w:textAlignment w:val="center"/>
              <w:rPr>
                <w:rFonts w:hint="eastAsia"/>
              </w:rPr>
            </w:pPr>
            <w:r>
              <w:rPr>
                <w:rFonts w:hint="eastAsia"/>
              </w:rPr>
              <w:t>2、处理器：配置2颗Platinum 8462Y+ 32C 300W 2.8GHz；</w:t>
            </w:r>
          </w:p>
          <w:p w14:paraId="62A8801B">
            <w:pPr>
              <w:spacing w:line="240" w:lineRule="auto"/>
              <w:ind w:firstLine="0" w:firstLineChars="0"/>
              <w:jc w:val="left"/>
              <w:textAlignment w:val="center"/>
              <w:rPr>
                <w:rFonts w:hint="eastAsia"/>
              </w:rPr>
            </w:pPr>
            <w:r>
              <w:rPr>
                <w:rFonts w:hint="eastAsia"/>
              </w:rPr>
              <w:t>3、内存：1TB (32*32G) TruDDR4 4800MHz，实配≥32条内存插槽；</w:t>
            </w:r>
          </w:p>
          <w:p w14:paraId="5387F871">
            <w:pPr>
              <w:spacing w:line="240" w:lineRule="auto"/>
              <w:ind w:firstLine="0" w:firstLineChars="0"/>
              <w:jc w:val="left"/>
              <w:textAlignment w:val="center"/>
              <w:rPr>
                <w:rFonts w:hint="eastAsia"/>
              </w:rPr>
            </w:pPr>
            <w:r>
              <w:rPr>
                <w:rFonts w:hint="eastAsia"/>
              </w:rPr>
              <w:t>4、硬盘：配置2块480GB热插拔SSD（raid1），10块3.84T SSD 固态硬盘</w:t>
            </w:r>
          </w:p>
          <w:p w14:paraId="7EF23D6A">
            <w:pPr>
              <w:spacing w:line="240" w:lineRule="auto"/>
              <w:ind w:firstLine="0" w:firstLineChars="0"/>
              <w:jc w:val="left"/>
              <w:textAlignment w:val="center"/>
              <w:rPr>
                <w:rFonts w:hint="eastAsia"/>
              </w:rPr>
            </w:pPr>
            <w:r>
              <w:rPr>
                <w:rFonts w:hint="eastAsia"/>
              </w:rPr>
              <w:t>5、网卡：配置4个千兆以太网口，2个双口10/25Gb以太网卡（含模块，10G 、25G各半），1个专用管理网口</w:t>
            </w:r>
          </w:p>
          <w:p w14:paraId="3AC5216A">
            <w:pPr>
              <w:spacing w:line="240" w:lineRule="auto"/>
              <w:ind w:firstLine="0" w:firstLineChars="0"/>
              <w:jc w:val="left"/>
              <w:textAlignment w:val="center"/>
              <w:rPr>
                <w:rFonts w:hint="eastAsia"/>
              </w:rPr>
            </w:pPr>
            <w:r>
              <w:rPr>
                <w:rFonts w:hint="eastAsia"/>
              </w:rPr>
              <w:t>6、电源：配置2块1800W热插拔冗余电源</w:t>
            </w:r>
          </w:p>
          <w:p w14:paraId="08F5D899">
            <w:pPr>
              <w:spacing w:line="240" w:lineRule="auto"/>
              <w:ind w:firstLine="0" w:firstLineChars="0"/>
              <w:jc w:val="left"/>
              <w:textAlignment w:val="center"/>
              <w:rPr>
                <w:rFonts w:hint="eastAsia"/>
              </w:rPr>
            </w:pPr>
            <w:r>
              <w:rPr>
                <w:rFonts w:hint="eastAsia"/>
              </w:rPr>
              <w:t>7、管理；配置远程管理功能及高级模块授权</w:t>
            </w:r>
          </w:p>
          <w:p w14:paraId="677A4337">
            <w:pPr>
              <w:spacing w:line="240" w:lineRule="auto"/>
              <w:ind w:firstLine="0" w:firstLineChars="0"/>
              <w:jc w:val="left"/>
              <w:textAlignment w:val="center"/>
              <w:rPr>
                <w:rFonts w:hint="eastAsia"/>
              </w:rPr>
            </w:pPr>
            <w:r>
              <w:rPr>
                <w:rFonts w:hint="eastAsia"/>
              </w:rPr>
              <w:t>8、质保：提供原厂3年7x24小时，硬盘不返还保修服务</w:t>
            </w:r>
          </w:p>
          <w:p w14:paraId="050D2B77">
            <w:pPr>
              <w:spacing w:line="240" w:lineRule="auto"/>
              <w:ind w:firstLine="0" w:firstLineChars="0"/>
              <w:jc w:val="left"/>
              <w:textAlignment w:val="center"/>
              <w:rPr>
                <w:rFonts w:ascii="仿宋" w:hAnsi="仿宋" w:eastAsia="仿宋" w:cs="仿宋"/>
                <w:color w:val="000000"/>
                <w:kern w:val="0"/>
                <w:sz w:val="22"/>
                <w:szCs w:val="22"/>
              </w:rPr>
            </w:pPr>
            <w:r>
              <w:rPr>
                <w:rFonts w:hint="eastAsia"/>
              </w:rPr>
              <w:t>9、NVIDIA RTX A4500 200W（max） 显卡*4</w:t>
            </w:r>
          </w:p>
        </w:tc>
        <w:tc>
          <w:tcPr>
            <w:tcW w:w="410" w:type="dxa"/>
            <w:tcBorders>
              <w:top w:val="nil"/>
              <w:left w:val="nil"/>
              <w:bottom w:val="single" w:color="auto" w:sz="4" w:space="0"/>
              <w:right w:val="single" w:color="auto" w:sz="4" w:space="0"/>
            </w:tcBorders>
            <w:shd w:val="clear" w:color="auto" w:fill="auto"/>
            <w:noWrap/>
            <w:vAlign w:val="center"/>
          </w:tcPr>
          <w:p w14:paraId="126B6D48">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16B0387B">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8</w:t>
            </w:r>
          </w:p>
        </w:tc>
        <w:tc>
          <w:tcPr>
            <w:tcW w:w="573" w:type="dxa"/>
            <w:tcBorders>
              <w:top w:val="nil"/>
              <w:left w:val="nil"/>
              <w:bottom w:val="single" w:color="auto" w:sz="4" w:space="0"/>
              <w:right w:val="single" w:color="auto" w:sz="4" w:space="0"/>
            </w:tcBorders>
            <w:shd w:val="clear" w:color="auto" w:fill="auto"/>
            <w:noWrap/>
            <w:vAlign w:val="center"/>
          </w:tcPr>
          <w:p w14:paraId="12CF7540">
            <w:pPr>
              <w:ind w:firstLine="0" w:firstLineChars="0"/>
              <w:jc w:val="left"/>
              <w:textAlignment w:val="center"/>
              <w:rPr>
                <w:rFonts w:ascii="仿宋" w:hAnsi="仿宋" w:eastAsia="仿宋" w:cs="仿宋"/>
                <w:color w:val="000000"/>
                <w:kern w:val="0"/>
                <w:sz w:val="22"/>
                <w:szCs w:val="22"/>
              </w:rPr>
            </w:pPr>
          </w:p>
        </w:tc>
        <w:tc>
          <w:tcPr>
            <w:tcW w:w="651" w:type="dxa"/>
            <w:tcBorders>
              <w:top w:val="nil"/>
              <w:left w:val="nil"/>
              <w:bottom w:val="single" w:color="auto" w:sz="4" w:space="0"/>
              <w:right w:val="single" w:color="auto" w:sz="4" w:space="0"/>
            </w:tcBorders>
            <w:shd w:val="clear" w:color="auto" w:fill="auto"/>
            <w:noWrap/>
            <w:vAlign w:val="center"/>
          </w:tcPr>
          <w:p w14:paraId="2504716E">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35A705A1">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4F2D4E7F">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4988B935">
        <w:tblPrEx>
          <w:tblCellMar>
            <w:top w:w="0" w:type="dxa"/>
            <w:left w:w="108" w:type="dxa"/>
            <w:bottom w:w="0" w:type="dxa"/>
            <w:right w:w="108" w:type="dxa"/>
          </w:tblCellMar>
        </w:tblPrEx>
        <w:trPr>
          <w:trHeight w:val="472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5FD312E6">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1376" w:type="dxa"/>
            <w:tcBorders>
              <w:top w:val="nil"/>
              <w:left w:val="nil"/>
              <w:bottom w:val="single" w:color="auto" w:sz="4" w:space="0"/>
              <w:right w:val="single" w:color="auto" w:sz="4" w:space="0"/>
            </w:tcBorders>
            <w:shd w:val="clear" w:color="auto" w:fill="auto"/>
            <w:vAlign w:val="center"/>
          </w:tcPr>
          <w:p w14:paraId="7549CC84">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核心交换机</w:t>
            </w:r>
          </w:p>
        </w:tc>
        <w:tc>
          <w:tcPr>
            <w:tcW w:w="3767" w:type="dxa"/>
            <w:tcBorders>
              <w:top w:val="nil"/>
              <w:left w:val="nil"/>
              <w:bottom w:val="single" w:color="auto" w:sz="4" w:space="0"/>
              <w:right w:val="single" w:color="auto" w:sz="4" w:space="0"/>
            </w:tcBorders>
            <w:shd w:val="clear" w:color="auto" w:fill="auto"/>
            <w:vAlign w:val="center"/>
          </w:tcPr>
          <w:p w14:paraId="46134017">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1、交换容量≥2.5Tbps，包转发率≥1600Mpps；</w:t>
            </w:r>
          </w:p>
          <w:p w14:paraId="6C0C9047">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2、为了提高设备可靠性，支持模块化可插拔双电源；</w:t>
            </w:r>
          </w:p>
          <w:p w14:paraId="670DF30F">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3、支持25GE光口≥28，100GE光口≥4；</w:t>
            </w:r>
          </w:p>
          <w:p w14:paraId="2E69B626">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4、支持静态路由、RIP v1/v2、OSPF、BGP、ISIS、RIPng、OSPFv3、ISISv6、BGP4+；</w:t>
            </w:r>
          </w:p>
          <w:p w14:paraId="33B80C4A">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5、支持IGMP v1/v2/v3、PIM-SM、PIM-DM、PIM-SSM；</w:t>
            </w:r>
          </w:p>
          <w:p w14:paraId="681E6404">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6、支持VxLAN功能，支持BGP EVPN，实现自动建立隧道；</w:t>
            </w:r>
          </w:p>
          <w:p w14:paraId="35C2F88C">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7、支持G.8032标准以太环网协议；</w:t>
            </w:r>
          </w:p>
          <w:p w14:paraId="0825C491">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8、配置：双电源</w:t>
            </w:r>
          </w:p>
        </w:tc>
        <w:tc>
          <w:tcPr>
            <w:tcW w:w="410" w:type="dxa"/>
            <w:tcBorders>
              <w:top w:val="nil"/>
              <w:left w:val="nil"/>
              <w:bottom w:val="single" w:color="auto" w:sz="4" w:space="0"/>
              <w:right w:val="single" w:color="auto" w:sz="4" w:space="0"/>
            </w:tcBorders>
            <w:shd w:val="clear" w:color="auto" w:fill="auto"/>
            <w:noWrap/>
            <w:vAlign w:val="center"/>
          </w:tcPr>
          <w:p w14:paraId="285EEECA">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台</w:t>
            </w:r>
          </w:p>
        </w:tc>
        <w:tc>
          <w:tcPr>
            <w:tcW w:w="471" w:type="dxa"/>
            <w:tcBorders>
              <w:top w:val="nil"/>
              <w:left w:val="nil"/>
              <w:bottom w:val="single" w:color="auto" w:sz="4" w:space="0"/>
              <w:right w:val="single" w:color="auto" w:sz="4" w:space="0"/>
            </w:tcBorders>
            <w:shd w:val="clear" w:color="auto" w:fill="auto"/>
            <w:noWrap/>
            <w:vAlign w:val="center"/>
          </w:tcPr>
          <w:p w14:paraId="05EA40EB">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2</w:t>
            </w:r>
          </w:p>
        </w:tc>
        <w:tc>
          <w:tcPr>
            <w:tcW w:w="573" w:type="dxa"/>
            <w:tcBorders>
              <w:top w:val="nil"/>
              <w:left w:val="nil"/>
              <w:bottom w:val="single" w:color="auto" w:sz="4" w:space="0"/>
              <w:right w:val="single" w:color="auto" w:sz="4" w:space="0"/>
            </w:tcBorders>
            <w:shd w:val="clear" w:color="auto" w:fill="auto"/>
            <w:noWrap/>
            <w:vAlign w:val="center"/>
          </w:tcPr>
          <w:p w14:paraId="7134864C">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638F55D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7FB95AB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269C9008">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0CAB94A">
        <w:tblPrEx>
          <w:tblCellMar>
            <w:top w:w="0" w:type="dxa"/>
            <w:left w:w="108" w:type="dxa"/>
            <w:bottom w:w="0" w:type="dxa"/>
            <w:right w:w="108" w:type="dxa"/>
          </w:tblCellMar>
        </w:tblPrEx>
        <w:trPr>
          <w:trHeight w:val="472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03E890C1">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1376" w:type="dxa"/>
            <w:tcBorders>
              <w:top w:val="nil"/>
              <w:left w:val="nil"/>
              <w:bottom w:val="single" w:color="auto" w:sz="4" w:space="0"/>
              <w:right w:val="single" w:color="auto" w:sz="4" w:space="0"/>
            </w:tcBorders>
            <w:shd w:val="clear" w:color="auto" w:fill="auto"/>
            <w:vAlign w:val="center"/>
          </w:tcPr>
          <w:p w14:paraId="03EA564A">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光纤交换机</w:t>
            </w:r>
          </w:p>
        </w:tc>
        <w:tc>
          <w:tcPr>
            <w:tcW w:w="3767" w:type="dxa"/>
            <w:tcBorders>
              <w:top w:val="nil"/>
              <w:left w:val="nil"/>
              <w:bottom w:val="single" w:color="auto" w:sz="4" w:space="0"/>
              <w:right w:val="single" w:color="auto" w:sz="4" w:space="0"/>
            </w:tcBorders>
            <w:shd w:val="clear" w:color="auto" w:fill="auto"/>
            <w:vAlign w:val="center"/>
          </w:tcPr>
          <w:p w14:paraId="60C14C2B">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1、交换容量≥2.5Tbps，包转发率≥1600Mpps；</w:t>
            </w:r>
          </w:p>
          <w:p w14:paraId="0A46E0B1">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2、为了提高设备可靠性，支持模块化可插拔双电源；</w:t>
            </w:r>
          </w:p>
          <w:p w14:paraId="17C288A4">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3、支持25GE光口≥28，100GE光口≥4；</w:t>
            </w:r>
          </w:p>
          <w:p w14:paraId="16173B5C">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4、支持静态路由、RIP v1/v2、OSPF、BGP、ISIS、RIPng、OSPFv3、ISISv6、BGP4+；</w:t>
            </w:r>
          </w:p>
          <w:p w14:paraId="300E052D">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5、支持IGMP v1/v2/v3、PIM-SM、PIM-DM、PIM-SSM；</w:t>
            </w:r>
          </w:p>
          <w:p w14:paraId="07F2EEE1">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6、支持VxLAN功能，支持BGP EVPN，实现自动建立隧道；</w:t>
            </w:r>
          </w:p>
          <w:p w14:paraId="56374B4C">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7、支持G.8032标准以太环网协议；</w:t>
            </w:r>
          </w:p>
          <w:p w14:paraId="7E965000">
            <w:pPr>
              <w:spacing w:line="240" w:lineRule="auto"/>
              <w:ind w:firstLine="0" w:firstLineChars="0"/>
              <w:jc w:val="left"/>
              <w:textAlignment w:val="center"/>
              <w:rPr>
                <w:rFonts w:ascii="仿宋" w:hAnsi="仿宋" w:eastAsia="仿宋" w:cs="仿宋"/>
                <w:color w:val="0D0D0D"/>
                <w:kern w:val="0"/>
                <w:sz w:val="22"/>
                <w:szCs w:val="22"/>
              </w:rPr>
            </w:pPr>
            <w:r>
              <w:rPr>
                <w:rFonts w:hint="eastAsia" w:ascii="仿宋" w:hAnsi="仿宋" w:eastAsia="仿宋" w:cs="仿宋"/>
                <w:color w:val="0D0D0D"/>
                <w:kern w:val="0"/>
                <w:sz w:val="22"/>
                <w:szCs w:val="22"/>
                <w:lang w:bidi="ar"/>
              </w:rPr>
              <w:t>8、配置：双电源</w:t>
            </w:r>
          </w:p>
        </w:tc>
        <w:tc>
          <w:tcPr>
            <w:tcW w:w="410" w:type="dxa"/>
            <w:tcBorders>
              <w:top w:val="nil"/>
              <w:left w:val="nil"/>
              <w:bottom w:val="single" w:color="auto" w:sz="4" w:space="0"/>
              <w:right w:val="single" w:color="auto" w:sz="4" w:space="0"/>
            </w:tcBorders>
            <w:shd w:val="clear" w:color="auto" w:fill="auto"/>
            <w:noWrap/>
            <w:vAlign w:val="center"/>
          </w:tcPr>
          <w:p w14:paraId="490F0F73">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台</w:t>
            </w:r>
          </w:p>
        </w:tc>
        <w:tc>
          <w:tcPr>
            <w:tcW w:w="471" w:type="dxa"/>
            <w:tcBorders>
              <w:top w:val="nil"/>
              <w:left w:val="nil"/>
              <w:bottom w:val="single" w:color="auto" w:sz="4" w:space="0"/>
              <w:right w:val="single" w:color="auto" w:sz="4" w:space="0"/>
            </w:tcBorders>
            <w:shd w:val="clear" w:color="auto" w:fill="auto"/>
            <w:noWrap/>
            <w:vAlign w:val="center"/>
          </w:tcPr>
          <w:p w14:paraId="7DE2B9B9">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4</w:t>
            </w:r>
          </w:p>
        </w:tc>
        <w:tc>
          <w:tcPr>
            <w:tcW w:w="573" w:type="dxa"/>
            <w:tcBorders>
              <w:top w:val="nil"/>
              <w:left w:val="nil"/>
              <w:bottom w:val="single" w:color="auto" w:sz="4" w:space="0"/>
              <w:right w:val="single" w:color="auto" w:sz="4" w:space="0"/>
            </w:tcBorders>
            <w:shd w:val="clear" w:color="auto" w:fill="auto"/>
            <w:noWrap/>
            <w:vAlign w:val="center"/>
          </w:tcPr>
          <w:p w14:paraId="2BA5CC69">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2C47E4CA">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7AFABDD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1D64A2CE">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9FA6205">
        <w:tblPrEx>
          <w:tblCellMar>
            <w:top w:w="0" w:type="dxa"/>
            <w:left w:w="108" w:type="dxa"/>
            <w:bottom w:w="0" w:type="dxa"/>
            <w:right w:w="108" w:type="dxa"/>
          </w:tblCellMar>
        </w:tblPrEx>
        <w:trPr>
          <w:trHeight w:val="5753"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0E7E51B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1376" w:type="dxa"/>
            <w:tcBorders>
              <w:top w:val="nil"/>
              <w:left w:val="nil"/>
              <w:bottom w:val="single" w:color="auto" w:sz="4" w:space="0"/>
              <w:right w:val="single" w:color="auto" w:sz="4" w:space="0"/>
            </w:tcBorders>
            <w:shd w:val="clear" w:color="auto" w:fill="auto"/>
            <w:vAlign w:val="center"/>
          </w:tcPr>
          <w:p w14:paraId="3FA87231">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访问交换机</w:t>
            </w:r>
          </w:p>
        </w:tc>
        <w:tc>
          <w:tcPr>
            <w:tcW w:w="3767" w:type="dxa"/>
            <w:tcBorders>
              <w:top w:val="nil"/>
              <w:left w:val="nil"/>
              <w:bottom w:val="single" w:color="auto" w:sz="4" w:space="0"/>
              <w:right w:val="single" w:color="auto" w:sz="4" w:space="0"/>
            </w:tcBorders>
            <w:shd w:val="clear" w:color="auto" w:fill="auto"/>
            <w:vAlign w:val="center"/>
          </w:tcPr>
          <w:p w14:paraId="5F84DC7B">
            <w:pPr>
              <w:spacing w:line="240" w:lineRule="auto"/>
              <w:ind w:firstLine="44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1、交换容量≥672Gbps，包转发率≥207Mpps；</w:t>
            </w:r>
          </w:p>
          <w:p w14:paraId="3F9E69B4">
            <w:pPr>
              <w:spacing w:line="240" w:lineRule="auto"/>
              <w:ind w:firstLine="44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2、支持千兆电口≥48，万兆光口≥6，支持802.3at POE+功能</w:t>
            </w:r>
          </w:p>
          <w:p w14:paraId="263A7039">
            <w:pPr>
              <w:spacing w:line="240" w:lineRule="auto"/>
              <w:ind w:firstLine="44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3、支持2个电源，可以实现1+1备份；</w:t>
            </w:r>
          </w:p>
          <w:p w14:paraId="334087BA">
            <w:pPr>
              <w:spacing w:line="240" w:lineRule="auto"/>
              <w:ind w:firstLine="44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4、关键芯片（CPU）采用国产芯片，自主可控；</w:t>
            </w:r>
          </w:p>
          <w:p w14:paraId="6ED0B380">
            <w:pPr>
              <w:spacing w:line="240" w:lineRule="auto"/>
              <w:ind w:firstLine="44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5、支持静态路由、RIP、OSPF、RIPng、OSPFv3，ISIS，ISISv6，BGP，BGP4+；</w:t>
            </w:r>
          </w:p>
          <w:p w14:paraId="0F3D6A90">
            <w:pPr>
              <w:spacing w:line="240" w:lineRule="auto"/>
              <w:ind w:firstLine="44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6、支持VRRP、BFD，支持IPv6、支持IPv4/IPv6双栈；</w:t>
            </w:r>
          </w:p>
          <w:p w14:paraId="7CF39492">
            <w:pPr>
              <w:spacing w:line="240" w:lineRule="auto"/>
              <w:ind w:firstLine="44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7、支持 802.3az 能效以太网 EEE，节能环保</w:t>
            </w:r>
          </w:p>
          <w:p w14:paraId="4AA63508">
            <w:pPr>
              <w:spacing w:line="240" w:lineRule="auto"/>
              <w:ind w:firstLine="440"/>
              <w:jc w:val="left"/>
              <w:textAlignment w:val="center"/>
              <w:rPr>
                <w:rFonts w:ascii="仿宋" w:hAnsi="仿宋" w:eastAsia="仿宋" w:cs="仿宋"/>
                <w:color w:val="0D0D0D"/>
                <w:kern w:val="0"/>
                <w:sz w:val="22"/>
                <w:szCs w:val="22"/>
              </w:rPr>
            </w:pPr>
            <w:r>
              <w:rPr>
                <w:rFonts w:hint="eastAsia" w:ascii="仿宋" w:hAnsi="仿宋" w:eastAsia="仿宋" w:cs="仿宋"/>
                <w:color w:val="0D0D0D"/>
                <w:kern w:val="0"/>
                <w:sz w:val="22"/>
                <w:szCs w:val="22"/>
                <w:lang w:bidi="ar"/>
              </w:rPr>
              <w:t>8、配置：双电源</w:t>
            </w:r>
          </w:p>
        </w:tc>
        <w:tc>
          <w:tcPr>
            <w:tcW w:w="410" w:type="dxa"/>
            <w:tcBorders>
              <w:top w:val="nil"/>
              <w:left w:val="nil"/>
              <w:bottom w:val="single" w:color="auto" w:sz="4" w:space="0"/>
              <w:right w:val="single" w:color="auto" w:sz="4" w:space="0"/>
            </w:tcBorders>
            <w:shd w:val="clear" w:color="auto" w:fill="auto"/>
            <w:noWrap/>
            <w:vAlign w:val="center"/>
          </w:tcPr>
          <w:p w14:paraId="61A9A929">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台</w:t>
            </w:r>
          </w:p>
        </w:tc>
        <w:tc>
          <w:tcPr>
            <w:tcW w:w="471" w:type="dxa"/>
            <w:tcBorders>
              <w:top w:val="nil"/>
              <w:left w:val="nil"/>
              <w:bottom w:val="single" w:color="auto" w:sz="4" w:space="0"/>
              <w:right w:val="single" w:color="auto" w:sz="4" w:space="0"/>
            </w:tcBorders>
            <w:shd w:val="clear" w:color="auto" w:fill="auto"/>
            <w:noWrap/>
            <w:vAlign w:val="center"/>
          </w:tcPr>
          <w:p w14:paraId="0566330A">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4</w:t>
            </w:r>
          </w:p>
        </w:tc>
        <w:tc>
          <w:tcPr>
            <w:tcW w:w="573" w:type="dxa"/>
            <w:tcBorders>
              <w:top w:val="nil"/>
              <w:left w:val="nil"/>
              <w:bottom w:val="single" w:color="auto" w:sz="4" w:space="0"/>
              <w:right w:val="single" w:color="auto" w:sz="4" w:space="0"/>
            </w:tcBorders>
            <w:shd w:val="clear" w:color="auto" w:fill="auto"/>
            <w:noWrap/>
            <w:vAlign w:val="center"/>
          </w:tcPr>
          <w:p w14:paraId="08A358F0">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136D3EA3">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4E3CC7ED">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467FB30F">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5E2FBEB">
        <w:tblPrEx>
          <w:tblCellMar>
            <w:top w:w="0" w:type="dxa"/>
            <w:left w:w="108" w:type="dxa"/>
            <w:bottom w:w="0" w:type="dxa"/>
            <w:right w:w="108" w:type="dxa"/>
          </w:tblCellMar>
        </w:tblPrEx>
        <w:trPr>
          <w:trHeight w:val="2589"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1BBFB4BB">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1376" w:type="dxa"/>
            <w:tcBorders>
              <w:top w:val="nil"/>
              <w:left w:val="nil"/>
              <w:bottom w:val="single" w:color="auto" w:sz="4" w:space="0"/>
              <w:right w:val="single" w:color="auto" w:sz="4" w:space="0"/>
            </w:tcBorders>
            <w:shd w:val="clear" w:color="auto" w:fill="auto"/>
            <w:vAlign w:val="center"/>
          </w:tcPr>
          <w:p w14:paraId="142B7AA9">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备份存储器</w:t>
            </w:r>
          </w:p>
        </w:tc>
        <w:tc>
          <w:tcPr>
            <w:tcW w:w="3767" w:type="dxa"/>
            <w:tcBorders>
              <w:top w:val="nil"/>
              <w:left w:val="nil"/>
              <w:bottom w:val="single" w:color="auto" w:sz="4" w:space="0"/>
              <w:right w:val="single" w:color="auto" w:sz="4" w:space="0"/>
            </w:tcBorders>
            <w:shd w:val="clear" w:color="auto" w:fill="auto"/>
            <w:vAlign w:val="center"/>
          </w:tcPr>
          <w:p w14:paraId="24EFE797">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1、 2 x Intel Xeon Silver, 2095 Mhz, 8C</w:t>
            </w:r>
          </w:p>
          <w:p w14:paraId="18378CB9">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2、 2x 1.92TB Cache SSD</w:t>
            </w:r>
          </w:p>
          <w:p w14:paraId="33BBFF1E">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3、 4 x 16GB 记忆体</w:t>
            </w:r>
          </w:p>
          <w:p w14:paraId="6C648ECD">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4、 支援 A-P HA</w:t>
            </w:r>
          </w:p>
          <w:p w14:paraId="20747182">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5、配备400T可用存储容量</w:t>
            </w:r>
          </w:p>
          <w:p w14:paraId="1C2B196C">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6、支持4*10Gb网卡</w:t>
            </w:r>
          </w:p>
        </w:tc>
        <w:tc>
          <w:tcPr>
            <w:tcW w:w="410" w:type="dxa"/>
            <w:tcBorders>
              <w:top w:val="nil"/>
              <w:left w:val="nil"/>
              <w:bottom w:val="single" w:color="auto" w:sz="4" w:space="0"/>
              <w:right w:val="single" w:color="auto" w:sz="4" w:space="0"/>
            </w:tcBorders>
            <w:shd w:val="clear" w:color="auto" w:fill="auto"/>
            <w:noWrap/>
            <w:vAlign w:val="center"/>
          </w:tcPr>
          <w:p w14:paraId="51C13A2B">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台</w:t>
            </w:r>
          </w:p>
        </w:tc>
        <w:tc>
          <w:tcPr>
            <w:tcW w:w="471" w:type="dxa"/>
            <w:tcBorders>
              <w:top w:val="nil"/>
              <w:left w:val="nil"/>
              <w:bottom w:val="single" w:color="auto" w:sz="4" w:space="0"/>
              <w:right w:val="single" w:color="auto" w:sz="4" w:space="0"/>
            </w:tcBorders>
            <w:shd w:val="clear" w:color="auto" w:fill="auto"/>
            <w:noWrap/>
            <w:vAlign w:val="center"/>
          </w:tcPr>
          <w:p w14:paraId="024192D3">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2752F404">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3768461E">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05AC7A82">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51588A14">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8988E84">
        <w:tblPrEx>
          <w:tblCellMar>
            <w:top w:w="0" w:type="dxa"/>
            <w:left w:w="108" w:type="dxa"/>
            <w:bottom w:w="0" w:type="dxa"/>
            <w:right w:w="108" w:type="dxa"/>
          </w:tblCellMar>
        </w:tblPrEx>
        <w:trPr>
          <w:trHeight w:val="499"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2BC369A8">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1376" w:type="dxa"/>
            <w:tcBorders>
              <w:top w:val="nil"/>
              <w:left w:val="nil"/>
              <w:bottom w:val="single" w:color="auto" w:sz="4" w:space="0"/>
              <w:right w:val="single" w:color="auto" w:sz="4" w:space="0"/>
            </w:tcBorders>
            <w:shd w:val="clear" w:color="auto" w:fill="auto"/>
            <w:vAlign w:val="center"/>
          </w:tcPr>
          <w:p w14:paraId="19B3CF6F">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防火墙</w:t>
            </w:r>
          </w:p>
        </w:tc>
        <w:tc>
          <w:tcPr>
            <w:tcW w:w="3767" w:type="dxa"/>
            <w:tcBorders>
              <w:top w:val="nil"/>
              <w:left w:val="nil"/>
              <w:bottom w:val="single" w:color="auto" w:sz="4" w:space="0"/>
              <w:right w:val="single" w:color="auto" w:sz="4" w:space="0"/>
            </w:tcBorders>
            <w:shd w:val="clear" w:color="auto" w:fill="auto"/>
            <w:vAlign w:val="center"/>
          </w:tcPr>
          <w:p w14:paraId="04E5DF83">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1、双电源，8个千兆电口（4对bypass），2个万兆光口，64G 固态硬盘</w:t>
            </w:r>
          </w:p>
          <w:p w14:paraId="72DB03E4">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2、性能规格：网络吞吐量20G，应用层吞吐10G，最大并发数300万</w:t>
            </w:r>
          </w:p>
          <w:p w14:paraId="24649D52">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3、支持SSL VPN功能，SSL VPN用户数无限制；L2TP VPN</w:t>
            </w:r>
          </w:p>
          <w:p w14:paraId="02CDA337">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4、支持IEC104，Modbus、CIP等工业协议；</w:t>
            </w:r>
          </w:p>
          <w:p w14:paraId="0DEA756E">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5、支持下一代防火墙访问控制、入侵防御、网络防病毒、上网行为及URL分类管理、流控和IPSec VPN模块；</w:t>
            </w:r>
          </w:p>
          <w:p w14:paraId="327370FB">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6、提供3年入侵防御、网络防病毒、上网行为及URL分类管理特征库升级服务；</w:t>
            </w:r>
          </w:p>
          <w:p w14:paraId="3CDCD985">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支持用户账号全生命周期保护功能，包括用户账号多余入口检测、用户账号弱口令检测、用户账号暴力破解检测、失陷账号检测，防止因账号被暴力破解导致的非法提权情况发生。（提供产品功能界面截图证明、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p w14:paraId="077B1B23">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▲8.支持自定义流量监控组件，可基于设备、应用、源目的IP、接口设置不同的流量和会话数</w:t>
            </w:r>
            <w:r>
              <w:rPr>
                <w:rFonts w:hint="eastAsia" w:ascii="仿宋" w:hAnsi="仿宋" w:eastAsia="仿宋" w:cs="仿宋"/>
                <w:color w:val="000000"/>
                <w:kern w:val="0"/>
                <w:sz w:val="22"/>
                <w:szCs w:val="22"/>
                <w:lang w:eastAsia="zh-CN" w:bidi="ar"/>
              </w:rPr>
              <w:t>进行</w:t>
            </w:r>
            <w:r>
              <w:rPr>
                <w:rFonts w:hint="eastAsia" w:ascii="仿宋" w:hAnsi="仿宋" w:eastAsia="仿宋" w:cs="仿宋"/>
                <w:color w:val="000000"/>
                <w:kern w:val="0"/>
                <w:sz w:val="22"/>
                <w:szCs w:val="22"/>
                <w:lang w:bidi="ar"/>
              </w:rPr>
              <w:t>动态展示，展示效果支持面积图、折线图、柱状图等至少三种形式。（提供产品功能界面截图证明）</w:t>
            </w:r>
          </w:p>
          <w:p w14:paraId="41B4FF6E">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9.支持策略生命周期管理功能，支持对安全策略修改的时间、原因、变更类型进行统一管理，便于策略的运维与管理。（提供产品功能界面截图证明、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tc>
        <w:tc>
          <w:tcPr>
            <w:tcW w:w="410" w:type="dxa"/>
            <w:tcBorders>
              <w:top w:val="nil"/>
              <w:left w:val="nil"/>
              <w:bottom w:val="single" w:color="auto" w:sz="4" w:space="0"/>
              <w:right w:val="single" w:color="auto" w:sz="4" w:space="0"/>
            </w:tcBorders>
            <w:shd w:val="clear" w:color="auto" w:fill="auto"/>
            <w:noWrap/>
            <w:vAlign w:val="center"/>
          </w:tcPr>
          <w:p w14:paraId="454D2D5F">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40A44978">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2</w:t>
            </w:r>
          </w:p>
        </w:tc>
        <w:tc>
          <w:tcPr>
            <w:tcW w:w="573" w:type="dxa"/>
            <w:tcBorders>
              <w:top w:val="nil"/>
              <w:left w:val="nil"/>
              <w:bottom w:val="single" w:color="auto" w:sz="4" w:space="0"/>
              <w:right w:val="single" w:color="auto" w:sz="4" w:space="0"/>
            </w:tcBorders>
            <w:shd w:val="clear" w:color="auto" w:fill="auto"/>
            <w:noWrap/>
            <w:vAlign w:val="center"/>
          </w:tcPr>
          <w:p w14:paraId="73E6B82E">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50DDD7B5">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5D4486DB">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1E53CC66">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532AC458">
        <w:tblPrEx>
          <w:tblCellMar>
            <w:top w:w="0" w:type="dxa"/>
            <w:left w:w="108" w:type="dxa"/>
            <w:bottom w:w="0" w:type="dxa"/>
            <w:right w:w="108" w:type="dxa"/>
          </w:tblCellMar>
        </w:tblPrEx>
        <w:trPr>
          <w:trHeight w:val="1266"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134EBA9F">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7</w:t>
            </w:r>
          </w:p>
        </w:tc>
        <w:tc>
          <w:tcPr>
            <w:tcW w:w="1376" w:type="dxa"/>
            <w:tcBorders>
              <w:top w:val="nil"/>
              <w:left w:val="nil"/>
              <w:bottom w:val="single" w:color="auto" w:sz="4" w:space="0"/>
              <w:right w:val="single" w:color="auto" w:sz="4" w:space="0"/>
            </w:tcBorders>
            <w:shd w:val="clear" w:color="auto" w:fill="auto"/>
            <w:vAlign w:val="center"/>
          </w:tcPr>
          <w:p w14:paraId="53F03766">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无线AP</w:t>
            </w:r>
          </w:p>
        </w:tc>
        <w:tc>
          <w:tcPr>
            <w:tcW w:w="3767" w:type="dxa"/>
            <w:tcBorders>
              <w:top w:val="nil"/>
              <w:left w:val="nil"/>
              <w:bottom w:val="single" w:color="auto" w:sz="4" w:space="0"/>
              <w:right w:val="single" w:color="auto" w:sz="4" w:space="0"/>
            </w:tcBorders>
            <w:shd w:val="clear" w:color="auto" w:fill="auto"/>
            <w:vAlign w:val="center"/>
          </w:tcPr>
          <w:p w14:paraId="398D5AA2">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1、支持802.11a/b/g/n/ac/ac Wave2标准；</w:t>
            </w:r>
          </w:p>
          <w:p w14:paraId="4D229E4F">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2、支持2.4GHz/5GHz双频段同时工作；</w:t>
            </w:r>
          </w:p>
          <w:p w14:paraId="6273A5DA">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3、1000M双频吸顶式企业级无线接入点</w:t>
            </w:r>
          </w:p>
        </w:tc>
        <w:tc>
          <w:tcPr>
            <w:tcW w:w="410" w:type="dxa"/>
            <w:tcBorders>
              <w:top w:val="nil"/>
              <w:left w:val="nil"/>
              <w:bottom w:val="single" w:color="auto" w:sz="4" w:space="0"/>
              <w:right w:val="single" w:color="auto" w:sz="4" w:space="0"/>
            </w:tcBorders>
            <w:shd w:val="clear" w:color="auto" w:fill="auto"/>
            <w:noWrap/>
            <w:vAlign w:val="center"/>
          </w:tcPr>
          <w:p w14:paraId="32E55981">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3042AE1C">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10</w:t>
            </w:r>
          </w:p>
        </w:tc>
        <w:tc>
          <w:tcPr>
            <w:tcW w:w="573" w:type="dxa"/>
            <w:tcBorders>
              <w:top w:val="nil"/>
              <w:left w:val="nil"/>
              <w:bottom w:val="single" w:color="auto" w:sz="4" w:space="0"/>
              <w:right w:val="single" w:color="auto" w:sz="4" w:space="0"/>
            </w:tcBorders>
            <w:shd w:val="clear" w:color="auto" w:fill="auto"/>
            <w:noWrap/>
            <w:vAlign w:val="center"/>
          </w:tcPr>
          <w:p w14:paraId="7904B725">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0F8406E9">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326DF85F">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029549F8">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A96BB3D">
        <w:tblPrEx>
          <w:tblCellMar>
            <w:top w:w="0" w:type="dxa"/>
            <w:left w:w="108" w:type="dxa"/>
            <w:bottom w:w="0" w:type="dxa"/>
            <w:right w:w="108" w:type="dxa"/>
          </w:tblCellMar>
        </w:tblPrEx>
        <w:trPr>
          <w:trHeight w:val="3854"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3018A4BB">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8</w:t>
            </w:r>
          </w:p>
        </w:tc>
        <w:tc>
          <w:tcPr>
            <w:tcW w:w="1376" w:type="dxa"/>
            <w:tcBorders>
              <w:top w:val="nil"/>
              <w:left w:val="nil"/>
              <w:bottom w:val="single" w:color="auto" w:sz="4" w:space="0"/>
              <w:right w:val="single" w:color="auto" w:sz="4" w:space="0"/>
            </w:tcBorders>
            <w:shd w:val="clear" w:color="auto" w:fill="auto"/>
            <w:vAlign w:val="center"/>
          </w:tcPr>
          <w:p w14:paraId="576D47B8">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无线控制器AC</w:t>
            </w:r>
          </w:p>
        </w:tc>
        <w:tc>
          <w:tcPr>
            <w:tcW w:w="3767" w:type="dxa"/>
            <w:tcBorders>
              <w:top w:val="nil"/>
              <w:left w:val="nil"/>
              <w:bottom w:val="single" w:color="auto" w:sz="4" w:space="0"/>
              <w:right w:val="single" w:color="auto" w:sz="4" w:space="0"/>
            </w:tcBorders>
            <w:shd w:val="clear" w:color="auto" w:fill="auto"/>
            <w:vAlign w:val="center"/>
          </w:tcPr>
          <w:p w14:paraId="7F5FF927">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1、电源：AC/DC电源适配器</w:t>
            </w:r>
          </w:p>
          <w:p w14:paraId="777C0E81">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3、转发能力：8Gbps</w:t>
            </w:r>
          </w:p>
          <w:p w14:paraId="010C7327">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4、最大可管理AP的数量：256</w:t>
            </w:r>
          </w:p>
          <w:p w14:paraId="13F0853C">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5、无线用户接入能力：4096</w:t>
            </w:r>
          </w:p>
          <w:p w14:paraId="65C0B9AF">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6、AP与AC间组网方式：支持L2/L3层网络拓扑</w:t>
            </w:r>
          </w:p>
          <w:p w14:paraId="58F23633">
            <w:pPr>
              <w:spacing w:line="240" w:lineRule="auto"/>
              <w:ind w:firstLine="0" w:firstLineChars="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7、转发模式：支持直接转发/隧道转发</w:t>
            </w:r>
          </w:p>
          <w:p w14:paraId="21EFD584">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9、无线协议：802.11 a/b/g/n/ac/ac wave2/ax/be</w:t>
            </w:r>
          </w:p>
        </w:tc>
        <w:tc>
          <w:tcPr>
            <w:tcW w:w="410" w:type="dxa"/>
            <w:tcBorders>
              <w:top w:val="nil"/>
              <w:left w:val="nil"/>
              <w:bottom w:val="single" w:color="auto" w:sz="4" w:space="0"/>
              <w:right w:val="single" w:color="auto" w:sz="4" w:space="0"/>
            </w:tcBorders>
            <w:shd w:val="clear" w:color="auto" w:fill="auto"/>
            <w:noWrap/>
            <w:vAlign w:val="center"/>
          </w:tcPr>
          <w:p w14:paraId="51CEB352">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7392135B">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3D1C307D">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407A9F8F">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64C4CDD2">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324AF8F2">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708D007C">
        <w:tblPrEx>
          <w:tblCellMar>
            <w:top w:w="0" w:type="dxa"/>
            <w:left w:w="108" w:type="dxa"/>
            <w:bottom w:w="0" w:type="dxa"/>
            <w:right w:w="108" w:type="dxa"/>
          </w:tblCellMar>
        </w:tblPrEx>
        <w:trPr>
          <w:trHeight w:val="1006"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7A9963E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9</w:t>
            </w:r>
          </w:p>
        </w:tc>
        <w:tc>
          <w:tcPr>
            <w:tcW w:w="1376" w:type="dxa"/>
            <w:tcBorders>
              <w:top w:val="nil"/>
              <w:left w:val="nil"/>
              <w:bottom w:val="single" w:color="auto" w:sz="4" w:space="0"/>
              <w:right w:val="single" w:color="auto" w:sz="4" w:space="0"/>
            </w:tcBorders>
            <w:shd w:val="clear" w:color="auto" w:fill="auto"/>
            <w:vAlign w:val="center"/>
          </w:tcPr>
          <w:p w14:paraId="61EB7D70">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视频监控</w:t>
            </w:r>
          </w:p>
        </w:tc>
        <w:tc>
          <w:tcPr>
            <w:tcW w:w="3767" w:type="dxa"/>
            <w:tcBorders>
              <w:top w:val="nil"/>
              <w:left w:val="nil"/>
              <w:bottom w:val="single" w:color="auto" w:sz="4" w:space="0"/>
              <w:right w:val="single" w:color="auto" w:sz="4" w:space="0"/>
            </w:tcBorders>
            <w:shd w:val="clear" w:color="auto" w:fill="auto"/>
            <w:vAlign w:val="center"/>
          </w:tcPr>
          <w:p w14:paraId="51665C66">
            <w:pPr>
              <w:spacing w:line="240" w:lineRule="auto"/>
              <w:ind w:firstLine="0" w:firstLineChars="0"/>
              <w:jc w:val="left"/>
              <w:textAlignment w:val="center"/>
              <w:rPr>
                <w:rFonts w:hint="eastAsia" w:ascii="仿宋" w:hAnsi="仿宋" w:eastAsia="仿宋" w:cs="仿宋"/>
                <w:color w:val="0D0D0D"/>
                <w:kern w:val="0"/>
                <w:sz w:val="22"/>
                <w:szCs w:val="22"/>
                <w:lang w:bidi="ar"/>
              </w:rPr>
            </w:pPr>
            <w:r>
              <w:rPr>
                <w:rFonts w:hint="eastAsia" w:ascii="仿宋" w:hAnsi="仿宋" w:eastAsia="仿宋" w:cs="仿宋"/>
                <w:color w:val="0D0D0D"/>
                <w:kern w:val="0"/>
                <w:sz w:val="22"/>
                <w:szCs w:val="22"/>
                <w:lang w:bidi="ar"/>
              </w:rPr>
              <w:t>1、摄像头20个，SMART3=265，移动侦测</w:t>
            </w:r>
          </w:p>
          <w:p w14:paraId="363AD241">
            <w:pPr>
              <w:spacing w:line="240" w:lineRule="auto"/>
              <w:ind w:firstLine="0" w:firstLineChars="0"/>
              <w:jc w:val="left"/>
              <w:textAlignment w:val="center"/>
              <w:rPr>
                <w:rFonts w:ascii="仿宋" w:hAnsi="仿宋" w:eastAsia="仿宋" w:cs="仿宋"/>
                <w:color w:val="0D0D0D"/>
                <w:kern w:val="0"/>
                <w:sz w:val="22"/>
                <w:szCs w:val="22"/>
              </w:rPr>
            </w:pPr>
            <w:r>
              <w:rPr>
                <w:rFonts w:hint="eastAsia" w:ascii="仿宋" w:hAnsi="仿宋" w:eastAsia="仿宋" w:cs="仿宋"/>
                <w:color w:val="0D0D0D"/>
                <w:kern w:val="0"/>
                <w:sz w:val="22"/>
                <w:szCs w:val="22"/>
                <w:lang w:bidi="ar"/>
              </w:rPr>
              <w:t>2、存储支持容量不少于15TB，数据中心级别磁盘</w:t>
            </w:r>
          </w:p>
        </w:tc>
        <w:tc>
          <w:tcPr>
            <w:tcW w:w="410" w:type="dxa"/>
            <w:tcBorders>
              <w:top w:val="nil"/>
              <w:left w:val="nil"/>
              <w:bottom w:val="single" w:color="auto" w:sz="4" w:space="0"/>
              <w:right w:val="single" w:color="auto" w:sz="4" w:space="0"/>
            </w:tcBorders>
            <w:shd w:val="clear" w:color="auto" w:fill="auto"/>
            <w:noWrap/>
            <w:vAlign w:val="center"/>
          </w:tcPr>
          <w:p w14:paraId="5C966CA0">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6BBB7A50">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333650A2">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09DC0CAB">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10484F3A">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6C043AD6">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1C6BA82">
        <w:tblPrEx>
          <w:tblCellMar>
            <w:top w:w="0" w:type="dxa"/>
            <w:left w:w="108" w:type="dxa"/>
            <w:bottom w:w="0" w:type="dxa"/>
            <w:right w:w="108" w:type="dxa"/>
          </w:tblCellMar>
        </w:tblPrEx>
        <w:trPr>
          <w:trHeight w:val="689"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23F6736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1376" w:type="dxa"/>
            <w:tcBorders>
              <w:top w:val="nil"/>
              <w:left w:val="nil"/>
              <w:bottom w:val="single" w:color="auto" w:sz="4" w:space="0"/>
              <w:right w:val="single" w:color="auto" w:sz="4" w:space="0"/>
            </w:tcBorders>
            <w:shd w:val="clear" w:color="auto" w:fill="auto"/>
            <w:vAlign w:val="center"/>
          </w:tcPr>
          <w:p w14:paraId="7E1F84B9">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许可服务工作站</w:t>
            </w:r>
          </w:p>
        </w:tc>
        <w:tc>
          <w:tcPr>
            <w:tcW w:w="3767" w:type="dxa"/>
            <w:tcBorders>
              <w:top w:val="nil"/>
              <w:left w:val="nil"/>
              <w:bottom w:val="single" w:color="auto" w:sz="4" w:space="0"/>
              <w:right w:val="single" w:color="auto" w:sz="4" w:space="0"/>
            </w:tcBorders>
            <w:shd w:val="clear" w:color="auto" w:fill="auto"/>
            <w:vAlign w:val="center"/>
          </w:tcPr>
          <w:p w14:paraId="704B4292">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英特尔至强处理器 W-2223/64G/512G+4T/RTX 4000 8G</w:t>
            </w:r>
          </w:p>
        </w:tc>
        <w:tc>
          <w:tcPr>
            <w:tcW w:w="410" w:type="dxa"/>
            <w:tcBorders>
              <w:top w:val="nil"/>
              <w:left w:val="nil"/>
              <w:bottom w:val="single" w:color="auto" w:sz="4" w:space="0"/>
              <w:right w:val="single" w:color="auto" w:sz="4" w:space="0"/>
            </w:tcBorders>
            <w:shd w:val="clear" w:color="auto" w:fill="auto"/>
            <w:noWrap/>
            <w:vAlign w:val="center"/>
          </w:tcPr>
          <w:p w14:paraId="07215B10">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36EF1E2A">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3</w:t>
            </w:r>
          </w:p>
        </w:tc>
        <w:tc>
          <w:tcPr>
            <w:tcW w:w="573" w:type="dxa"/>
            <w:tcBorders>
              <w:top w:val="nil"/>
              <w:left w:val="nil"/>
              <w:bottom w:val="single" w:color="auto" w:sz="4" w:space="0"/>
              <w:right w:val="single" w:color="auto" w:sz="4" w:space="0"/>
            </w:tcBorders>
            <w:shd w:val="clear" w:color="auto" w:fill="auto"/>
            <w:noWrap/>
            <w:vAlign w:val="center"/>
          </w:tcPr>
          <w:p w14:paraId="20806AEC">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4FC8D69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5B7D83C1">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6E27086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4F184A5B">
        <w:tblPrEx>
          <w:tblCellMar>
            <w:top w:w="0" w:type="dxa"/>
            <w:left w:w="108" w:type="dxa"/>
            <w:bottom w:w="0" w:type="dxa"/>
            <w:right w:w="108" w:type="dxa"/>
          </w:tblCellMar>
        </w:tblPrEx>
        <w:trPr>
          <w:trHeight w:val="531"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3315C334">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11</w:t>
            </w:r>
          </w:p>
        </w:tc>
        <w:tc>
          <w:tcPr>
            <w:tcW w:w="1376" w:type="dxa"/>
            <w:tcBorders>
              <w:top w:val="nil"/>
              <w:left w:val="nil"/>
              <w:bottom w:val="single" w:color="auto" w:sz="4" w:space="0"/>
              <w:right w:val="single" w:color="auto" w:sz="4" w:space="0"/>
            </w:tcBorders>
            <w:shd w:val="clear" w:color="auto" w:fill="auto"/>
            <w:vAlign w:val="center"/>
          </w:tcPr>
          <w:p w14:paraId="358D46B9">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ATS</w:t>
            </w:r>
          </w:p>
        </w:tc>
        <w:tc>
          <w:tcPr>
            <w:tcW w:w="3767" w:type="dxa"/>
            <w:tcBorders>
              <w:top w:val="nil"/>
              <w:left w:val="nil"/>
              <w:bottom w:val="single" w:color="auto" w:sz="4" w:space="0"/>
              <w:right w:val="single" w:color="auto" w:sz="4" w:space="0"/>
            </w:tcBorders>
            <w:shd w:val="clear" w:color="auto" w:fill="auto"/>
            <w:vAlign w:val="center"/>
          </w:tcPr>
          <w:p w14:paraId="55BEC7C0">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EATS16N + 网卡</w:t>
            </w:r>
          </w:p>
        </w:tc>
        <w:tc>
          <w:tcPr>
            <w:tcW w:w="410" w:type="dxa"/>
            <w:tcBorders>
              <w:top w:val="nil"/>
              <w:left w:val="nil"/>
              <w:bottom w:val="single" w:color="auto" w:sz="4" w:space="0"/>
              <w:right w:val="single" w:color="auto" w:sz="4" w:space="0"/>
            </w:tcBorders>
            <w:shd w:val="clear" w:color="auto" w:fill="auto"/>
            <w:noWrap/>
            <w:vAlign w:val="center"/>
          </w:tcPr>
          <w:p w14:paraId="2F9C8D66">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194172B3">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2</w:t>
            </w:r>
          </w:p>
        </w:tc>
        <w:tc>
          <w:tcPr>
            <w:tcW w:w="573" w:type="dxa"/>
            <w:tcBorders>
              <w:top w:val="nil"/>
              <w:left w:val="nil"/>
              <w:bottom w:val="single" w:color="auto" w:sz="4" w:space="0"/>
              <w:right w:val="single" w:color="auto" w:sz="4" w:space="0"/>
            </w:tcBorders>
            <w:shd w:val="clear" w:color="auto" w:fill="auto"/>
            <w:noWrap/>
            <w:vAlign w:val="center"/>
          </w:tcPr>
          <w:p w14:paraId="05A2BE6E">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4D7E279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4140B744">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2A1C2873">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4A39AC8">
        <w:tblPrEx>
          <w:tblCellMar>
            <w:top w:w="0" w:type="dxa"/>
            <w:left w:w="108" w:type="dxa"/>
            <w:bottom w:w="0" w:type="dxa"/>
            <w:right w:w="108" w:type="dxa"/>
          </w:tblCellMar>
        </w:tblPrEx>
        <w:trPr>
          <w:trHeight w:val="1323"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4EFB9352">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12</w:t>
            </w:r>
          </w:p>
        </w:tc>
        <w:tc>
          <w:tcPr>
            <w:tcW w:w="1376" w:type="dxa"/>
            <w:tcBorders>
              <w:top w:val="nil"/>
              <w:left w:val="nil"/>
              <w:bottom w:val="single" w:color="auto" w:sz="4" w:space="0"/>
              <w:right w:val="single" w:color="auto" w:sz="4" w:space="0"/>
            </w:tcBorders>
            <w:shd w:val="clear" w:color="auto" w:fill="auto"/>
            <w:vAlign w:val="center"/>
          </w:tcPr>
          <w:p w14:paraId="494E6B7B">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网络综合布线</w:t>
            </w:r>
          </w:p>
        </w:tc>
        <w:tc>
          <w:tcPr>
            <w:tcW w:w="3767" w:type="dxa"/>
            <w:tcBorders>
              <w:top w:val="nil"/>
              <w:left w:val="nil"/>
              <w:bottom w:val="single" w:color="auto" w:sz="4" w:space="0"/>
              <w:right w:val="single" w:color="auto" w:sz="4" w:space="0"/>
            </w:tcBorders>
            <w:shd w:val="clear" w:color="auto" w:fill="auto"/>
            <w:vAlign w:val="center"/>
          </w:tcPr>
          <w:p w14:paraId="25599760">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所有网线符合 CAT6A标准，交换机数据跳线使用 20公分超短跳线。</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网线与端口超过80米的情况下，需新增小机柜分支</w:t>
            </w:r>
          </w:p>
        </w:tc>
        <w:tc>
          <w:tcPr>
            <w:tcW w:w="410" w:type="dxa"/>
            <w:tcBorders>
              <w:top w:val="nil"/>
              <w:left w:val="nil"/>
              <w:bottom w:val="single" w:color="auto" w:sz="4" w:space="0"/>
              <w:right w:val="single" w:color="auto" w:sz="4" w:space="0"/>
            </w:tcBorders>
            <w:shd w:val="clear" w:color="auto" w:fill="auto"/>
            <w:noWrap/>
            <w:vAlign w:val="center"/>
          </w:tcPr>
          <w:p w14:paraId="10CD0D6C">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0600A74F">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76461F4F">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6971FBD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70D162FD">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579532DA">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6821A36">
        <w:tblPrEx>
          <w:tblCellMar>
            <w:top w:w="0" w:type="dxa"/>
            <w:left w:w="108" w:type="dxa"/>
            <w:bottom w:w="0" w:type="dxa"/>
            <w:right w:w="108" w:type="dxa"/>
          </w:tblCellMar>
        </w:tblPrEx>
        <w:trPr>
          <w:trHeight w:val="1640"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706F880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13</w:t>
            </w:r>
          </w:p>
        </w:tc>
        <w:tc>
          <w:tcPr>
            <w:tcW w:w="1376" w:type="dxa"/>
            <w:tcBorders>
              <w:top w:val="nil"/>
              <w:left w:val="nil"/>
              <w:bottom w:val="single" w:color="auto" w:sz="4" w:space="0"/>
              <w:right w:val="single" w:color="auto" w:sz="4" w:space="0"/>
            </w:tcBorders>
            <w:shd w:val="clear" w:color="auto" w:fill="auto"/>
            <w:vAlign w:val="center"/>
          </w:tcPr>
          <w:p w14:paraId="1FEDF069">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Windows Server 2022 License Package</w:t>
            </w:r>
          </w:p>
        </w:tc>
        <w:tc>
          <w:tcPr>
            <w:tcW w:w="3767" w:type="dxa"/>
            <w:tcBorders>
              <w:top w:val="nil"/>
              <w:left w:val="nil"/>
              <w:bottom w:val="single" w:color="auto" w:sz="4" w:space="0"/>
              <w:right w:val="single" w:color="auto" w:sz="4" w:space="0"/>
            </w:tcBorders>
            <w:shd w:val="clear" w:color="auto" w:fill="auto"/>
            <w:vAlign w:val="center"/>
          </w:tcPr>
          <w:p w14:paraId="0CA9505E">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配套服务器购买Windows server 2022 企业版，独立Windows 虚拟机 （Vsphere 平台下）</w:t>
            </w:r>
          </w:p>
        </w:tc>
        <w:tc>
          <w:tcPr>
            <w:tcW w:w="410" w:type="dxa"/>
            <w:tcBorders>
              <w:top w:val="nil"/>
              <w:left w:val="nil"/>
              <w:bottom w:val="single" w:color="auto" w:sz="4" w:space="0"/>
              <w:right w:val="single" w:color="auto" w:sz="4" w:space="0"/>
            </w:tcBorders>
            <w:shd w:val="clear" w:color="auto" w:fill="auto"/>
            <w:noWrap/>
            <w:vAlign w:val="center"/>
          </w:tcPr>
          <w:p w14:paraId="33523656">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6ACA72FC">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15</w:t>
            </w:r>
          </w:p>
        </w:tc>
        <w:tc>
          <w:tcPr>
            <w:tcW w:w="573" w:type="dxa"/>
            <w:tcBorders>
              <w:top w:val="nil"/>
              <w:left w:val="nil"/>
              <w:bottom w:val="single" w:color="auto" w:sz="4" w:space="0"/>
              <w:right w:val="single" w:color="auto" w:sz="4" w:space="0"/>
            </w:tcBorders>
            <w:shd w:val="clear" w:color="auto" w:fill="auto"/>
            <w:noWrap/>
            <w:vAlign w:val="center"/>
          </w:tcPr>
          <w:p w14:paraId="065FA6E0">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564076C2">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724A76A5">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578523FF">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6CA43D8">
        <w:tblPrEx>
          <w:tblCellMar>
            <w:top w:w="0" w:type="dxa"/>
            <w:left w:w="108" w:type="dxa"/>
            <w:bottom w:w="0" w:type="dxa"/>
            <w:right w:w="108" w:type="dxa"/>
          </w:tblCellMar>
        </w:tblPrEx>
        <w:trPr>
          <w:trHeight w:val="1006"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1893BA8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14</w:t>
            </w:r>
          </w:p>
        </w:tc>
        <w:tc>
          <w:tcPr>
            <w:tcW w:w="1376" w:type="dxa"/>
            <w:tcBorders>
              <w:top w:val="nil"/>
              <w:left w:val="nil"/>
              <w:bottom w:val="single" w:color="auto" w:sz="4" w:space="0"/>
              <w:right w:val="single" w:color="auto" w:sz="4" w:space="0"/>
            </w:tcBorders>
            <w:shd w:val="clear" w:color="auto" w:fill="auto"/>
            <w:vAlign w:val="center"/>
          </w:tcPr>
          <w:p w14:paraId="7022B6DE">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Redhat Linux Server</w:t>
            </w:r>
          </w:p>
        </w:tc>
        <w:tc>
          <w:tcPr>
            <w:tcW w:w="3767" w:type="dxa"/>
            <w:tcBorders>
              <w:top w:val="nil"/>
              <w:left w:val="nil"/>
              <w:bottom w:val="single" w:color="auto" w:sz="4" w:space="0"/>
              <w:right w:val="single" w:color="auto" w:sz="4" w:space="0"/>
            </w:tcBorders>
            <w:shd w:val="clear" w:color="auto" w:fill="auto"/>
            <w:vAlign w:val="center"/>
          </w:tcPr>
          <w:p w14:paraId="1ED95111">
            <w:pPr>
              <w:spacing w:line="240" w:lineRule="auto"/>
              <w:ind w:firstLine="0" w:firstLineChars="0"/>
              <w:jc w:val="left"/>
              <w:textAlignment w:val="center"/>
              <w:rPr>
                <w:rFonts w:ascii="仿宋" w:hAnsi="仿宋" w:eastAsia="仿宋" w:cs="仿宋"/>
                <w:kern w:val="0"/>
                <w:sz w:val="22"/>
                <w:szCs w:val="22"/>
              </w:rPr>
            </w:pPr>
            <w:r>
              <w:rPr>
                <w:rFonts w:hint="eastAsia" w:ascii="仿宋" w:hAnsi="仿宋" w:eastAsia="仿宋" w:cs="仿宋"/>
                <w:color w:val="000000"/>
                <w:kern w:val="0"/>
                <w:sz w:val="22"/>
                <w:szCs w:val="22"/>
                <w:lang w:bidi="ar"/>
              </w:rPr>
              <w:t>服务器操作系统</w:t>
            </w:r>
          </w:p>
        </w:tc>
        <w:tc>
          <w:tcPr>
            <w:tcW w:w="410" w:type="dxa"/>
            <w:tcBorders>
              <w:top w:val="nil"/>
              <w:left w:val="nil"/>
              <w:bottom w:val="single" w:color="auto" w:sz="4" w:space="0"/>
              <w:right w:val="single" w:color="auto" w:sz="4" w:space="0"/>
            </w:tcBorders>
            <w:shd w:val="clear" w:color="auto" w:fill="auto"/>
            <w:noWrap/>
            <w:vAlign w:val="center"/>
          </w:tcPr>
          <w:p w14:paraId="2215EDBB">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6E8DB3BD">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20</w:t>
            </w:r>
          </w:p>
        </w:tc>
        <w:tc>
          <w:tcPr>
            <w:tcW w:w="573" w:type="dxa"/>
            <w:tcBorders>
              <w:top w:val="nil"/>
              <w:left w:val="nil"/>
              <w:bottom w:val="single" w:color="auto" w:sz="4" w:space="0"/>
              <w:right w:val="single" w:color="auto" w:sz="4" w:space="0"/>
            </w:tcBorders>
            <w:shd w:val="clear" w:color="auto" w:fill="auto"/>
            <w:noWrap/>
            <w:vAlign w:val="center"/>
          </w:tcPr>
          <w:p w14:paraId="064714C9">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5B9A6AFD">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41E509D1">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50DC509C">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47084FBB">
        <w:tblPrEx>
          <w:tblCellMar>
            <w:top w:w="0" w:type="dxa"/>
            <w:left w:w="108" w:type="dxa"/>
            <w:bottom w:w="0" w:type="dxa"/>
            <w:right w:w="108" w:type="dxa"/>
          </w:tblCellMar>
        </w:tblPrEx>
        <w:trPr>
          <w:trHeight w:val="531"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63562C38">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15</w:t>
            </w:r>
          </w:p>
        </w:tc>
        <w:tc>
          <w:tcPr>
            <w:tcW w:w="1376" w:type="dxa"/>
            <w:tcBorders>
              <w:top w:val="nil"/>
              <w:left w:val="nil"/>
              <w:bottom w:val="single" w:color="auto" w:sz="4" w:space="0"/>
              <w:right w:val="single" w:color="auto" w:sz="4" w:space="0"/>
            </w:tcBorders>
            <w:shd w:val="clear" w:color="auto" w:fill="auto"/>
            <w:vAlign w:val="center"/>
          </w:tcPr>
          <w:p w14:paraId="2972A947">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Oracle</w:t>
            </w:r>
          </w:p>
        </w:tc>
        <w:tc>
          <w:tcPr>
            <w:tcW w:w="3767" w:type="dxa"/>
            <w:tcBorders>
              <w:top w:val="nil"/>
              <w:left w:val="nil"/>
              <w:bottom w:val="single" w:color="auto" w:sz="4" w:space="0"/>
              <w:right w:val="single" w:color="auto" w:sz="4" w:space="0"/>
            </w:tcBorders>
            <w:shd w:val="clear" w:color="auto" w:fill="auto"/>
            <w:vAlign w:val="center"/>
          </w:tcPr>
          <w:p w14:paraId="0198A70F">
            <w:pPr>
              <w:spacing w:line="240" w:lineRule="auto"/>
              <w:ind w:firstLine="0" w:firstLineChars="0"/>
              <w:jc w:val="left"/>
              <w:textAlignment w:val="center"/>
              <w:rPr>
                <w:rFonts w:ascii="仿宋" w:hAnsi="仿宋" w:eastAsia="仿宋" w:cs="仿宋"/>
                <w:color w:val="0D0D0D"/>
                <w:kern w:val="0"/>
                <w:sz w:val="22"/>
                <w:szCs w:val="22"/>
              </w:rPr>
            </w:pPr>
            <w:r>
              <w:rPr>
                <w:rFonts w:hint="eastAsia" w:ascii="仿宋" w:hAnsi="仿宋" w:eastAsia="仿宋" w:cs="仿宋"/>
                <w:color w:val="0D0D0D"/>
                <w:kern w:val="0"/>
                <w:sz w:val="22"/>
                <w:szCs w:val="22"/>
                <w:lang w:bidi="ar"/>
              </w:rPr>
              <w:t>数据库系统 19C</w:t>
            </w:r>
          </w:p>
        </w:tc>
        <w:tc>
          <w:tcPr>
            <w:tcW w:w="410" w:type="dxa"/>
            <w:tcBorders>
              <w:top w:val="nil"/>
              <w:left w:val="nil"/>
              <w:bottom w:val="single" w:color="auto" w:sz="4" w:space="0"/>
              <w:right w:val="single" w:color="auto" w:sz="4" w:space="0"/>
            </w:tcBorders>
            <w:shd w:val="clear" w:color="auto" w:fill="auto"/>
            <w:noWrap/>
            <w:vAlign w:val="center"/>
          </w:tcPr>
          <w:p w14:paraId="2C4B79A8">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0B2A6A4B">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6</w:t>
            </w:r>
          </w:p>
        </w:tc>
        <w:tc>
          <w:tcPr>
            <w:tcW w:w="573" w:type="dxa"/>
            <w:tcBorders>
              <w:top w:val="nil"/>
              <w:left w:val="nil"/>
              <w:bottom w:val="single" w:color="auto" w:sz="4" w:space="0"/>
              <w:right w:val="single" w:color="auto" w:sz="4" w:space="0"/>
            </w:tcBorders>
            <w:shd w:val="clear" w:color="auto" w:fill="auto"/>
            <w:noWrap/>
            <w:vAlign w:val="center"/>
          </w:tcPr>
          <w:p w14:paraId="12F42381">
            <w:pPr>
              <w:ind w:firstLine="0" w:firstLineChars="0"/>
              <w:jc w:val="left"/>
              <w:textAlignment w:val="center"/>
              <w:rPr>
                <w:rFonts w:ascii="仿宋" w:hAnsi="仿宋" w:eastAsia="仿宋" w:cs="仿宋"/>
                <w:color w:val="000000"/>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023CC12D">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40070298">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6F35813D">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BC85270">
        <w:tblPrEx>
          <w:tblCellMar>
            <w:top w:w="0" w:type="dxa"/>
            <w:left w:w="108" w:type="dxa"/>
            <w:bottom w:w="0" w:type="dxa"/>
            <w:right w:w="108" w:type="dxa"/>
          </w:tblCellMar>
        </w:tblPrEx>
        <w:trPr>
          <w:trHeight w:val="1006"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2188A1A9">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16</w:t>
            </w:r>
          </w:p>
        </w:tc>
        <w:tc>
          <w:tcPr>
            <w:tcW w:w="1376" w:type="dxa"/>
            <w:tcBorders>
              <w:top w:val="nil"/>
              <w:left w:val="nil"/>
              <w:bottom w:val="single" w:color="auto" w:sz="4" w:space="0"/>
              <w:right w:val="single" w:color="auto" w:sz="4" w:space="0"/>
            </w:tcBorders>
            <w:shd w:val="clear" w:color="auto" w:fill="auto"/>
            <w:vAlign w:val="center"/>
          </w:tcPr>
          <w:p w14:paraId="206ED128">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Vmware虚拟化软件</w:t>
            </w:r>
          </w:p>
        </w:tc>
        <w:tc>
          <w:tcPr>
            <w:tcW w:w="3767" w:type="dxa"/>
            <w:tcBorders>
              <w:top w:val="nil"/>
              <w:left w:val="nil"/>
              <w:bottom w:val="single" w:color="auto" w:sz="4" w:space="0"/>
              <w:right w:val="single" w:color="auto" w:sz="4" w:space="0"/>
            </w:tcBorders>
            <w:shd w:val="clear" w:color="auto" w:fill="auto"/>
            <w:vAlign w:val="center"/>
          </w:tcPr>
          <w:p w14:paraId="4B69924A">
            <w:pPr>
              <w:spacing w:line="240" w:lineRule="auto"/>
              <w:ind w:firstLine="0" w:firstLineChars="0"/>
              <w:jc w:val="left"/>
              <w:textAlignment w:val="center"/>
              <w:rPr>
                <w:rFonts w:ascii="仿宋" w:hAnsi="仿宋" w:eastAsia="仿宋" w:cs="仿宋"/>
                <w:color w:val="0D0D0D"/>
                <w:kern w:val="0"/>
                <w:sz w:val="22"/>
                <w:szCs w:val="22"/>
              </w:rPr>
            </w:pPr>
            <w:r>
              <w:rPr>
                <w:rFonts w:hint="eastAsia" w:ascii="仿宋" w:hAnsi="仿宋" w:eastAsia="仿宋" w:cs="仿宋"/>
                <w:color w:val="0D0D0D"/>
                <w:kern w:val="0"/>
                <w:sz w:val="22"/>
                <w:szCs w:val="22"/>
                <w:lang w:bidi="ar"/>
              </w:rPr>
              <w:t>VMware Cloud Foundation 包含每台主机64核心，每台主机38T vsan容量  总计8台主机的授权（订阅）</w:t>
            </w:r>
          </w:p>
        </w:tc>
        <w:tc>
          <w:tcPr>
            <w:tcW w:w="410" w:type="dxa"/>
            <w:tcBorders>
              <w:top w:val="nil"/>
              <w:left w:val="nil"/>
              <w:bottom w:val="single" w:color="auto" w:sz="4" w:space="0"/>
              <w:right w:val="single" w:color="auto" w:sz="4" w:space="0"/>
            </w:tcBorders>
            <w:shd w:val="clear" w:color="auto" w:fill="auto"/>
            <w:noWrap/>
            <w:vAlign w:val="center"/>
          </w:tcPr>
          <w:p w14:paraId="5914F434">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年</w:t>
            </w:r>
          </w:p>
        </w:tc>
        <w:tc>
          <w:tcPr>
            <w:tcW w:w="471" w:type="dxa"/>
            <w:tcBorders>
              <w:top w:val="nil"/>
              <w:left w:val="nil"/>
              <w:bottom w:val="single" w:color="auto" w:sz="4" w:space="0"/>
              <w:right w:val="single" w:color="auto" w:sz="4" w:space="0"/>
            </w:tcBorders>
            <w:shd w:val="clear" w:color="auto" w:fill="auto"/>
            <w:noWrap/>
            <w:vAlign w:val="center"/>
          </w:tcPr>
          <w:p w14:paraId="41E4BCF3">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62895854">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51EFC334">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7CC4E6C4">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5C6AD99E">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31C8FCF">
        <w:tblPrEx>
          <w:tblCellMar>
            <w:top w:w="0" w:type="dxa"/>
            <w:left w:w="108" w:type="dxa"/>
            <w:bottom w:w="0" w:type="dxa"/>
            <w:right w:w="108" w:type="dxa"/>
          </w:tblCellMar>
        </w:tblPrEx>
        <w:trPr>
          <w:trHeight w:val="1323"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5C9716AB">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17</w:t>
            </w:r>
          </w:p>
        </w:tc>
        <w:tc>
          <w:tcPr>
            <w:tcW w:w="1376" w:type="dxa"/>
            <w:tcBorders>
              <w:top w:val="nil"/>
              <w:left w:val="nil"/>
              <w:bottom w:val="single" w:color="auto" w:sz="4" w:space="0"/>
              <w:right w:val="single" w:color="auto" w:sz="4" w:space="0"/>
            </w:tcBorders>
            <w:shd w:val="clear" w:color="auto" w:fill="auto"/>
            <w:vAlign w:val="center"/>
          </w:tcPr>
          <w:p w14:paraId="28DAF0D8">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堡垒机</w:t>
            </w:r>
          </w:p>
        </w:tc>
        <w:tc>
          <w:tcPr>
            <w:tcW w:w="3767" w:type="dxa"/>
            <w:tcBorders>
              <w:top w:val="nil"/>
              <w:left w:val="nil"/>
              <w:bottom w:val="single" w:color="auto" w:sz="4" w:space="0"/>
              <w:right w:val="single" w:color="auto" w:sz="4" w:space="0"/>
            </w:tcBorders>
            <w:shd w:val="clear" w:color="auto" w:fill="auto"/>
          </w:tcPr>
          <w:p w14:paraId="196BE5E8">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1、支持200个资产接入授权，最大可扩展资产数：1000，图形运维最大并发数：200，字符运维最大并发数：350。含3年维保</w:t>
            </w:r>
          </w:p>
          <w:p w14:paraId="5249800E">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▲2、支持在授权基础上自定义访问审批流程，可设置一级或多级审批人，每级审批可指定通过投票数，需逐级审批通过才可最终发起运维操作。（提供产品功能界面截图证明）</w:t>
            </w:r>
          </w:p>
          <w:p w14:paraId="2E6F8AD0">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▲3、支持web页面直接发起运维，无须安装任何控件，并同时支持调用SecureCRT、Xshell、Putty、WinSCP、FileZilla、RDP等客户端工具实现单点登录，不改变运维人员操作习惯。（提供产品功能界面截图证明）</w:t>
            </w:r>
          </w:p>
          <w:p w14:paraId="20E1F8A4">
            <w:pPr>
              <w:spacing w:line="240" w:lineRule="auto"/>
              <w:ind w:firstLine="0" w:firstLineChars="0"/>
              <w:jc w:val="left"/>
              <w:textAlignment w:val="top"/>
              <w:rPr>
                <w:rFonts w:ascii="仿宋" w:hAnsi="仿宋" w:eastAsia="仿宋" w:cs="仿宋"/>
                <w:kern w:val="0"/>
                <w:sz w:val="22"/>
                <w:szCs w:val="22"/>
              </w:rPr>
            </w:pPr>
            <w:r>
              <w:rPr>
                <w:rFonts w:hint="eastAsia" w:ascii="仿宋" w:hAnsi="仿宋" w:eastAsia="仿宋" w:cs="仿宋"/>
                <w:color w:val="000000"/>
                <w:kern w:val="0"/>
                <w:sz w:val="22"/>
                <w:szCs w:val="22"/>
                <w:lang w:bidi="ar"/>
              </w:rPr>
              <w:t>▲4、全面支持IPV6，设备自身可以配置IPV6地址供客户端访问，并且支持目标设备配置IPV6地址实现单点登录和审计。（提供产品功能界面截图证明）</w:t>
            </w:r>
          </w:p>
        </w:tc>
        <w:tc>
          <w:tcPr>
            <w:tcW w:w="410" w:type="dxa"/>
            <w:tcBorders>
              <w:top w:val="nil"/>
              <w:left w:val="nil"/>
              <w:bottom w:val="single" w:color="auto" w:sz="4" w:space="0"/>
              <w:right w:val="single" w:color="auto" w:sz="4" w:space="0"/>
            </w:tcBorders>
            <w:shd w:val="clear" w:color="auto" w:fill="auto"/>
            <w:noWrap/>
            <w:vAlign w:val="center"/>
          </w:tcPr>
          <w:p w14:paraId="50FDE120">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544046EA">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183B79C1">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1482ABD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41C37F41">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5E2BCBA9">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80AC691">
        <w:tblPrEx>
          <w:tblCellMar>
            <w:top w:w="0" w:type="dxa"/>
            <w:left w:w="108" w:type="dxa"/>
            <w:bottom w:w="0" w:type="dxa"/>
            <w:right w:w="108" w:type="dxa"/>
          </w:tblCellMar>
        </w:tblPrEx>
        <w:trPr>
          <w:trHeight w:val="1006"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56A8B93E">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18</w:t>
            </w:r>
          </w:p>
        </w:tc>
        <w:tc>
          <w:tcPr>
            <w:tcW w:w="1376" w:type="dxa"/>
            <w:tcBorders>
              <w:top w:val="nil"/>
              <w:left w:val="nil"/>
              <w:bottom w:val="single" w:color="auto" w:sz="4" w:space="0"/>
              <w:right w:val="single" w:color="auto" w:sz="4" w:space="0"/>
            </w:tcBorders>
            <w:shd w:val="clear" w:color="auto" w:fill="auto"/>
            <w:vAlign w:val="center"/>
          </w:tcPr>
          <w:p w14:paraId="37A42B38">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日志审计</w:t>
            </w:r>
          </w:p>
        </w:tc>
        <w:tc>
          <w:tcPr>
            <w:tcW w:w="3767" w:type="dxa"/>
            <w:tcBorders>
              <w:top w:val="nil"/>
              <w:left w:val="nil"/>
              <w:bottom w:val="single" w:color="auto" w:sz="4" w:space="0"/>
              <w:right w:val="single" w:color="auto" w:sz="4" w:space="0"/>
            </w:tcBorders>
            <w:shd w:val="clear" w:color="auto" w:fill="auto"/>
          </w:tcPr>
          <w:p w14:paraId="28A95726">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1、默认包含主机审计许可证书数量：200，最大可扩展审计主机许可数：450，含3年维保。</w:t>
            </w:r>
          </w:p>
          <w:p w14:paraId="7231A290">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支持通过正则、分隔符、json、xml的可视方式进行自定义规则解析，支持对解析结果字段的新增、合并、映射。（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p w14:paraId="4640D6EC">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支持对单个/多个日志源批量转发，支持定时转发，可通过syslog和kafka方式转发到第三方平台，并且支持转发原始日志和已解析日志的两种日志。（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p w14:paraId="671D19C8">
            <w:pPr>
              <w:spacing w:line="240" w:lineRule="auto"/>
              <w:ind w:firstLine="0" w:firstLineChars="0"/>
              <w:jc w:val="left"/>
              <w:textAlignment w:val="top"/>
              <w:rPr>
                <w:rFonts w:ascii="仿宋" w:hAnsi="仿宋" w:eastAsia="仿宋" w:cs="仿宋"/>
                <w:kern w:val="0"/>
                <w:sz w:val="22"/>
                <w:szCs w:val="22"/>
              </w:rPr>
            </w:pPr>
            <w:r>
              <w:rPr>
                <w:rFonts w:hint="eastAsia" w:ascii="仿宋" w:hAnsi="仿宋" w:eastAsia="仿宋" w:cs="仿宋"/>
                <w:color w:val="000000"/>
                <w:kern w:val="0"/>
                <w:sz w:val="22"/>
                <w:szCs w:val="22"/>
                <w:lang w:bidi="ar"/>
              </w:rPr>
              <w:t>▲4、支持对每个日志源设置过滤条件规则，自动过滤无用日志，满足根据实际业务需求减少采集对象发送到核心服务器的安全事件数，减少对网络带宽和数据库存储空间的占用。（提供具备CMA和CNAS标识的检测报告扫描件，注：检验（检测）报告要求具有CMA或CNAS等标识的，若有材料证明相关检测事项不在实施该项检测的机构许可（认可）CMA或CNAS等资质范围或检测范围内的，该检验（检测）报告</w:t>
            </w:r>
            <w:r>
              <w:rPr>
                <w:rFonts w:hint="eastAsia" w:ascii="仿宋" w:hAnsi="仿宋" w:eastAsia="仿宋" w:cs="仿宋"/>
                <w:color w:val="000000"/>
                <w:kern w:val="0"/>
                <w:sz w:val="22"/>
                <w:szCs w:val="22"/>
                <w:lang w:eastAsia="zh-CN" w:bidi="ar"/>
              </w:rPr>
              <w:t>范围</w:t>
            </w:r>
            <w:r>
              <w:rPr>
                <w:rFonts w:hint="eastAsia" w:ascii="仿宋" w:hAnsi="仿宋" w:eastAsia="仿宋" w:cs="仿宋"/>
                <w:color w:val="000000"/>
                <w:kern w:val="0"/>
                <w:sz w:val="22"/>
                <w:szCs w:val="22"/>
                <w:lang w:bidi="ar"/>
              </w:rPr>
              <w:t>视为不满足招标文件要求，作负偏离处理。）</w:t>
            </w:r>
          </w:p>
        </w:tc>
        <w:tc>
          <w:tcPr>
            <w:tcW w:w="410" w:type="dxa"/>
            <w:tcBorders>
              <w:top w:val="nil"/>
              <w:left w:val="nil"/>
              <w:bottom w:val="single" w:color="auto" w:sz="4" w:space="0"/>
              <w:right w:val="single" w:color="auto" w:sz="4" w:space="0"/>
            </w:tcBorders>
            <w:shd w:val="clear" w:color="auto" w:fill="auto"/>
            <w:noWrap/>
            <w:vAlign w:val="center"/>
          </w:tcPr>
          <w:p w14:paraId="5330D27E">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4AABED98">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75524EC0">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38FCD72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5D36DF0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39485C5F">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97DD194">
        <w:tblPrEx>
          <w:tblCellMar>
            <w:top w:w="0" w:type="dxa"/>
            <w:left w:w="108" w:type="dxa"/>
            <w:bottom w:w="0" w:type="dxa"/>
            <w:right w:w="108" w:type="dxa"/>
          </w:tblCellMar>
        </w:tblPrEx>
        <w:trPr>
          <w:trHeight w:val="1006"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72B42D50">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19</w:t>
            </w:r>
          </w:p>
        </w:tc>
        <w:tc>
          <w:tcPr>
            <w:tcW w:w="1376" w:type="dxa"/>
            <w:tcBorders>
              <w:top w:val="nil"/>
              <w:left w:val="nil"/>
              <w:bottom w:val="single" w:color="auto" w:sz="4" w:space="0"/>
              <w:right w:val="single" w:color="auto" w:sz="4" w:space="0"/>
            </w:tcBorders>
            <w:shd w:val="clear" w:color="auto" w:fill="auto"/>
            <w:vAlign w:val="center"/>
          </w:tcPr>
          <w:p w14:paraId="3B85B5BF">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主机防病毒</w:t>
            </w:r>
          </w:p>
        </w:tc>
        <w:tc>
          <w:tcPr>
            <w:tcW w:w="3767" w:type="dxa"/>
            <w:tcBorders>
              <w:top w:val="nil"/>
              <w:left w:val="nil"/>
              <w:bottom w:val="single" w:color="auto" w:sz="4" w:space="0"/>
              <w:right w:val="single" w:color="auto" w:sz="4" w:space="0"/>
            </w:tcBorders>
            <w:shd w:val="clear" w:color="auto" w:fill="auto"/>
          </w:tcPr>
          <w:p w14:paraId="1A9C9F5A">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1、代理模式，支持windows 以及 linux的主机防病毒，支持100个主机接入，病毒库更新服务</w:t>
            </w:r>
          </w:p>
          <w:p w14:paraId="31BF2D79">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提供勒索病毒整体防护体系入口，直观展示最近七天勒索病毒防护效果，包括已处置的恶意文件数量、已拦截可疑行为次数、已阻止的未知进程操作次数、已阻止的暴力破解攻击次数。（提供产品功能界面截图证明）</w:t>
            </w:r>
          </w:p>
          <w:p w14:paraId="05636B25">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支持以可视化形式展现攻击故事，提供可视化的进程树溯源，可直观看出攻击入口、相关操作行为、高危实体文件等信息，协助客户进行事件攻击溯源和研判分析。（提供产品可视化展示攻击链条和路径的截图证明）</w:t>
            </w:r>
          </w:p>
          <w:p w14:paraId="496B1D64">
            <w:pPr>
              <w:spacing w:line="240" w:lineRule="auto"/>
              <w:ind w:firstLine="0" w:firstLineChars="0"/>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支持windows服务器RDP远程登录保护，可开启RDP远程登录二次认证，以防止黑客对服务器的入侵；支持Linux服务器SSH远程登录保护，可开启SSH远程登录二次认证，以防止黑客利用弱密码脆弱性对服务器的入侵；支持设置验证码验证或自定义密码验证，支持设置登录认证提示、生效时间段和免二次认证白名单。（提供产品功能界面截图证明）</w:t>
            </w:r>
          </w:p>
          <w:p w14:paraId="50DA6688">
            <w:pPr>
              <w:spacing w:line="240" w:lineRule="auto"/>
              <w:ind w:firstLine="0" w:firstLineChars="0"/>
              <w:jc w:val="left"/>
              <w:textAlignment w:val="top"/>
              <w:rPr>
                <w:rFonts w:ascii="仿宋" w:hAnsi="仿宋" w:eastAsia="仿宋" w:cs="仿宋"/>
                <w:kern w:val="0"/>
                <w:sz w:val="22"/>
                <w:szCs w:val="22"/>
              </w:rPr>
            </w:pPr>
            <w:r>
              <w:rPr>
                <w:rFonts w:hint="eastAsia" w:ascii="仿宋" w:hAnsi="仿宋" w:eastAsia="仿宋" w:cs="仿宋"/>
                <w:color w:val="000000"/>
                <w:kern w:val="0"/>
                <w:sz w:val="22"/>
                <w:szCs w:val="22"/>
                <w:lang w:bidi="ar"/>
              </w:rPr>
              <w:t>▲5、支持基于威胁情报的病毒文件哈希值、行为、域名、网络连接等各项终端系统层、应用层行为数据在全网终端发起搜索，挖掘潜伏攻击，快速定位出全网终端感染该威胁的情况。（提供产品功能界面截图证明）</w:t>
            </w:r>
          </w:p>
        </w:tc>
        <w:tc>
          <w:tcPr>
            <w:tcW w:w="410" w:type="dxa"/>
            <w:tcBorders>
              <w:top w:val="nil"/>
              <w:left w:val="nil"/>
              <w:bottom w:val="single" w:color="auto" w:sz="4" w:space="0"/>
              <w:right w:val="single" w:color="auto" w:sz="4" w:space="0"/>
            </w:tcBorders>
            <w:shd w:val="clear" w:color="auto" w:fill="auto"/>
            <w:noWrap/>
            <w:vAlign w:val="center"/>
          </w:tcPr>
          <w:p w14:paraId="78CA5030">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372DE21F">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1</w:t>
            </w:r>
          </w:p>
        </w:tc>
        <w:tc>
          <w:tcPr>
            <w:tcW w:w="573" w:type="dxa"/>
            <w:tcBorders>
              <w:top w:val="nil"/>
              <w:left w:val="nil"/>
              <w:bottom w:val="single" w:color="auto" w:sz="4" w:space="0"/>
              <w:right w:val="single" w:color="auto" w:sz="4" w:space="0"/>
            </w:tcBorders>
            <w:shd w:val="clear" w:color="auto" w:fill="auto"/>
            <w:noWrap/>
            <w:vAlign w:val="center"/>
          </w:tcPr>
          <w:p w14:paraId="33881136">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65745E0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72D29D37">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6AEE2AFC">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bookmarkStart w:id="36" w:name="_GoBack"/>
            <w:bookmarkEnd w:id="36"/>
          </w:p>
        </w:tc>
      </w:tr>
      <w:tr w14:paraId="03B9EC18">
        <w:tblPrEx>
          <w:tblCellMar>
            <w:top w:w="0" w:type="dxa"/>
            <w:left w:w="108" w:type="dxa"/>
            <w:bottom w:w="0" w:type="dxa"/>
            <w:right w:w="108" w:type="dxa"/>
          </w:tblCellMar>
        </w:tblPrEx>
        <w:trPr>
          <w:trHeight w:val="1061"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14:paraId="0F1F14EE">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20</w:t>
            </w:r>
          </w:p>
        </w:tc>
        <w:tc>
          <w:tcPr>
            <w:tcW w:w="1376" w:type="dxa"/>
            <w:tcBorders>
              <w:top w:val="nil"/>
              <w:left w:val="nil"/>
              <w:bottom w:val="single" w:color="auto" w:sz="4" w:space="0"/>
              <w:right w:val="single" w:color="auto" w:sz="4" w:space="0"/>
            </w:tcBorders>
            <w:shd w:val="clear" w:color="auto" w:fill="auto"/>
            <w:vAlign w:val="center"/>
          </w:tcPr>
          <w:p w14:paraId="73755472">
            <w:pPr>
              <w:spacing w:line="240" w:lineRule="auto"/>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Veeam备份软件</w:t>
            </w:r>
          </w:p>
        </w:tc>
        <w:tc>
          <w:tcPr>
            <w:tcW w:w="3767" w:type="dxa"/>
            <w:tcBorders>
              <w:top w:val="nil"/>
              <w:left w:val="nil"/>
              <w:bottom w:val="single" w:color="auto" w:sz="4" w:space="0"/>
              <w:right w:val="single" w:color="auto" w:sz="4" w:space="0"/>
            </w:tcBorders>
            <w:shd w:val="clear" w:color="auto" w:fill="auto"/>
          </w:tcPr>
          <w:p w14:paraId="0859FC59">
            <w:pPr>
              <w:spacing w:line="240" w:lineRule="auto"/>
              <w:ind w:firstLine="0" w:firstLineChars="0"/>
              <w:jc w:val="left"/>
              <w:textAlignment w:val="top"/>
              <w:rPr>
                <w:rFonts w:ascii="仿宋" w:hAnsi="仿宋" w:eastAsia="仿宋" w:cs="仿宋"/>
                <w:kern w:val="0"/>
                <w:sz w:val="22"/>
                <w:szCs w:val="22"/>
              </w:rPr>
            </w:pPr>
            <w:r>
              <w:rPr>
                <w:rFonts w:hint="eastAsia" w:ascii="仿宋" w:hAnsi="仿宋" w:eastAsia="仿宋" w:cs="仿宋"/>
                <w:color w:val="000000"/>
                <w:kern w:val="0"/>
                <w:sz w:val="22"/>
                <w:szCs w:val="22"/>
                <w:lang w:bidi="ar"/>
              </w:rPr>
              <w:t>Veeam 备份与复制通用许可证。包含企业增强版功能。——1 年期订阅，预付费，并提供 7*24 小时支持。</w:t>
            </w:r>
          </w:p>
        </w:tc>
        <w:tc>
          <w:tcPr>
            <w:tcW w:w="410" w:type="dxa"/>
            <w:tcBorders>
              <w:top w:val="nil"/>
              <w:left w:val="nil"/>
              <w:bottom w:val="single" w:color="auto" w:sz="4" w:space="0"/>
              <w:right w:val="single" w:color="auto" w:sz="4" w:space="0"/>
            </w:tcBorders>
            <w:shd w:val="clear" w:color="auto" w:fill="auto"/>
            <w:noWrap/>
            <w:vAlign w:val="center"/>
          </w:tcPr>
          <w:p w14:paraId="798965DD">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套</w:t>
            </w:r>
          </w:p>
        </w:tc>
        <w:tc>
          <w:tcPr>
            <w:tcW w:w="471" w:type="dxa"/>
            <w:tcBorders>
              <w:top w:val="nil"/>
              <w:left w:val="nil"/>
              <w:bottom w:val="single" w:color="auto" w:sz="4" w:space="0"/>
              <w:right w:val="single" w:color="auto" w:sz="4" w:space="0"/>
            </w:tcBorders>
            <w:shd w:val="clear" w:color="auto" w:fill="auto"/>
            <w:noWrap/>
            <w:vAlign w:val="center"/>
          </w:tcPr>
          <w:p w14:paraId="5DFB152C">
            <w:pPr>
              <w:ind w:firstLine="0" w:firstLineChars="0"/>
              <w:jc w:val="left"/>
              <w:textAlignment w:val="center"/>
              <w:rPr>
                <w:rFonts w:ascii="仿宋" w:hAnsi="仿宋" w:eastAsia="仿宋" w:cs="仿宋"/>
                <w:color w:val="000000"/>
                <w:kern w:val="0"/>
                <w:sz w:val="22"/>
                <w:szCs w:val="22"/>
              </w:rPr>
            </w:pPr>
            <w:r>
              <w:rPr>
                <w:rFonts w:hint="eastAsia" w:ascii="仿宋" w:hAnsi="仿宋" w:eastAsia="仿宋" w:cs="仿宋"/>
                <w:color w:val="0D0D0D"/>
                <w:kern w:val="0"/>
                <w:sz w:val="22"/>
                <w:szCs w:val="22"/>
                <w:lang w:bidi="ar"/>
              </w:rPr>
              <w:t>10</w:t>
            </w:r>
          </w:p>
        </w:tc>
        <w:tc>
          <w:tcPr>
            <w:tcW w:w="573" w:type="dxa"/>
            <w:tcBorders>
              <w:top w:val="nil"/>
              <w:left w:val="nil"/>
              <w:bottom w:val="single" w:color="auto" w:sz="4" w:space="0"/>
              <w:right w:val="single" w:color="auto" w:sz="4" w:space="0"/>
            </w:tcBorders>
            <w:shd w:val="clear" w:color="auto" w:fill="auto"/>
            <w:noWrap/>
            <w:vAlign w:val="center"/>
          </w:tcPr>
          <w:p w14:paraId="6B5CB955">
            <w:pPr>
              <w:ind w:firstLine="0" w:firstLineChars="0"/>
              <w:jc w:val="left"/>
              <w:textAlignment w:val="center"/>
              <w:rPr>
                <w:rFonts w:ascii="仿宋" w:hAnsi="仿宋" w:eastAsia="仿宋" w:cs="仿宋"/>
                <w:color w:val="0D0D0D"/>
                <w:kern w:val="0"/>
                <w:sz w:val="22"/>
                <w:szCs w:val="22"/>
                <w:lang w:bidi="ar"/>
              </w:rPr>
            </w:pPr>
          </w:p>
        </w:tc>
        <w:tc>
          <w:tcPr>
            <w:tcW w:w="651" w:type="dxa"/>
            <w:tcBorders>
              <w:top w:val="nil"/>
              <w:left w:val="nil"/>
              <w:bottom w:val="single" w:color="auto" w:sz="4" w:space="0"/>
              <w:right w:val="single" w:color="auto" w:sz="4" w:space="0"/>
            </w:tcBorders>
            <w:shd w:val="clear" w:color="auto" w:fill="auto"/>
            <w:noWrap/>
            <w:vAlign w:val="center"/>
          </w:tcPr>
          <w:p w14:paraId="7C331D3B">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692" w:type="dxa"/>
            <w:tcBorders>
              <w:top w:val="nil"/>
              <w:left w:val="nil"/>
              <w:bottom w:val="single" w:color="auto" w:sz="4" w:space="0"/>
              <w:right w:val="single" w:color="auto" w:sz="4" w:space="0"/>
            </w:tcBorders>
            <w:shd w:val="clear" w:color="auto" w:fill="auto"/>
            <w:noWrap/>
            <w:vAlign w:val="center"/>
          </w:tcPr>
          <w:p w14:paraId="3441A9F2">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702" w:type="dxa"/>
            <w:tcBorders>
              <w:top w:val="nil"/>
              <w:left w:val="nil"/>
              <w:bottom w:val="single" w:color="auto" w:sz="4" w:space="0"/>
              <w:right w:val="single" w:color="auto" w:sz="4" w:space="0"/>
            </w:tcBorders>
            <w:shd w:val="clear" w:color="auto" w:fill="auto"/>
            <w:noWrap/>
            <w:vAlign w:val="center"/>
          </w:tcPr>
          <w:p w14:paraId="4FC56146">
            <w:pPr>
              <w:spacing w:line="240" w:lineRule="auto"/>
              <w:ind w:firstLine="0" w:firstLineChars="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bl>
    <w:p w14:paraId="3E5D9E13">
      <w:pPr>
        <w:widowControl w:val="0"/>
        <w:autoSpaceDE w:val="0"/>
        <w:autoSpaceDN w:val="0"/>
        <w:adjustRightInd w:val="0"/>
        <w:snapToGrid w:val="0"/>
        <w:ind w:firstLine="0" w:firstLineChars="0"/>
        <w:jc w:val="left"/>
        <w:rPr>
          <w:rFonts w:ascii="仿宋" w:hAnsi="仿宋" w:eastAsia="仿宋" w:cs="仿宋"/>
          <w:sz w:val="32"/>
          <w:szCs w:val="32"/>
          <w:u w:val="single"/>
        </w:rPr>
      </w:pPr>
    </w:p>
    <w:p w14:paraId="6BA13A92">
      <w:pPr>
        <w:widowControl w:val="0"/>
        <w:autoSpaceDE w:val="0"/>
        <w:autoSpaceDN w:val="0"/>
        <w:adjustRightInd w:val="0"/>
        <w:snapToGrid w:val="0"/>
        <w:ind w:firstLine="0" w:firstLineChars="0"/>
        <w:jc w:val="left"/>
        <w:rPr>
          <w:rFonts w:ascii="仿宋" w:hAnsi="仿宋" w:eastAsia="仿宋" w:cs="仿宋"/>
          <w:b/>
          <w:sz w:val="32"/>
          <w:szCs w:val="32"/>
        </w:rPr>
      </w:pPr>
      <w:r>
        <w:rPr>
          <w:rFonts w:hint="eastAsia" w:ascii="仿宋" w:hAnsi="仿宋" w:eastAsia="仿宋" w:cs="仿宋"/>
          <w:b/>
          <w:sz w:val="32"/>
          <w:szCs w:val="32"/>
        </w:rPr>
        <w:t>重要提示：</w:t>
      </w:r>
    </w:p>
    <w:p w14:paraId="2D078DDE">
      <w:pPr>
        <w:widowControl w:val="0"/>
        <w:autoSpaceDE w:val="0"/>
        <w:autoSpaceDN w:val="0"/>
        <w:adjustRightInd w:val="0"/>
        <w:snapToGrid w:val="0"/>
        <w:ind w:firstLine="0" w:firstLineChars="0"/>
        <w:jc w:val="left"/>
        <w:rPr>
          <w:rFonts w:ascii="仿宋" w:hAnsi="仿宋" w:eastAsia="仿宋" w:cs="仿宋"/>
          <w:sz w:val="32"/>
          <w:szCs w:val="32"/>
        </w:rPr>
      </w:pPr>
      <w:r>
        <w:rPr>
          <w:rFonts w:hint="eastAsia" w:ascii="仿宋" w:hAnsi="仿宋" w:eastAsia="仿宋" w:cs="仿宋"/>
          <w:sz w:val="32"/>
          <w:szCs w:val="32"/>
        </w:rPr>
        <w:t>此表格式可扩展。</w:t>
      </w:r>
    </w:p>
    <w:p w14:paraId="5CA8DE53">
      <w:pPr>
        <w:widowControl w:val="0"/>
        <w:autoSpaceDE w:val="0"/>
        <w:autoSpaceDN w:val="0"/>
        <w:adjustRightInd w:val="0"/>
        <w:snapToGrid w:val="0"/>
        <w:ind w:firstLine="0" w:firstLineChars="0"/>
        <w:jc w:val="left"/>
        <w:rPr>
          <w:rFonts w:ascii="仿宋" w:hAnsi="仿宋" w:eastAsia="仿宋" w:cs="仿宋"/>
          <w:b/>
          <w:sz w:val="32"/>
          <w:szCs w:val="32"/>
        </w:rPr>
      </w:pPr>
    </w:p>
    <w:p w14:paraId="21BC4D1E">
      <w:pPr>
        <w:widowControl w:val="0"/>
        <w:autoSpaceDE w:val="0"/>
        <w:autoSpaceDN w:val="0"/>
        <w:adjustRightInd w:val="0"/>
        <w:snapToGrid w:val="0"/>
        <w:ind w:firstLine="0" w:firstLineChars="0"/>
        <w:jc w:val="left"/>
        <w:rPr>
          <w:rFonts w:ascii="仿宋" w:hAnsi="仿宋" w:eastAsia="仿宋" w:cs="仿宋"/>
          <w:b/>
          <w:sz w:val="32"/>
          <w:szCs w:val="32"/>
        </w:rPr>
      </w:pPr>
    </w:p>
    <w:p w14:paraId="77913EE6">
      <w:pPr>
        <w:widowControl w:val="0"/>
        <w:autoSpaceDE w:val="0"/>
        <w:autoSpaceDN w:val="0"/>
        <w:adjustRightInd w:val="0"/>
        <w:snapToGrid w:val="0"/>
        <w:ind w:firstLine="0" w:firstLineChars="0"/>
        <w:jc w:val="left"/>
        <w:rPr>
          <w:rFonts w:ascii="仿宋" w:hAnsi="仿宋" w:eastAsia="仿宋" w:cs="仿宋"/>
          <w:b/>
          <w:sz w:val="32"/>
          <w:szCs w:val="32"/>
        </w:rPr>
      </w:pPr>
    </w:p>
    <w:p w14:paraId="044C75F2">
      <w:pPr>
        <w:widowControl w:val="0"/>
        <w:autoSpaceDE w:val="0"/>
        <w:autoSpaceDN w:val="0"/>
        <w:adjustRightInd w:val="0"/>
        <w:snapToGrid w:val="0"/>
        <w:ind w:firstLine="0" w:firstLineChars="0"/>
        <w:jc w:val="left"/>
        <w:rPr>
          <w:rFonts w:ascii="仿宋" w:hAnsi="仿宋" w:eastAsia="仿宋" w:cs="仿宋"/>
          <w:b/>
          <w:sz w:val="32"/>
          <w:szCs w:val="32"/>
        </w:rPr>
      </w:pPr>
    </w:p>
    <w:p w14:paraId="2D4DDB80">
      <w:pPr>
        <w:widowControl w:val="0"/>
        <w:autoSpaceDE w:val="0"/>
        <w:autoSpaceDN w:val="0"/>
        <w:adjustRightInd w:val="0"/>
        <w:snapToGrid w:val="0"/>
        <w:ind w:firstLine="0" w:firstLineChars="0"/>
        <w:jc w:val="left"/>
        <w:rPr>
          <w:rFonts w:ascii="仿宋" w:hAnsi="仿宋" w:eastAsia="仿宋" w:cs="仿宋"/>
          <w:b/>
          <w:sz w:val="32"/>
          <w:szCs w:val="32"/>
        </w:rPr>
      </w:pPr>
    </w:p>
    <w:p w14:paraId="76B20B42">
      <w:pPr>
        <w:widowControl w:val="0"/>
        <w:autoSpaceDE w:val="0"/>
        <w:autoSpaceDN w:val="0"/>
        <w:adjustRightInd w:val="0"/>
        <w:snapToGrid w:val="0"/>
        <w:ind w:firstLine="0" w:firstLineChars="0"/>
        <w:jc w:val="left"/>
        <w:rPr>
          <w:rFonts w:ascii="仿宋" w:hAnsi="仿宋" w:eastAsia="仿宋" w:cs="仿宋"/>
          <w:b/>
          <w:sz w:val="32"/>
          <w:szCs w:val="32"/>
        </w:rPr>
      </w:pPr>
      <w:r>
        <w:rPr>
          <w:rFonts w:hint="eastAsia" w:ascii="仿宋" w:hAnsi="仿宋" w:eastAsia="仿宋" w:cs="仿宋"/>
          <w:b/>
          <w:sz w:val="32"/>
          <w:szCs w:val="32"/>
        </w:rPr>
        <w:t>二、系统硬件集成报价（含施工）：</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7"/>
        <w:gridCol w:w="1553"/>
      </w:tblGrid>
      <w:tr w14:paraId="4F19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4088" w:type="pct"/>
            <w:tcBorders>
              <w:left w:val="single" w:color="auto" w:sz="2" w:space="0"/>
            </w:tcBorders>
            <w:shd w:val="clear" w:color="auto" w:fill="DBE5F1"/>
            <w:vAlign w:val="center"/>
          </w:tcPr>
          <w:p w14:paraId="415AB846">
            <w:pPr>
              <w:widowControl w:val="0"/>
              <w:autoSpaceDE w:val="0"/>
              <w:autoSpaceDN w:val="0"/>
              <w:adjustRightInd w:val="0"/>
              <w:snapToGrid w:val="0"/>
              <w:ind w:firstLine="0" w:firstLineChars="0"/>
              <w:jc w:val="center"/>
              <w:rPr>
                <w:rFonts w:ascii="仿宋" w:hAnsi="仿宋" w:eastAsia="仿宋" w:cs="仿宋"/>
                <w:b/>
                <w:sz w:val="22"/>
                <w:szCs w:val="22"/>
              </w:rPr>
            </w:pPr>
            <w:r>
              <w:rPr>
                <w:rFonts w:hint="eastAsia" w:ascii="仿宋" w:hAnsi="仿宋" w:eastAsia="仿宋" w:cs="仿宋"/>
                <w:b/>
                <w:sz w:val="22"/>
                <w:szCs w:val="22"/>
              </w:rPr>
              <w:t>系统硬件集成报价（含施工）（含税）</w:t>
            </w:r>
          </w:p>
          <w:p w14:paraId="27B7FB5A">
            <w:pPr>
              <w:widowControl w:val="0"/>
              <w:autoSpaceDE w:val="0"/>
              <w:autoSpaceDN w:val="0"/>
              <w:adjustRightInd w:val="0"/>
              <w:snapToGrid w:val="0"/>
              <w:ind w:firstLine="0" w:firstLineChars="0"/>
              <w:jc w:val="center"/>
              <w:rPr>
                <w:rFonts w:ascii="仿宋" w:hAnsi="仿宋" w:eastAsia="仿宋" w:cs="仿宋"/>
                <w:b/>
                <w:sz w:val="22"/>
                <w:szCs w:val="22"/>
              </w:rPr>
            </w:pPr>
            <w:r>
              <w:rPr>
                <w:rFonts w:hint="eastAsia" w:ascii="仿宋" w:hAnsi="仿宋" w:eastAsia="仿宋" w:cs="仿宋"/>
                <w:b/>
                <w:sz w:val="22"/>
                <w:szCs w:val="22"/>
              </w:rPr>
              <w:t>（人民币/元）</w:t>
            </w:r>
          </w:p>
        </w:tc>
        <w:tc>
          <w:tcPr>
            <w:tcW w:w="911" w:type="pct"/>
            <w:shd w:val="clear" w:color="auto" w:fill="DBE5F1"/>
            <w:vAlign w:val="center"/>
          </w:tcPr>
          <w:p w14:paraId="7ED3908E">
            <w:pPr>
              <w:widowControl w:val="0"/>
              <w:autoSpaceDE w:val="0"/>
              <w:autoSpaceDN w:val="0"/>
              <w:adjustRightInd w:val="0"/>
              <w:snapToGrid w:val="0"/>
              <w:ind w:firstLine="0" w:firstLineChars="0"/>
              <w:jc w:val="center"/>
              <w:rPr>
                <w:rFonts w:ascii="仿宋" w:hAnsi="仿宋" w:eastAsia="仿宋" w:cs="仿宋"/>
                <w:b/>
                <w:sz w:val="22"/>
                <w:szCs w:val="22"/>
              </w:rPr>
            </w:pPr>
            <w:r>
              <w:rPr>
                <w:rFonts w:hint="eastAsia" w:ascii="仿宋" w:hAnsi="仿宋" w:eastAsia="仿宋" w:cs="仿宋"/>
                <w:b/>
                <w:sz w:val="22"/>
                <w:szCs w:val="22"/>
              </w:rPr>
              <w:t>备注</w:t>
            </w:r>
          </w:p>
        </w:tc>
      </w:tr>
      <w:tr w14:paraId="2BEC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4088" w:type="pct"/>
            <w:tcBorders>
              <w:left w:val="single" w:color="auto" w:sz="2" w:space="0"/>
            </w:tcBorders>
            <w:vAlign w:val="center"/>
          </w:tcPr>
          <w:p w14:paraId="5F50FE74">
            <w:pPr>
              <w:widowControl w:val="0"/>
              <w:autoSpaceDE w:val="0"/>
              <w:autoSpaceDN w:val="0"/>
              <w:adjustRightInd w:val="0"/>
              <w:snapToGrid w:val="0"/>
              <w:ind w:firstLine="0" w:firstLineChars="0"/>
              <w:jc w:val="center"/>
              <w:rPr>
                <w:rFonts w:ascii="仿宋" w:hAnsi="仿宋" w:eastAsia="仿宋" w:cs="仿宋"/>
                <w:sz w:val="22"/>
                <w:szCs w:val="22"/>
              </w:rPr>
            </w:pPr>
          </w:p>
        </w:tc>
        <w:tc>
          <w:tcPr>
            <w:tcW w:w="911" w:type="pct"/>
            <w:vAlign w:val="center"/>
          </w:tcPr>
          <w:p w14:paraId="6849D0DA">
            <w:pPr>
              <w:widowControl w:val="0"/>
              <w:autoSpaceDE w:val="0"/>
              <w:autoSpaceDN w:val="0"/>
              <w:adjustRightInd w:val="0"/>
              <w:snapToGrid w:val="0"/>
              <w:ind w:firstLine="0" w:firstLineChars="0"/>
              <w:jc w:val="center"/>
              <w:rPr>
                <w:rFonts w:ascii="仿宋" w:hAnsi="仿宋" w:eastAsia="仿宋" w:cs="仿宋"/>
                <w:sz w:val="22"/>
                <w:szCs w:val="22"/>
              </w:rPr>
            </w:pPr>
          </w:p>
        </w:tc>
      </w:tr>
    </w:tbl>
    <w:p w14:paraId="16161E3D">
      <w:pPr>
        <w:widowControl w:val="0"/>
        <w:autoSpaceDE w:val="0"/>
        <w:autoSpaceDN w:val="0"/>
        <w:adjustRightInd w:val="0"/>
        <w:snapToGrid w:val="0"/>
        <w:ind w:firstLine="0" w:firstLineChars="0"/>
        <w:jc w:val="left"/>
        <w:rPr>
          <w:rFonts w:ascii="仿宋" w:hAnsi="仿宋" w:eastAsia="仿宋" w:cs="仿宋"/>
          <w:sz w:val="32"/>
          <w:szCs w:val="32"/>
        </w:rPr>
      </w:pPr>
    </w:p>
    <w:p w14:paraId="78A5E578">
      <w:pPr>
        <w:widowControl w:val="0"/>
        <w:autoSpaceDE w:val="0"/>
        <w:autoSpaceDN w:val="0"/>
        <w:adjustRightInd w:val="0"/>
        <w:snapToGrid w:val="0"/>
        <w:ind w:firstLine="0" w:firstLineChars="0"/>
        <w:jc w:val="left"/>
        <w:rPr>
          <w:rFonts w:ascii="仿宋" w:hAnsi="仿宋" w:eastAsia="仿宋" w:cs="仿宋"/>
          <w:b/>
          <w:sz w:val="32"/>
          <w:szCs w:val="32"/>
        </w:rPr>
      </w:pPr>
    </w:p>
    <w:p w14:paraId="31C07E81">
      <w:pPr>
        <w:widowControl w:val="0"/>
        <w:autoSpaceDE w:val="0"/>
        <w:autoSpaceDN w:val="0"/>
        <w:adjustRightInd w:val="0"/>
        <w:snapToGrid w:val="0"/>
        <w:ind w:firstLine="0" w:firstLineChars="0"/>
        <w:jc w:val="left"/>
        <w:rPr>
          <w:rFonts w:ascii="仿宋" w:hAnsi="仿宋" w:eastAsia="仿宋" w:cs="仿宋"/>
          <w:sz w:val="32"/>
          <w:szCs w:val="32"/>
        </w:rPr>
      </w:pPr>
      <w:bookmarkStart w:id="35" w:name="_Toc523211707"/>
    </w:p>
    <w:p w14:paraId="6F6044F6">
      <w:pPr>
        <w:widowControl w:val="0"/>
        <w:autoSpaceDE w:val="0"/>
        <w:autoSpaceDN w:val="0"/>
        <w:adjustRightInd w:val="0"/>
        <w:snapToGrid w:val="0"/>
        <w:ind w:firstLine="0" w:firstLineChars="0"/>
        <w:jc w:val="left"/>
        <w:rPr>
          <w:rFonts w:ascii="仿宋" w:hAnsi="仿宋" w:eastAsia="仿宋" w:cs="仿宋"/>
          <w:sz w:val="36"/>
          <w:szCs w:val="44"/>
        </w:rPr>
      </w:pPr>
      <w:r>
        <w:rPr>
          <w:rFonts w:hint="eastAsia" w:ascii="仿宋" w:hAnsi="仿宋" w:eastAsia="仿宋" w:cs="仿宋"/>
          <w:sz w:val="32"/>
          <w:szCs w:val="32"/>
        </w:rPr>
        <w:t>投标人（盖章）：</w:t>
      </w:r>
      <w:r>
        <w:rPr>
          <w:rFonts w:hint="eastAsia" w:ascii="仿宋" w:hAnsi="仿宋" w:eastAsia="仿宋" w:cs="仿宋"/>
          <w:sz w:val="32"/>
          <w:szCs w:val="32"/>
          <w:u w:val="single"/>
        </w:rPr>
        <w:t xml:space="preserve">                               </w:t>
      </w:r>
      <w:r>
        <w:rPr>
          <w:rFonts w:hint="eastAsia" w:ascii="仿宋" w:hAnsi="仿宋" w:eastAsia="仿宋" w:cs="仿宋"/>
          <w:sz w:val="36"/>
          <w:szCs w:val="36"/>
          <w:u w:val="single"/>
        </w:rPr>
        <w:t xml:space="preserve">         </w:t>
      </w:r>
      <w:bookmarkEnd w:id="3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jMTVmYTdjM2IyZTNhYzM3NzgwMDZmODZkNzRiZTMifQ=="/>
  </w:docVars>
  <w:rsids>
    <w:rsidRoot w:val="00416FA7"/>
    <w:rsid w:val="001C7658"/>
    <w:rsid w:val="00416FA7"/>
    <w:rsid w:val="004F4FB2"/>
    <w:rsid w:val="00852AE7"/>
    <w:rsid w:val="00937516"/>
    <w:rsid w:val="00ED0BE2"/>
    <w:rsid w:val="00EF799B"/>
    <w:rsid w:val="03E43483"/>
    <w:rsid w:val="06CB56C5"/>
    <w:rsid w:val="0D69439A"/>
    <w:rsid w:val="0F9336BA"/>
    <w:rsid w:val="15694810"/>
    <w:rsid w:val="15C350FC"/>
    <w:rsid w:val="17C4348D"/>
    <w:rsid w:val="1ECE002B"/>
    <w:rsid w:val="211717D8"/>
    <w:rsid w:val="242A2CE1"/>
    <w:rsid w:val="26A74B38"/>
    <w:rsid w:val="28E96637"/>
    <w:rsid w:val="2CD82310"/>
    <w:rsid w:val="33E365F1"/>
    <w:rsid w:val="35B7766A"/>
    <w:rsid w:val="377C65CC"/>
    <w:rsid w:val="3991278E"/>
    <w:rsid w:val="3B2B1978"/>
    <w:rsid w:val="3C6C4A42"/>
    <w:rsid w:val="3FEB48FE"/>
    <w:rsid w:val="429C1EC8"/>
    <w:rsid w:val="455B2B1D"/>
    <w:rsid w:val="4B797C65"/>
    <w:rsid w:val="50AC6291"/>
    <w:rsid w:val="5B1F1C3A"/>
    <w:rsid w:val="5CC9222D"/>
    <w:rsid w:val="6122664B"/>
    <w:rsid w:val="62360C05"/>
    <w:rsid w:val="629D5157"/>
    <w:rsid w:val="636A324C"/>
    <w:rsid w:val="64472BAC"/>
    <w:rsid w:val="67942D9E"/>
    <w:rsid w:val="7151758B"/>
    <w:rsid w:val="76FF3472"/>
    <w:rsid w:val="772B01E2"/>
    <w:rsid w:val="79241338"/>
    <w:rsid w:val="7A38654D"/>
    <w:rsid w:val="7C4C6319"/>
    <w:rsid w:val="7CEF3AE0"/>
    <w:rsid w:val="7E05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Indent 2"/>
    <w:basedOn w:val="1"/>
    <w:link w:val="7"/>
    <w:qFormat/>
    <w:uiPriority w:val="0"/>
    <w:pPr>
      <w:ind w:firstLine="640"/>
    </w:pPr>
    <w:rPr>
      <w:rFonts w:eastAsia="仿宋_GB2312"/>
      <w:sz w:val="32"/>
    </w:rPr>
  </w:style>
  <w:style w:type="paragraph" w:styleId="4">
    <w:name w:val="Balloon Text"/>
    <w:basedOn w:val="1"/>
    <w:link w:val="9"/>
    <w:semiHidden/>
    <w:unhideWhenUsed/>
    <w:qFormat/>
    <w:uiPriority w:val="99"/>
    <w:pPr>
      <w:spacing w:line="240" w:lineRule="auto"/>
    </w:pPr>
    <w:rPr>
      <w:sz w:val="18"/>
      <w:szCs w:val="18"/>
    </w:rPr>
  </w:style>
  <w:style w:type="character" w:customStyle="1" w:styleId="7">
    <w:name w:val="正文文本缩进 2 字符"/>
    <w:basedOn w:val="6"/>
    <w:link w:val="3"/>
    <w:qFormat/>
    <w:uiPriority w:val="0"/>
    <w:rPr>
      <w:rFonts w:ascii="Times New Roman" w:hAnsi="Times New Roman" w:eastAsia="仿宋_GB2312" w:cs="Times New Roman"/>
      <w:sz w:val="32"/>
      <w:szCs w:val="24"/>
    </w:rPr>
  </w:style>
  <w:style w:type="character" w:customStyle="1" w:styleId="8">
    <w:name w:val="标题 2 字符"/>
    <w:basedOn w:val="6"/>
    <w:link w:val="2"/>
    <w:semiHidden/>
    <w:qFormat/>
    <w:uiPriority w:val="9"/>
    <w:rPr>
      <w:rFonts w:asciiTheme="majorHAnsi" w:hAnsiTheme="majorHAnsi" w:eastAsiaTheme="majorEastAsia" w:cstheme="majorBidi"/>
      <w:b/>
      <w:bCs/>
      <w:sz w:val="32"/>
      <w:szCs w:val="32"/>
    </w:rPr>
  </w:style>
  <w:style w:type="character" w:customStyle="1" w:styleId="9">
    <w:name w:val="批注框文本 字符"/>
    <w:basedOn w:val="6"/>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3371</Words>
  <Characters>4272</Characters>
  <Lines>22</Lines>
  <Paragraphs>6</Paragraphs>
  <TotalTime>3</TotalTime>
  <ScaleCrop>false</ScaleCrop>
  <LinksUpToDate>false</LinksUpToDate>
  <CharactersWithSpaces>4506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2024-11-07T08:23:00Z</dcterms:created>
  <dc:creator>Microsoft 帐户</dc:creator>
  <cp:lastModifiedBy>张琦</cp:lastModifiedBy>
  <dcterms:modified xsi:type="dcterms:W3CDTF">2025-02-07T02:48:09Z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2B8510B8EDA944C09C301BCD02EEB025_13</vt:lpwstr>
  </property>
  <property fmtid="{D5CDD505-2E9C-101B-9397-08002B2CF9AE}" pid="4" name="KSOTemplateDocerSaveRecord">
    <vt:lpwstr>eyJoZGlkIjoiZjYxZTUyYjc1MzQwNWRmNjlmMWQyYmQ2NmM1M2U4MmMiLCJ1c2VySWQiOiIyNjEzMjU1OTEifQ==</vt:lpwstr>
  </property>
</Properties>
</file>