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D61E9">
      <w:pPr>
        <w:tabs>
          <w:tab w:val="left" w:pos="360"/>
        </w:tabs>
        <w:ind w:firstLine="301" w:firstLineChars="100"/>
        <w:outlineLvl w:val="0"/>
        <w:rPr>
          <w:rFonts w:hint="eastAsia" w:ascii="仿宋_GB2312" w:eastAsia="仿宋_GB2312"/>
          <w:b/>
          <w:bCs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附件二：响应文件一览表</w:t>
      </w:r>
    </w:p>
    <w:p w14:paraId="62D5CEFF">
      <w:pPr>
        <w:tabs>
          <w:tab w:val="left" w:pos="360"/>
        </w:tabs>
        <w:jc w:val="center"/>
        <w:outlineLvl w:val="0"/>
        <w:rPr>
          <w:rFonts w:ascii="宋体" w:hAnsi="宋体"/>
          <w:b/>
          <w:bCs/>
          <w:sz w:val="28"/>
          <w:highlight w:val="none"/>
        </w:rPr>
      </w:pPr>
      <w:r>
        <w:rPr>
          <w:rFonts w:hint="eastAsia" w:ascii="宋体" w:hAnsi="宋体"/>
          <w:b/>
          <w:bCs/>
          <w:sz w:val="28"/>
          <w:highlight w:val="none"/>
        </w:rPr>
        <w:t>评分标准和细则</w:t>
      </w:r>
    </w:p>
    <w:tbl>
      <w:tblPr>
        <w:tblStyle w:val="5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98"/>
        <w:gridCol w:w="1531"/>
        <w:gridCol w:w="1136"/>
        <w:gridCol w:w="5482"/>
      </w:tblGrid>
      <w:tr w14:paraId="7362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noWrap w:val="0"/>
            <w:vAlign w:val="center"/>
          </w:tcPr>
          <w:p w14:paraId="3CA1F13D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bookmarkStart w:id="0" w:name="InsertEnd"/>
            <w:bookmarkEnd w:id="0"/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797F7907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评分项</w:t>
            </w:r>
          </w:p>
        </w:tc>
        <w:tc>
          <w:tcPr>
            <w:tcW w:w="5482" w:type="dxa"/>
            <w:noWrap w:val="0"/>
            <w:vAlign w:val="center"/>
          </w:tcPr>
          <w:p w14:paraId="525BD316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权重</w:t>
            </w:r>
          </w:p>
        </w:tc>
      </w:tr>
      <w:tr w14:paraId="63C2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noWrap w:val="0"/>
            <w:vAlign w:val="center"/>
          </w:tcPr>
          <w:p w14:paraId="51156051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1</w:t>
            </w:r>
          </w:p>
        </w:tc>
        <w:tc>
          <w:tcPr>
            <w:tcW w:w="3165" w:type="dxa"/>
            <w:gridSpan w:val="3"/>
            <w:vMerge w:val="restart"/>
            <w:noWrap w:val="0"/>
            <w:vAlign w:val="center"/>
          </w:tcPr>
          <w:p w14:paraId="2CF610A1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价格部分</w:t>
            </w:r>
          </w:p>
        </w:tc>
        <w:tc>
          <w:tcPr>
            <w:tcW w:w="5482" w:type="dxa"/>
            <w:noWrap w:val="0"/>
            <w:vAlign w:val="center"/>
          </w:tcPr>
          <w:p w14:paraId="2D41A4AC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20</w:t>
            </w:r>
          </w:p>
        </w:tc>
      </w:tr>
      <w:tr w14:paraId="6D9D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65" w:type="dxa"/>
            <w:vMerge w:val="restart"/>
            <w:noWrap w:val="0"/>
            <w:vAlign w:val="center"/>
          </w:tcPr>
          <w:p w14:paraId="24D6698F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3165" w:type="dxa"/>
            <w:gridSpan w:val="3"/>
            <w:vMerge w:val="continue"/>
            <w:noWrap w:val="0"/>
            <w:vAlign w:val="center"/>
          </w:tcPr>
          <w:p w14:paraId="69AF204D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5482" w:type="dxa"/>
            <w:noWrap w:val="0"/>
            <w:vAlign w:val="center"/>
          </w:tcPr>
          <w:p w14:paraId="062402D0">
            <w:pPr>
              <w:contextualSpacing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评分准则</w:t>
            </w:r>
          </w:p>
        </w:tc>
      </w:tr>
      <w:tr w14:paraId="601C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65" w:type="dxa"/>
            <w:vMerge w:val="continue"/>
            <w:noWrap w:val="0"/>
            <w:vAlign w:val="center"/>
          </w:tcPr>
          <w:p w14:paraId="7B7E675F">
            <w:pPr>
              <w:pStyle w:val="4"/>
              <w:rPr>
                <w:highlight w:val="none"/>
              </w:rPr>
            </w:pPr>
          </w:p>
        </w:tc>
        <w:tc>
          <w:tcPr>
            <w:tcW w:w="3165" w:type="dxa"/>
            <w:gridSpan w:val="3"/>
            <w:vMerge w:val="continue"/>
            <w:noWrap w:val="0"/>
            <w:vAlign w:val="center"/>
          </w:tcPr>
          <w:p w14:paraId="62A84AEB">
            <w:pPr>
              <w:pStyle w:val="4"/>
              <w:rPr>
                <w:highlight w:val="none"/>
              </w:rPr>
            </w:pPr>
          </w:p>
        </w:tc>
        <w:tc>
          <w:tcPr>
            <w:tcW w:w="5482" w:type="dxa"/>
            <w:noWrap w:val="0"/>
            <w:vAlign w:val="center"/>
          </w:tcPr>
          <w:p w14:paraId="5AD2AA8F">
            <w:pPr>
              <w:ind w:right="-73" w:rightChars="-35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价格分计算方法：报价为平均数的为最高分即满分。假设供应商的报价结果分别为B1、B2、B3...Bn，                                             则报价的平均数为C=[B1＋B2＋B3＋……＋Bn]÷n，供应商n的报价得分=30×{1-(∣Bn－C∣)÷C}。</w:t>
            </w:r>
          </w:p>
          <w:p w14:paraId="4E2F4DB6">
            <w:pPr>
              <w:ind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注意：</w:t>
            </w:r>
            <w:r>
              <w:rPr>
                <w:rFonts w:ascii="宋体" w:hAnsi="宋体" w:cs="宋体"/>
                <w:szCs w:val="21"/>
                <w:highlight w:val="none"/>
              </w:rPr>
              <w:t xml:space="preserve"> </w:t>
            </w:r>
          </w:p>
          <w:p w14:paraId="2773A89B">
            <w:pPr>
              <w:ind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1.评标过程中，去掉报价中的最高报价和最低报价。</w:t>
            </w:r>
          </w:p>
          <w:p w14:paraId="51180B87">
            <w:pPr>
              <w:pStyle w:val="4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2.高于本项目预算价格的报价无效。</w:t>
            </w:r>
          </w:p>
        </w:tc>
      </w:tr>
      <w:tr w14:paraId="6214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noWrap w:val="0"/>
            <w:vAlign w:val="center"/>
          </w:tcPr>
          <w:p w14:paraId="451642D4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2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74FFCF1E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技术部分</w:t>
            </w:r>
          </w:p>
        </w:tc>
        <w:tc>
          <w:tcPr>
            <w:tcW w:w="5482" w:type="dxa"/>
            <w:noWrap w:val="0"/>
            <w:vAlign w:val="center"/>
          </w:tcPr>
          <w:p w14:paraId="38776D30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45</w:t>
            </w:r>
          </w:p>
        </w:tc>
      </w:tr>
      <w:tr w14:paraId="296C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restart"/>
            <w:noWrap w:val="0"/>
            <w:vAlign w:val="center"/>
          </w:tcPr>
          <w:p w14:paraId="22FA394A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19389EA8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1531" w:type="dxa"/>
            <w:noWrap w:val="0"/>
            <w:vAlign w:val="center"/>
          </w:tcPr>
          <w:p w14:paraId="4F9E7258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评分因素</w:t>
            </w:r>
          </w:p>
        </w:tc>
        <w:tc>
          <w:tcPr>
            <w:tcW w:w="1136" w:type="dxa"/>
            <w:noWrap w:val="0"/>
            <w:vAlign w:val="center"/>
          </w:tcPr>
          <w:p w14:paraId="0B9F8533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权重</w:t>
            </w:r>
          </w:p>
        </w:tc>
        <w:tc>
          <w:tcPr>
            <w:tcW w:w="5482" w:type="dxa"/>
            <w:noWrap w:val="0"/>
            <w:vAlign w:val="center"/>
          </w:tcPr>
          <w:p w14:paraId="4CC62ED1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评分准则</w:t>
            </w:r>
          </w:p>
        </w:tc>
      </w:tr>
      <w:tr w14:paraId="4254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5D3C6020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3CB23F53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531" w:type="dxa"/>
            <w:noWrap w:val="0"/>
            <w:vAlign w:val="center"/>
          </w:tcPr>
          <w:p w14:paraId="51A4ADAD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管理规范和组织机构</w:t>
            </w:r>
          </w:p>
        </w:tc>
        <w:tc>
          <w:tcPr>
            <w:tcW w:w="1136" w:type="dxa"/>
            <w:noWrap w:val="0"/>
            <w:vAlign w:val="center"/>
          </w:tcPr>
          <w:p w14:paraId="701C09B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5482" w:type="dxa"/>
            <w:noWrap w:val="0"/>
            <w:vAlign w:val="center"/>
          </w:tcPr>
          <w:p w14:paraId="12E8D768">
            <w:pPr>
              <w:ind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根据各投标人的管理规范是否完善，服务机构是否健全、职责明确等情况进行综合评分：</w:t>
            </w:r>
          </w:p>
          <w:p w14:paraId="5835413F">
            <w:pPr>
              <w:ind w:right="-73" w:rightChars="-35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管理制度完善、组织机构健全、职责明确，优得10分</w:t>
            </w: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；</w:t>
            </w:r>
          </w:p>
          <w:p w14:paraId="06422E23">
            <w:pPr>
              <w:ind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管理制度较完善、组织机构较健全、职责较明确，良得5分</w:t>
            </w: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；</w:t>
            </w:r>
          </w:p>
          <w:p w14:paraId="217734E9">
            <w:pPr>
              <w:ind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管理制度不够完善、组织机构不够健全、职责不够明确，不得分。</w:t>
            </w:r>
          </w:p>
          <w:p w14:paraId="5486ECAA">
            <w:pPr>
              <w:ind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未提供详细说明不得分。</w:t>
            </w:r>
          </w:p>
        </w:tc>
      </w:tr>
      <w:tr w14:paraId="3D0F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7E5DC133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062AA62C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531" w:type="dxa"/>
            <w:noWrap w:val="0"/>
            <w:vAlign w:val="center"/>
          </w:tcPr>
          <w:p w14:paraId="5D2F0431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项目服务方案</w:t>
            </w:r>
          </w:p>
        </w:tc>
        <w:tc>
          <w:tcPr>
            <w:tcW w:w="1136" w:type="dxa"/>
            <w:noWrap w:val="0"/>
            <w:vAlign w:val="center"/>
          </w:tcPr>
          <w:p w14:paraId="6DE352FE">
            <w:pPr>
              <w:ind w:left="-78" w:leftChars="-37" w:right="-73" w:rightChars="-3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5482" w:type="dxa"/>
            <w:noWrap w:val="0"/>
            <w:vAlign w:val="center"/>
          </w:tcPr>
          <w:p w14:paraId="6E45928C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在投标文件中详细说明项目服务方案及合理化建议，详细阐述谈判服务方案，要求有科学的工作方法，流畅的工作流程及完善的沟通回应机制和应急机制，并提出应对措施和相关合理化建议，评分规则如下：</w:t>
            </w:r>
          </w:p>
          <w:p w14:paraId="29B02B68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（1）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服务方案详细，工作方法科学，评价为优，得10分；</w:t>
            </w:r>
          </w:p>
          <w:p w14:paraId="08CC3589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（2）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服务方案较详细，工作方法较科学，评价为良，得7分；</w:t>
            </w:r>
          </w:p>
          <w:p w14:paraId="62599558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（3）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服务方案不详细，工作方法不科学，评价为差，不得分；</w:t>
            </w:r>
          </w:p>
          <w:p w14:paraId="5F0FF223">
            <w:pPr>
              <w:ind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未提供详细说明不得分。</w:t>
            </w:r>
          </w:p>
        </w:tc>
      </w:tr>
      <w:tr w14:paraId="66FA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4829437A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712F4584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  <w:tc>
          <w:tcPr>
            <w:tcW w:w="1531" w:type="dxa"/>
            <w:noWrap w:val="0"/>
            <w:vAlign w:val="center"/>
          </w:tcPr>
          <w:p w14:paraId="61286D1A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档案管理及保密措施</w:t>
            </w:r>
          </w:p>
        </w:tc>
        <w:tc>
          <w:tcPr>
            <w:tcW w:w="1136" w:type="dxa"/>
            <w:noWrap w:val="0"/>
            <w:vAlign w:val="center"/>
          </w:tcPr>
          <w:p w14:paraId="063E53A9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5482" w:type="dxa"/>
            <w:noWrap w:val="0"/>
            <w:vAlign w:val="center"/>
          </w:tcPr>
          <w:p w14:paraId="6DBCBB29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在投标文件中详细说明档案管理及保密措施，评分规则如下：</w:t>
            </w:r>
          </w:p>
          <w:p w14:paraId="7FD8FF34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（1）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档案管理及保密措施周密、合理，评价为优，得5分；</w:t>
            </w:r>
          </w:p>
          <w:p w14:paraId="469992AB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（2）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档案管理及保密措施较周密、合理，评价为良，得3分；</w:t>
            </w:r>
          </w:p>
          <w:p w14:paraId="39DCFA79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（3）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档案管理及保密措施不周密、不合理，评价为差，不得分。</w:t>
            </w:r>
          </w:p>
          <w:p w14:paraId="5AA34446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未提供详细说明不得分。</w:t>
            </w:r>
          </w:p>
        </w:tc>
      </w:tr>
      <w:tr w14:paraId="318F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044113B3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004C1F71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1531" w:type="dxa"/>
            <w:noWrap w:val="0"/>
            <w:vAlign w:val="center"/>
          </w:tcPr>
          <w:p w14:paraId="2AD45E7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服务质量保障措施</w:t>
            </w:r>
          </w:p>
        </w:tc>
        <w:tc>
          <w:tcPr>
            <w:tcW w:w="1136" w:type="dxa"/>
            <w:noWrap w:val="0"/>
            <w:vAlign w:val="center"/>
          </w:tcPr>
          <w:p w14:paraId="20537AAE">
            <w:pPr>
              <w:ind w:left="-78" w:leftChars="-37" w:right="-73" w:rightChars="-35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5482" w:type="dxa"/>
            <w:noWrap w:val="0"/>
            <w:vAlign w:val="center"/>
          </w:tcPr>
          <w:p w14:paraId="41532EB4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在投标文件中详细说明服务质量保障措施，评分规则如下：</w:t>
            </w:r>
          </w:p>
          <w:p w14:paraId="5CF3AEC8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（1）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服务质量保障措施详细，安排合理，评价为优，得10分；</w:t>
            </w:r>
          </w:p>
          <w:p w14:paraId="49B74F68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（2）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服务质量保障措施较详细，安排合理，评价为良，得5分；</w:t>
            </w:r>
          </w:p>
          <w:p w14:paraId="7655534F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（3）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服务质量保障措施不详细，安排较差，评价为差，不得分。</w:t>
            </w:r>
          </w:p>
          <w:p w14:paraId="5C1C599A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未提供详细说明不得分。</w:t>
            </w:r>
          </w:p>
        </w:tc>
      </w:tr>
      <w:tr w14:paraId="16C6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243046EF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275F418A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1531" w:type="dxa"/>
            <w:noWrap w:val="0"/>
            <w:vAlign w:val="center"/>
          </w:tcPr>
          <w:p w14:paraId="3424C9D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项目完成服务承诺</w:t>
            </w:r>
          </w:p>
        </w:tc>
        <w:tc>
          <w:tcPr>
            <w:tcW w:w="1136" w:type="dxa"/>
            <w:noWrap w:val="0"/>
            <w:vAlign w:val="center"/>
          </w:tcPr>
          <w:p w14:paraId="368E385F">
            <w:pPr>
              <w:ind w:left="-78" w:leftChars="-37" w:right="-73" w:rightChars="-3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5482" w:type="dxa"/>
            <w:noWrap w:val="0"/>
            <w:vAlign w:val="center"/>
          </w:tcPr>
          <w:p w14:paraId="6AB5EDC8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在投标文件中详细说明项目完成（服务期满）后的服务承诺，评分规则如下：</w:t>
            </w:r>
          </w:p>
          <w:p w14:paraId="2C889012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（1）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项目完成后的服务承诺详细，安排合理，评价为优，得3分；</w:t>
            </w:r>
          </w:p>
          <w:p w14:paraId="78B9D66C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（2）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项目完成后的服务承诺较详细，安排合理，评价为良，得1分；</w:t>
            </w:r>
          </w:p>
          <w:p w14:paraId="3E9AFB0B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（3）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项目完成后的服务承诺不详细，安排较差，评价为差，不得分；</w:t>
            </w:r>
          </w:p>
          <w:p w14:paraId="1A60C502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未提供详细说明不得分。</w:t>
            </w:r>
          </w:p>
        </w:tc>
      </w:tr>
      <w:tr w14:paraId="1662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70FF758D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5B4F8493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6</w:t>
            </w:r>
          </w:p>
        </w:tc>
        <w:tc>
          <w:tcPr>
            <w:tcW w:w="1531" w:type="dxa"/>
            <w:noWrap w:val="0"/>
            <w:vAlign w:val="center"/>
          </w:tcPr>
          <w:p w14:paraId="1A3095E4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违约承诺</w:t>
            </w:r>
          </w:p>
        </w:tc>
        <w:tc>
          <w:tcPr>
            <w:tcW w:w="1136" w:type="dxa"/>
            <w:noWrap w:val="0"/>
            <w:vAlign w:val="center"/>
          </w:tcPr>
          <w:p w14:paraId="4A2BC833">
            <w:pPr>
              <w:ind w:left="-78" w:leftChars="-37" w:right="-73" w:rightChars="-3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5482" w:type="dxa"/>
            <w:noWrap w:val="0"/>
            <w:vAlign w:val="center"/>
          </w:tcPr>
          <w:p w14:paraId="75FDBB25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在投标文件中详细说明如何确保履行项目合同义务，做到不违约，保障采购人合法权益的相关承诺（承诺格式自拟）：</w:t>
            </w:r>
          </w:p>
          <w:p w14:paraId="1D67FDE8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（1）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承诺内容详细，有针对性，评价为优，得5分；</w:t>
            </w:r>
          </w:p>
          <w:p w14:paraId="5C8F9A61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（2）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承诺内容基本详细，针对性一般，评价为中，得3分；</w:t>
            </w:r>
          </w:p>
          <w:p w14:paraId="2BF99F2F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（3）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承诺内容模糊，没有针对性，评价为差，不得分；</w:t>
            </w:r>
          </w:p>
          <w:p w14:paraId="009BFEBA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未提供详细说明不得分。</w:t>
            </w:r>
          </w:p>
        </w:tc>
      </w:tr>
      <w:tr w14:paraId="4734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noWrap w:val="0"/>
            <w:vAlign w:val="center"/>
          </w:tcPr>
          <w:p w14:paraId="14384CF8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3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2D152A8A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商务部分</w:t>
            </w:r>
          </w:p>
        </w:tc>
        <w:tc>
          <w:tcPr>
            <w:tcW w:w="5482" w:type="dxa"/>
            <w:noWrap w:val="0"/>
            <w:vAlign w:val="center"/>
          </w:tcPr>
          <w:p w14:paraId="3EA4D427">
            <w:pPr>
              <w:contextualSpacing/>
              <w:jc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35</w:t>
            </w:r>
          </w:p>
        </w:tc>
      </w:tr>
      <w:tr w14:paraId="6009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restart"/>
            <w:noWrap w:val="0"/>
            <w:vAlign w:val="center"/>
          </w:tcPr>
          <w:p w14:paraId="7910543B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0C691A9C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1531" w:type="dxa"/>
            <w:noWrap w:val="0"/>
            <w:vAlign w:val="center"/>
          </w:tcPr>
          <w:p w14:paraId="5497EC91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评分因素</w:t>
            </w:r>
          </w:p>
        </w:tc>
        <w:tc>
          <w:tcPr>
            <w:tcW w:w="1136" w:type="dxa"/>
            <w:noWrap w:val="0"/>
            <w:vAlign w:val="center"/>
          </w:tcPr>
          <w:p w14:paraId="37207CB3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权重</w:t>
            </w:r>
          </w:p>
        </w:tc>
        <w:tc>
          <w:tcPr>
            <w:tcW w:w="5482" w:type="dxa"/>
            <w:noWrap w:val="0"/>
            <w:vAlign w:val="center"/>
          </w:tcPr>
          <w:p w14:paraId="3342D782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评分准则</w:t>
            </w:r>
          </w:p>
        </w:tc>
      </w:tr>
      <w:tr w14:paraId="6BF6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1422037A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37A55C70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531" w:type="dxa"/>
            <w:noWrap w:val="0"/>
            <w:vAlign w:val="center"/>
          </w:tcPr>
          <w:p w14:paraId="6DFC1ACA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服务经验</w:t>
            </w:r>
          </w:p>
        </w:tc>
        <w:tc>
          <w:tcPr>
            <w:tcW w:w="1136" w:type="dxa"/>
            <w:noWrap w:val="0"/>
            <w:vAlign w:val="center"/>
          </w:tcPr>
          <w:p w14:paraId="5D4A48E7">
            <w:pPr>
              <w:ind w:left="-78" w:leftChars="-37" w:right="-73" w:rightChars="-3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5482" w:type="dxa"/>
            <w:noWrap w:val="0"/>
            <w:vAlign w:val="center"/>
          </w:tcPr>
          <w:p w14:paraId="7624385A">
            <w:pPr>
              <w:ind w:right="-73" w:rightChars="-35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自本项目招标公告发布</w:t>
            </w:r>
            <w:r>
              <w:rPr>
                <w:rFonts w:hint="eastAsia"/>
                <w:highlight w:val="none"/>
                <w:lang w:eastAsia="zh-CN"/>
              </w:rPr>
              <w:t>之日起</w:t>
            </w:r>
            <w:r>
              <w:rPr>
                <w:rFonts w:hint="eastAsia"/>
                <w:highlight w:val="none"/>
              </w:rPr>
              <w:t>三年内（以合同签订时间为准）具有从事办公、商业、工业厂房等物业租金评估服务相关业绩，每个得2分；</w:t>
            </w:r>
          </w:p>
          <w:p w14:paraId="186C9F54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  <w:p w14:paraId="36055758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本项目合计最高得10分。</w:t>
            </w:r>
          </w:p>
          <w:p w14:paraId="25A6AA66">
            <w:pPr>
              <w:ind w:right="-73" w:rightChars="-35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提供项目合同关键页复印件，加盖投标人公章，原件备查。未按要求提供相关材料或扫描件不清晰导致无法识别的不得分。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</w:t>
            </w:r>
          </w:p>
        </w:tc>
      </w:tr>
      <w:tr w14:paraId="6D46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7E9056A8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5B3EE28C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531" w:type="dxa"/>
            <w:noWrap w:val="0"/>
            <w:vAlign w:val="center"/>
          </w:tcPr>
          <w:p w14:paraId="041BD47A">
            <w:pPr>
              <w:ind w:left="-63" w:leftChars="-30" w:right="-88" w:rightChars="-42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拟安排的项目团队成员情况</w:t>
            </w:r>
          </w:p>
        </w:tc>
        <w:tc>
          <w:tcPr>
            <w:tcW w:w="1136" w:type="dxa"/>
            <w:noWrap w:val="0"/>
            <w:vAlign w:val="center"/>
          </w:tcPr>
          <w:p w14:paraId="2E69F12D">
            <w:pPr>
              <w:ind w:left="-78" w:leftChars="-37" w:right="-73" w:rightChars="-35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5482" w:type="dxa"/>
            <w:noWrap w:val="0"/>
            <w:vAlign w:val="center"/>
          </w:tcPr>
          <w:p w14:paraId="0E685BBF"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拟安排的项目团队成员至少有1位同时具备资产评估、土地估价、房地产估价资格证书和中级或以上职称证书，满足条件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每位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ascii="宋体" w:hAnsi="宋体" w:cs="宋体"/>
                <w:szCs w:val="21"/>
                <w:highlight w:val="none"/>
              </w:rPr>
              <w:t>本项目合计最高得10分。</w:t>
            </w:r>
          </w:p>
          <w:p w14:paraId="20B4D03D">
            <w:pPr>
              <w:pStyle w:val="4"/>
              <w:rPr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提供团队成员资格证书和职称证书复印件，相关业绩经验证明并加盖投标人公章，原件备查。不清晰或未提供不得分。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4D2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2B57FEA2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2B941139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  <w:tc>
          <w:tcPr>
            <w:tcW w:w="1531" w:type="dxa"/>
            <w:noWrap w:val="0"/>
            <w:vAlign w:val="center"/>
          </w:tcPr>
          <w:p w14:paraId="2DAEB1CE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企业资质</w:t>
            </w:r>
          </w:p>
        </w:tc>
        <w:tc>
          <w:tcPr>
            <w:tcW w:w="1136" w:type="dxa"/>
            <w:noWrap w:val="0"/>
            <w:vAlign w:val="center"/>
          </w:tcPr>
          <w:p w14:paraId="02CABB62">
            <w:pPr>
              <w:ind w:left="-78" w:leftChars="-37" w:right="-73" w:rightChars="-35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5482" w:type="dxa"/>
            <w:noWrap w:val="0"/>
            <w:vAlign w:val="center"/>
          </w:tcPr>
          <w:p w14:paraId="3DBF2B74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（1）</w:t>
            </w:r>
            <w:r>
              <w:rPr>
                <w:rFonts w:hint="eastAsia"/>
                <w:highlight w:val="none"/>
              </w:rPr>
              <w:t>投标人具有广东省住房和城乡建设厅颁发的《房地产估价机构备案证书》一级得2分，其余不得分；</w:t>
            </w:r>
          </w:p>
          <w:p w14:paraId="0B1A19B5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（2）</w:t>
            </w:r>
            <w:r>
              <w:rPr>
                <w:rFonts w:hint="eastAsia"/>
                <w:highlight w:val="none"/>
              </w:rPr>
              <w:t>投标人具有相关行业协会颁发的《土地评估机构备案与信用等级证书》一级得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分，其余不得分；</w:t>
            </w:r>
          </w:p>
          <w:p w14:paraId="0B09ABB3"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（3）</w:t>
            </w:r>
            <w:r>
              <w:rPr>
                <w:rFonts w:hint="eastAsia"/>
                <w:highlight w:val="none"/>
              </w:rPr>
              <w:t>投标人具有通过财政部门的资产评估机构备案的得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分；</w:t>
            </w:r>
          </w:p>
          <w:p w14:paraId="053C253D">
            <w:pPr>
              <w:rPr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以上最高得5</w:t>
            </w:r>
            <w:r>
              <w:rPr>
                <w:rFonts w:hint="eastAsia" w:hAnsi="Calibri"/>
                <w:highlight w:val="none"/>
              </w:rPr>
              <w:t>分</w:t>
            </w:r>
            <w:r>
              <w:rPr>
                <w:rFonts w:hint="eastAsia"/>
                <w:highlight w:val="none"/>
              </w:rPr>
              <w:t>。</w:t>
            </w:r>
          </w:p>
          <w:p w14:paraId="0939BAF7">
            <w:pPr>
              <w:pStyle w:val="4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Calibri" w:hAnsi="Calibri"/>
                <w:sz w:val="21"/>
                <w:highlight w:val="none"/>
              </w:rPr>
              <w:t>证书扫描件，加盖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投标人公章，原件备查。不清晰或未提供不得分</w:t>
            </w:r>
            <w:bookmarkStart w:id="1" w:name="_GoBack"/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。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B7C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63F16C63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27343DAA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1531" w:type="dxa"/>
            <w:noWrap w:val="0"/>
            <w:vAlign w:val="center"/>
          </w:tcPr>
          <w:p w14:paraId="78AB61D0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企业诚信</w:t>
            </w:r>
          </w:p>
        </w:tc>
        <w:tc>
          <w:tcPr>
            <w:tcW w:w="1136" w:type="dxa"/>
            <w:noWrap w:val="0"/>
            <w:vAlign w:val="center"/>
          </w:tcPr>
          <w:p w14:paraId="2AA6109C">
            <w:pPr>
              <w:ind w:firstLine="14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5482" w:type="dxa"/>
            <w:noWrap w:val="0"/>
            <w:vAlign w:val="center"/>
          </w:tcPr>
          <w:p w14:paraId="392C8CFD"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TW"/>
              </w:rPr>
              <w:t>根据深财购〔2013〕27号和深财购〔2016〕315号文相关规定：投标人被行政主管部门禁止参与采购活动或未被禁止参与采购活动，但受过警告、罚款、没收违法所得等行政处罚以及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不以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TW"/>
              </w:rPr>
              <w:t>正当理由放弃中标资格而不予退还投标保证金，得0分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TW"/>
              </w:rPr>
              <w:t>投标人未出现过上述文件规定情形的或受过行政处罚，行政处罚期已满，可参与采购投标活动的，得5分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TW"/>
              </w:rPr>
              <w:t>提供企业诚信声明与承诺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</w:tc>
      </w:tr>
      <w:tr w14:paraId="463F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5" w:type="dxa"/>
            <w:vMerge w:val="continue"/>
            <w:noWrap w:val="0"/>
            <w:vAlign w:val="center"/>
          </w:tcPr>
          <w:p w14:paraId="57DABF40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98" w:type="dxa"/>
            <w:noWrap w:val="0"/>
            <w:vAlign w:val="center"/>
          </w:tcPr>
          <w:p w14:paraId="57F3D6FE">
            <w:pPr>
              <w:contextualSpacing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1531" w:type="dxa"/>
            <w:noWrap w:val="0"/>
            <w:vAlign w:val="center"/>
          </w:tcPr>
          <w:p w14:paraId="57C3954B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履约评价情况</w:t>
            </w:r>
          </w:p>
        </w:tc>
        <w:tc>
          <w:tcPr>
            <w:tcW w:w="1136" w:type="dxa"/>
            <w:noWrap w:val="0"/>
            <w:vAlign w:val="center"/>
          </w:tcPr>
          <w:p w14:paraId="4F523175">
            <w:pPr>
              <w:ind w:firstLine="14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5482" w:type="dxa"/>
            <w:noWrap w:val="0"/>
            <w:vAlign w:val="center"/>
          </w:tcPr>
          <w:p w14:paraId="699936D7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近三年（以投标截止日期为准）在市政府采购中心有履约评价为差的记录，本项不得分，否则，得满分。</w:t>
            </w:r>
          </w:p>
          <w:p w14:paraId="59F3E01E">
            <w:pPr>
              <w:ind w:left="-78" w:leftChars="-37" w:right="-73" w:rightChars="-35"/>
              <w:rPr>
                <w:rFonts w:ascii="宋体" w:hAnsi="宋体" w:cs="宋体"/>
                <w:szCs w:val="21"/>
                <w:highlight w:val="none"/>
                <w:lang w:eastAsia="zh-TW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提供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《履约评价承诺》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（格式自拟），提供的资料字迹模糊或未按要求提供的不得分。</w:t>
            </w:r>
          </w:p>
        </w:tc>
      </w:tr>
    </w:tbl>
    <w:p w14:paraId="2D816CFF">
      <w:pPr>
        <w:spacing w:line="520" w:lineRule="exact"/>
        <w:ind w:left="105" w:leftChars="50" w:firstLine="602" w:firstLineChars="200"/>
        <w:rPr>
          <w:rFonts w:hint="eastAsia" w:ascii="仿宋_GB2312" w:eastAsia="仿宋_GB2312"/>
          <w:b/>
          <w:bCs/>
          <w:sz w:val="30"/>
          <w:szCs w:val="30"/>
          <w:highlight w:val="none"/>
        </w:rPr>
      </w:pPr>
    </w:p>
    <w:p w14:paraId="557536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95C9E"/>
    <w:rsid w:val="4ABD1B1C"/>
    <w:rsid w:val="4F2E0B78"/>
    <w:rsid w:val="68B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2025-01-20T01:57:56Z</dcterms:created>
  <dc:creator>张健</dc:creator>
  <cp:lastModifiedBy>张琦</cp:lastModifiedBy>
  <dcterms:modified xsi:type="dcterms:W3CDTF">2025-01-20T02:04:10Z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F6A093B414DF4B92B8D394A398AF8A0A_13</vt:lpwstr>
  </property>
</Properties>
</file>