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A8273E">
      <w:pPr>
        <w:widowControl w:val="0"/>
        <w:autoSpaceDE w:val="0"/>
        <w:autoSpaceDN w:val="0"/>
        <w:adjustRightInd w:val="0"/>
        <w:snapToGrid w:val="0"/>
        <w:ind w:firstLine="0" w:firstLineChars="0"/>
        <w:jc w:val="left"/>
        <w:rPr>
          <w:rFonts w:ascii="仿宋" w:hAnsi="仿宋" w:eastAsia="仿宋" w:cs="仿宋"/>
          <w:b/>
          <w:bCs/>
          <w:sz w:val="36"/>
          <w:szCs w:val="36"/>
        </w:rPr>
      </w:pPr>
      <w:bookmarkStart w:id="0" w:name="_Toc278893410"/>
      <w:r>
        <w:rPr>
          <w:rFonts w:hint="eastAsia" w:ascii="仿宋" w:hAnsi="仿宋" w:eastAsia="仿宋" w:cs="仿宋"/>
          <w:b/>
          <w:sz w:val="36"/>
          <w:szCs w:val="36"/>
        </w:rPr>
        <w:t>附件</w:t>
      </w:r>
      <w:r>
        <w:rPr>
          <w:rFonts w:ascii="仿宋" w:hAnsi="仿宋" w:eastAsia="仿宋" w:cs="仿宋"/>
          <w:b/>
          <w:sz w:val="36"/>
          <w:szCs w:val="36"/>
        </w:rPr>
        <w:t>2</w:t>
      </w:r>
      <w:r>
        <w:rPr>
          <w:rFonts w:hint="eastAsia" w:ascii="仿宋" w:hAnsi="仿宋" w:eastAsia="仿宋" w:cs="仿宋"/>
          <w:b/>
          <w:sz w:val="36"/>
          <w:szCs w:val="36"/>
        </w:rPr>
        <w:t>：询价回执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ab/>
      </w:r>
    </w:p>
    <w:p w14:paraId="0CC088E5">
      <w:pPr>
        <w:widowControl w:val="0"/>
        <w:autoSpaceDE w:val="0"/>
        <w:autoSpaceDN w:val="0"/>
        <w:adjustRightInd w:val="0"/>
        <w:snapToGrid w:val="0"/>
        <w:ind w:firstLine="0" w:firstLineChars="0"/>
        <w:jc w:val="center"/>
        <w:outlineLvl w:val="0"/>
        <w:rPr>
          <w:rFonts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1.报价一览表</w:t>
      </w:r>
      <w:bookmarkEnd w:id="0"/>
    </w:p>
    <w:p w14:paraId="0DEE978B">
      <w:pPr>
        <w:widowControl w:val="0"/>
        <w:autoSpaceDE w:val="0"/>
        <w:autoSpaceDN w:val="0"/>
        <w:adjustRightInd w:val="0"/>
        <w:snapToGrid w:val="0"/>
        <w:ind w:firstLine="0" w:firstLineChars="0"/>
        <w:jc w:val="left"/>
        <w:rPr>
          <w:rFonts w:ascii="仿宋" w:hAnsi="仿宋" w:eastAsia="仿宋" w:cs="仿宋"/>
          <w:sz w:val="36"/>
          <w:szCs w:val="36"/>
          <w:u w:val="single"/>
        </w:rPr>
      </w:pPr>
      <w:r>
        <w:rPr>
          <w:rFonts w:hint="eastAsia" w:ascii="仿宋" w:hAnsi="仿宋" w:eastAsia="仿宋" w:cs="仿宋"/>
          <w:sz w:val="36"/>
          <w:szCs w:val="36"/>
        </w:rPr>
        <w:t>项目名称：</w:t>
      </w:r>
      <w:r>
        <w:rPr>
          <w:rFonts w:hint="eastAsia" w:ascii="仿宋" w:hAnsi="仿宋" w:eastAsia="仿宋" w:cs="仿宋"/>
          <w:sz w:val="36"/>
          <w:szCs w:val="36"/>
          <w:u w:val="single"/>
        </w:rPr>
        <w:t xml:space="preserve"> 深圳市新质生产力赋能平台系统硬件采购    </w:t>
      </w:r>
    </w:p>
    <w:tbl>
      <w:tblPr>
        <w:tblStyle w:val="5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7"/>
        <w:gridCol w:w="1553"/>
      </w:tblGrid>
      <w:tr w14:paraId="7F2E8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" w:hRule="atLeast"/>
          <w:jc w:val="center"/>
        </w:trPr>
        <w:tc>
          <w:tcPr>
            <w:tcW w:w="4088" w:type="pct"/>
            <w:tcBorders>
              <w:left w:val="single" w:color="auto" w:sz="2" w:space="0"/>
            </w:tcBorders>
            <w:shd w:val="clear" w:color="auto" w:fill="DEEBF6" w:themeFill="accent1" w:themeFillTint="32"/>
            <w:vAlign w:val="center"/>
          </w:tcPr>
          <w:p w14:paraId="2A58A67C"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 w:cs="仿宋"/>
                <w:b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sz w:val="36"/>
                <w:szCs w:val="36"/>
              </w:rPr>
              <w:t>投标总价（含税）</w:t>
            </w:r>
          </w:p>
          <w:p w14:paraId="0924D081"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 w:cs="仿宋"/>
                <w:b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sz w:val="36"/>
                <w:szCs w:val="36"/>
              </w:rPr>
              <w:t>（人民币/元）</w:t>
            </w:r>
          </w:p>
        </w:tc>
        <w:tc>
          <w:tcPr>
            <w:tcW w:w="911" w:type="pct"/>
            <w:shd w:val="clear" w:color="auto" w:fill="DEEBF6" w:themeFill="accent1" w:themeFillTint="32"/>
            <w:vAlign w:val="center"/>
          </w:tcPr>
          <w:p w14:paraId="6739B8B7"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 w:cs="仿宋"/>
                <w:b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sz w:val="36"/>
                <w:szCs w:val="36"/>
              </w:rPr>
              <w:t>备注</w:t>
            </w:r>
          </w:p>
        </w:tc>
      </w:tr>
      <w:tr w14:paraId="7DCFD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1" w:hRule="atLeast"/>
          <w:jc w:val="center"/>
        </w:trPr>
        <w:tc>
          <w:tcPr>
            <w:tcW w:w="4088" w:type="pct"/>
            <w:tcBorders>
              <w:left w:val="single" w:color="auto" w:sz="2" w:space="0"/>
            </w:tcBorders>
            <w:vAlign w:val="center"/>
          </w:tcPr>
          <w:p w14:paraId="5A7FF61F"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</w:p>
        </w:tc>
        <w:tc>
          <w:tcPr>
            <w:tcW w:w="911" w:type="pct"/>
            <w:vAlign w:val="center"/>
          </w:tcPr>
          <w:p w14:paraId="0830B998"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总价=明细表一+二</w:t>
            </w:r>
          </w:p>
        </w:tc>
      </w:tr>
    </w:tbl>
    <w:p w14:paraId="2B8FEE79">
      <w:pPr>
        <w:widowControl w:val="0"/>
        <w:autoSpaceDE w:val="0"/>
        <w:autoSpaceDN w:val="0"/>
        <w:adjustRightInd w:val="0"/>
        <w:snapToGrid w:val="0"/>
        <w:ind w:firstLine="720"/>
        <w:jc w:val="left"/>
        <w:rPr>
          <w:rFonts w:ascii="仿宋" w:hAnsi="仿宋" w:eastAsia="仿宋" w:cs="仿宋"/>
          <w:sz w:val="36"/>
          <w:szCs w:val="36"/>
        </w:rPr>
      </w:pPr>
    </w:p>
    <w:p w14:paraId="50EC4B4C">
      <w:pPr>
        <w:widowControl w:val="0"/>
        <w:autoSpaceDE w:val="0"/>
        <w:autoSpaceDN w:val="0"/>
        <w:adjustRightInd w:val="0"/>
        <w:snapToGrid w:val="0"/>
        <w:ind w:firstLine="720"/>
        <w:jc w:val="left"/>
        <w:rPr>
          <w:rFonts w:ascii="仿宋" w:hAnsi="仿宋" w:eastAsia="仿宋" w:cs="仿宋"/>
          <w:b/>
          <w:bCs/>
          <w:sz w:val="48"/>
          <w:szCs w:val="48"/>
        </w:rPr>
      </w:pPr>
      <w:bookmarkStart w:id="1" w:name="_Toc351032922"/>
      <w:bookmarkStart w:id="2" w:name="_Toc350774927"/>
      <w:bookmarkStart w:id="3" w:name="_Toc342064557"/>
      <w:bookmarkStart w:id="4" w:name="_Toc199213770"/>
      <w:bookmarkStart w:id="5" w:name="_Toc280341062"/>
      <w:bookmarkStart w:id="6" w:name="_Toc280341060"/>
      <w:bookmarkStart w:id="7" w:name="_Toc372450815"/>
      <w:bookmarkStart w:id="8" w:name="_Toc199215999"/>
      <w:bookmarkStart w:id="9" w:name="_Toc353179117"/>
      <w:bookmarkStart w:id="10" w:name="_Toc290993142"/>
      <w:bookmarkStart w:id="11" w:name="_Toc199215805"/>
      <w:bookmarkStart w:id="12" w:name="_Toc353538815"/>
      <w:bookmarkStart w:id="13" w:name="_Toc201719175"/>
      <w:bookmarkStart w:id="14" w:name="_Toc201401716"/>
      <w:bookmarkStart w:id="15" w:name="_Toc278893413"/>
      <w:bookmarkStart w:id="16" w:name="_Toc350769836"/>
      <w:bookmarkStart w:id="17" w:name="_Toc201998003"/>
      <w:bookmarkStart w:id="18" w:name="_Toc350770143"/>
      <w:bookmarkStart w:id="19" w:name="_Toc349224955"/>
      <w:bookmarkStart w:id="20" w:name="_Toc201742920"/>
      <w:bookmarkStart w:id="21" w:name="_Toc390444192"/>
      <w:bookmarkStart w:id="22" w:name="_Toc373075880"/>
      <w:bookmarkStart w:id="23" w:name="_Toc342056723"/>
      <w:bookmarkStart w:id="24" w:name="_Toc350871837"/>
      <w:bookmarkStart w:id="25" w:name="_Toc342473298"/>
      <w:bookmarkStart w:id="26" w:name="_Toc354072485"/>
      <w:bookmarkStart w:id="27" w:name="_Toc342394853"/>
      <w:bookmarkStart w:id="28" w:name="_Toc285611324"/>
      <w:bookmarkStart w:id="29" w:name="_Toc201743175"/>
      <w:bookmarkStart w:id="30" w:name="_Toc354928098"/>
      <w:bookmarkStart w:id="31" w:name="_Toc353110277"/>
      <w:bookmarkStart w:id="32" w:name="_Toc291178366"/>
      <w:r>
        <w:rPr>
          <w:rFonts w:hint="eastAsia" w:ascii="仿宋" w:hAnsi="仿宋" w:eastAsia="仿宋" w:cs="仿宋"/>
          <w:sz w:val="36"/>
          <w:szCs w:val="36"/>
        </w:rPr>
        <w:t>投标人（盖章）：</w:t>
      </w:r>
      <w:r>
        <w:rPr>
          <w:rFonts w:hint="eastAsia" w:ascii="仿宋" w:hAnsi="仿宋" w:eastAsia="仿宋" w:cs="仿宋"/>
          <w:sz w:val="36"/>
          <w:szCs w:val="36"/>
          <w:u w:val="single"/>
        </w:rPr>
        <w:t xml:space="preserve">                                        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r>
        <w:rPr>
          <w:rFonts w:hint="eastAsia" w:ascii="仿宋" w:hAnsi="仿宋" w:eastAsia="仿宋" w:cs="仿宋"/>
          <w:b/>
          <w:sz w:val="24"/>
        </w:rPr>
        <w:br w:type="page"/>
      </w:r>
    </w:p>
    <w:p w14:paraId="14982F02">
      <w:pPr>
        <w:widowControl w:val="0"/>
        <w:autoSpaceDE w:val="0"/>
        <w:autoSpaceDN w:val="0"/>
        <w:adjustRightInd w:val="0"/>
        <w:snapToGrid w:val="0"/>
        <w:ind w:firstLine="0" w:firstLineChars="0"/>
        <w:jc w:val="center"/>
        <w:outlineLvl w:val="0"/>
        <w:rPr>
          <w:rFonts w:ascii="仿宋" w:hAnsi="仿宋" w:eastAsia="仿宋" w:cs="仿宋"/>
          <w:b/>
          <w:bCs/>
          <w:sz w:val="36"/>
          <w:szCs w:val="36"/>
        </w:rPr>
      </w:pPr>
      <w:bookmarkStart w:id="33" w:name="_Toc14152"/>
      <w:r>
        <w:rPr>
          <w:rFonts w:hint="eastAsia" w:ascii="仿宋" w:hAnsi="仿宋" w:eastAsia="仿宋" w:cs="仿宋"/>
          <w:b/>
          <w:bCs/>
          <w:sz w:val="36"/>
          <w:szCs w:val="36"/>
        </w:rPr>
        <w:t>2.货物与服务价格明细一览表</w:t>
      </w:r>
      <w:bookmarkEnd w:id="33"/>
    </w:p>
    <w:p w14:paraId="14320589">
      <w:pPr>
        <w:widowControl w:val="0"/>
        <w:autoSpaceDE w:val="0"/>
        <w:autoSpaceDN w:val="0"/>
        <w:adjustRightInd w:val="0"/>
        <w:snapToGrid w:val="0"/>
        <w:ind w:firstLine="0" w:firstLineChars="0"/>
        <w:jc w:val="left"/>
        <w:rPr>
          <w:rFonts w:ascii="仿宋" w:hAnsi="仿宋" w:eastAsia="仿宋" w:cs="仿宋"/>
          <w:sz w:val="36"/>
          <w:szCs w:val="36"/>
          <w:u w:val="single"/>
        </w:rPr>
      </w:pPr>
      <w:r>
        <w:rPr>
          <w:rFonts w:hint="eastAsia" w:ascii="仿宋" w:hAnsi="仿宋" w:eastAsia="仿宋" w:cs="仿宋"/>
          <w:sz w:val="36"/>
          <w:szCs w:val="36"/>
        </w:rPr>
        <w:t>项目名称：</w:t>
      </w:r>
      <w:r>
        <w:rPr>
          <w:rFonts w:hint="eastAsia" w:ascii="仿宋" w:hAnsi="仿宋" w:eastAsia="仿宋" w:cs="仿宋"/>
          <w:sz w:val="36"/>
          <w:szCs w:val="36"/>
          <w:u w:val="single"/>
        </w:rPr>
        <w:t xml:space="preserve"> 深圳市新质生产力赋能平台系统硬件采购    </w:t>
      </w:r>
    </w:p>
    <w:p w14:paraId="77A5228B">
      <w:pPr>
        <w:widowControl w:val="0"/>
        <w:autoSpaceDE w:val="0"/>
        <w:autoSpaceDN w:val="0"/>
        <w:adjustRightInd w:val="0"/>
        <w:snapToGrid w:val="0"/>
        <w:ind w:firstLine="0" w:firstLineChars="0"/>
        <w:jc w:val="left"/>
        <w:rPr>
          <w:rFonts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一、系统硬件设备采购机房IT基础资源建设报价清单</w:t>
      </w:r>
    </w:p>
    <w:tbl>
      <w:tblPr>
        <w:tblStyle w:val="5"/>
        <w:tblW w:w="9256" w:type="dxa"/>
        <w:tblInd w:w="-36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1376"/>
        <w:gridCol w:w="3767"/>
        <w:gridCol w:w="410"/>
        <w:gridCol w:w="471"/>
        <w:gridCol w:w="573"/>
        <w:gridCol w:w="651"/>
        <w:gridCol w:w="692"/>
        <w:gridCol w:w="702"/>
      </w:tblGrid>
      <w:tr w14:paraId="35CD16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8" w:hRule="atLeast"/>
          <w:tblHeader/>
        </w:trPr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noWrap/>
            <w:vAlign w:val="center"/>
          </w:tcPr>
          <w:p w14:paraId="46F2205F"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 w:cs="仿宋"/>
                <w:b/>
                <w:sz w:val="24"/>
              </w:rPr>
            </w:pPr>
            <w:bookmarkStart w:id="34" w:name="table14"/>
            <w:bookmarkEnd w:id="34"/>
            <w:r>
              <w:rPr>
                <w:rFonts w:hint="eastAsia" w:ascii="仿宋" w:hAnsi="仿宋" w:eastAsia="仿宋" w:cs="仿宋"/>
                <w:b/>
                <w:sz w:val="24"/>
              </w:rPr>
              <w:t>序号</w:t>
            </w:r>
          </w:p>
        </w:tc>
        <w:tc>
          <w:tcPr>
            <w:tcW w:w="1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3E1AAE48"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货物名称</w:t>
            </w:r>
          </w:p>
        </w:tc>
        <w:tc>
          <w:tcPr>
            <w:tcW w:w="37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7CC9ED07"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货物详细说明</w:t>
            </w:r>
            <w:r>
              <w:rPr>
                <w:rFonts w:hint="eastAsia" w:ascii="仿宋" w:hAnsi="仿宋" w:eastAsia="仿宋" w:cs="仿宋"/>
                <w:b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sz w:val="24"/>
              </w:rPr>
              <w:t>（品牌等）</w:t>
            </w:r>
          </w:p>
        </w:tc>
        <w:tc>
          <w:tcPr>
            <w:tcW w:w="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noWrap/>
            <w:vAlign w:val="center"/>
          </w:tcPr>
          <w:p w14:paraId="4A32BE5B"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单位</w:t>
            </w:r>
          </w:p>
        </w:tc>
        <w:tc>
          <w:tcPr>
            <w:tcW w:w="4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noWrap/>
            <w:vAlign w:val="center"/>
          </w:tcPr>
          <w:p w14:paraId="26A4B436"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数量</w:t>
            </w:r>
          </w:p>
        </w:tc>
        <w:tc>
          <w:tcPr>
            <w:tcW w:w="5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noWrap/>
            <w:vAlign w:val="center"/>
          </w:tcPr>
          <w:p w14:paraId="3F71B0E3"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品牌</w:t>
            </w:r>
          </w:p>
        </w:tc>
        <w:tc>
          <w:tcPr>
            <w:tcW w:w="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noWrap/>
            <w:vAlign w:val="center"/>
          </w:tcPr>
          <w:p w14:paraId="5A5EB615"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单价</w:t>
            </w:r>
            <w:r>
              <w:rPr>
                <w:rFonts w:hint="eastAsia" w:ascii="仿宋" w:hAnsi="仿宋" w:eastAsia="仿宋" w:cs="仿宋"/>
                <w:b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元</w:t>
            </w:r>
            <w:r>
              <w:rPr>
                <w:rFonts w:hint="eastAsia" w:ascii="仿宋" w:hAnsi="仿宋" w:eastAsia="仿宋" w:cs="仿宋"/>
                <w:b/>
                <w:sz w:val="24"/>
                <w:lang w:eastAsia="zh-CN"/>
              </w:rPr>
              <w:t>）</w:t>
            </w:r>
          </w:p>
        </w:tc>
        <w:tc>
          <w:tcPr>
            <w:tcW w:w="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noWrap/>
            <w:vAlign w:val="center"/>
          </w:tcPr>
          <w:p w14:paraId="170D9EF5"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合计</w:t>
            </w:r>
            <w:r>
              <w:rPr>
                <w:rFonts w:hint="eastAsia" w:ascii="仿宋" w:hAnsi="仿宋" w:eastAsia="仿宋" w:cs="仿宋"/>
                <w:b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元</w:t>
            </w:r>
            <w:r>
              <w:rPr>
                <w:rFonts w:hint="eastAsia" w:ascii="仿宋" w:hAnsi="仿宋" w:eastAsia="仿宋" w:cs="仿宋"/>
                <w:b/>
                <w:sz w:val="24"/>
                <w:lang w:eastAsia="zh-CN"/>
              </w:rPr>
              <w:t>）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noWrap/>
            <w:vAlign w:val="center"/>
          </w:tcPr>
          <w:p w14:paraId="4DAAE69C"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备注</w:t>
            </w:r>
          </w:p>
        </w:tc>
      </w:tr>
      <w:tr w14:paraId="769112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2" w:hRule="atLeas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8CB382"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9D41E">
            <w:pPr>
              <w:spacing w:line="240" w:lineRule="auto"/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bidi="ar"/>
              </w:rPr>
              <w:t>服务器</w:t>
            </w:r>
          </w:p>
        </w:tc>
        <w:tc>
          <w:tcPr>
            <w:tcW w:w="3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0E5F4">
            <w:pPr>
              <w:spacing w:line="240" w:lineRule="auto"/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1、规格：2U机架式服务器，带免工具导轨；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2、处理器：配置2颗Platinum 8462Y+ 32C 300W 2.8GHz；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3、 内存：1TB (32*32G) TruDDR4 4800MHz，实配≥32条内存插槽；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4、硬盘：配置2块480GB热插拔SSD（raid1），10块3.84T SSD 固态硬盘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5、网卡：配置4个千兆以太网口，2个双口10/25Gb以太网卡（含模块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10G 、25G各半），1个专用管理网口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6、电源：配置2块1800W热插拔冗余电源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7、管理；配置远程管理功能及高级模块授权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8、质保：提供原厂5年7x24小时，硬盘不返还保修服务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9、NVIDIA RTX A4500 200W（max） 显卡*4</w:t>
            </w:r>
          </w:p>
        </w:tc>
        <w:tc>
          <w:tcPr>
            <w:tcW w:w="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1FFD56">
            <w:pPr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DC1D86">
            <w:pPr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FADE98">
            <w:pPr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A03A89"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4C86F5"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46C90F"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120DEF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2" w:hRule="atLeas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4702EE"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2ECDA">
            <w:pPr>
              <w:spacing w:line="240" w:lineRule="auto"/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bidi="ar"/>
              </w:rPr>
              <w:t>核心交换机</w:t>
            </w:r>
          </w:p>
        </w:tc>
        <w:tc>
          <w:tcPr>
            <w:tcW w:w="3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79033">
            <w:pPr>
              <w:spacing w:line="240" w:lineRule="auto"/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1、交换容量≥2.5Tbps，包转发率≥1600Mpps；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2、为了提高设备可靠性，支持模块化可插拔双电源；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3、支持25GE光口≥28，100GE光口≥4；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4、支持静态路由、RIP v1/v2、OSPF、BGP、ISIS、RIPng、OSPFv3、ISISv6、BGP4+；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5、支持IGMP v1/v2/v3、PIM-SM、PIM-DM、PIM-SSM；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6、支持VxLAN功能，支持BGP EVPN，实现自动建立隧道；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7、支持G.8032标准以太环网协议；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8、配置：双电源</w:t>
            </w:r>
          </w:p>
        </w:tc>
        <w:tc>
          <w:tcPr>
            <w:tcW w:w="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0E0115">
            <w:pPr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DE460A">
            <w:pPr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5F852F">
            <w:pPr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D0D0D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47C92B"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FEA9A0"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5408B2"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12C73C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2" w:hRule="atLeas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E092EA"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802B0">
            <w:pPr>
              <w:spacing w:line="240" w:lineRule="auto"/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bidi="ar"/>
              </w:rPr>
              <w:t>光纤交换机</w:t>
            </w:r>
          </w:p>
        </w:tc>
        <w:tc>
          <w:tcPr>
            <w:tcW w:w="3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D1ACA">
            <w:pPr>
              <w:spacing w:line="240" w:lineRule="auto"/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D0D0D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bidi="ar"/>
              </w:rPr>
              <w:t>1、交换容量≥2.5Tbps，包转发率≥1600Mpps；</w:t>
            </w: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bidi="ar"/>
              </w:rPr>
              <w:t>2、为了提高设备可靠性，支持模块化可插拔双电源；</w:t>
            </w: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bidi="ar"/>
              </w:rPr>
              <w:t>3、支持25GE光口≥28，100GE光口≥4；</w:t>
            </w: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bidi="ar"/>
              </w:rPr>
              <w:t>4、支持静态路由、RIP v1/v2、OSPF、BGP、ISIS、RIPng、OSPFv3、ISISv6、BGP4+；</w:t>
            </w: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bidi="ar"/>
              </w:rPr>
              <w:t>5、支持IGMP v1/v2/v3、PIM-SM、PIM-DM、PIM-SSM；</w:t>
            </w: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bidi="ar"/>
              </w:rPr>
              <w:t>6、支持VxLAN功能，支持BGP EVPN，实现自动建立隧道；</w:t>
            </w: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bidi="ar"/>
              </w:rPr>
              <w:t>7、支持G.8032标准以太环网协议；</w:t>
            </w: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bidi="ar"/>
              </w:rPr>
              <w:t>8、配置：双电源</w:t>
            </w:r>
          </w:p>
        </w:tc>
        <w:tc>
          <w:tcPr>
            <w:tcW w:w="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413DAE">
            <w:pPr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3A3EAF">
            <w:pPr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968581">
            <w:pPr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D0D0D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057D1B"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8A98BE"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01E01D"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7C97C4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3" w:hRule="atLeas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CEA7E9"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95CBB">
            <w:pPr>
              <w:spacing w:line="240" w:lineRule="auto"/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bidi="ar"/>
              </w:rPr>
              <w:t>访问交换机</w:t>
            </w:r>
          </w:p>
        </w:tc>
        <w:tc>
          <w:tcPr>
            <w:tcW w:w="3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B3A58">
            <w:pPr>
              <w:spacing w:line="240" w:lineRule="auto"/>
              <w:ind w:firstLine="440"/>
              <w:jc w:val="left"/>
              <w:textAlignment w:val="center"/>
              <w:rPr>
                <w:rFonts w:ascii="仿宋" w:hAnsi="仿宋" w:eastAsia="仿宋" w:cs="仿宋"/>
                <w:color w:val="0D0D0D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bidi="ar"/>
              </w:rPr>
              <w:t>1、交换容量≥672Gbps，包转发率≥207Mpps；</w:t>
            </w: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bidi="ar"/>
              </w:rPr>
              <w:t>2、支持千兆电口≥48，万兆光口≥6，支持802.3at POE+功能</w:t>
            </w: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bidi="ar"/>
              </w:rPr>
              <w:t>3、支持3个电源，可以实现2+1备份；</w:t>
            </w: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bidi="ar"/>
              </w:rPr>
              <w:t>4、关键芯片（CPU）采用国产芯片，自主可控；</w:t>
            </w: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bidi="ar"/>
              </w:rPr>
              <w:t>5、支持静态路由、RIP、OSPF、RIPng、OSPFv3，ISIS，ISISv6，BGP，BGP4+；</w:t>
            </w: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bidi="ar"/>
              </w:rPr>
              <w:t>6、支持VRRP、BFD，支持IPv6、支持IPv4/IPv6双栈；</w:t>
            </w: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bidi="ar"/>
              </w:rPr>
              <w:t>7、设备支持复位按钮和清除配置按钮（PNP）：设备调试复位无需插拔电源，可以通过复位按钮进行复位；忘记密码可以通过按钮恢复出厂设置；</w:t>
            </w: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bidi="ar"/>
              </w:rPr>
              <w:t>8、支持 802.3az 能效以太网 EEE，节能环保</w:t>
            </w: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bidi="ar"/>
              </w:rPr>
              <w:t>9、配置：双电源</w:t>
            </w:r>
          </w:p>
        </w:tc>
        <w:tc>
          <w:tcPr>
            <w:tcW w:w="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29D6AF">
            <w:pPr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569221">
            <w:pPr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984258">
            <w:pPr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D0D0D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89338A"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CD1073"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263472"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0645EE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9" w:hRule="atLeas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F6FEDE"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FF1E6">
            <w:pPr>
              <w:spacing w:line="240" w:lineRule="auto"/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bidi="ar"/>
              </w:rPr>
              <w:t>备份存储器</w:t>
            </w:r>
          </w:p>
        </w:tc>
        <w:tc>
          <w:tcPr>
            <w:tcW w:w="3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E82BD">
            <w:pPr>
              <w:spacing w:line="240" w:lineRule="auto"/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D0D0D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bidi="ar"/>
              </w:rPr>
              <w:t>(1) 2 x Intel Xeon Silver, 2095 Mhz, 8C</w:t>
            </w: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bidi="ar"/>
              </w:rPr>
              <w:t>(2) 4TB HDD</w:t>
            </w: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bidi="ar"/>
              </w:rPr>
              <w:t>(3) 2x 1.92TB Cache SSD</w:t>
            </w: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bidi="ar"/>
              </w:rPr>
              <w:t xml:space="preserve">(4) 4 x 16GB </w:t>
            </w: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eastAsia="zh-CN" w:bidi="ar"/>
              </w:rPr>
              <w:t>记忆体</w:t>
            </w: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bidi="ar"/>
              </w:rPr>
              <w:t>(5) 支援 A-P HA</w:t>
            </w: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bidi="ar"/>
              </w:rPr>
              <w:t>(6</w:t>
            </w: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eastAsia="zh-CN" w:bidi="ar"/>
              </w:rPr>
              <w:t>）</w:t>
            </w: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bidi="ar"/>
              </w:rPr>
              <w:t>配备400T可用存储容量</w:t>
            </w: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bidi="ar"/>
              </w:rPr>
              <w:t>(7</w:t>
            </w: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eastAsia="zh-CN" w:bidi="ar"/>
              </w:rPr>
              <w:t>）</w:t>
            </w: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bidi="ar"/>
              </w:rPr>
              <w:t>支持4*10Gb网卡</w:t>
            </w:r>
          </w:p>
        </w:tc>
        <w:tc>
          <w:tcPr>
            <w:tcW w:w="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9F7B4D">
            <w:pPr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EC9BF1">
            <w:pPr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0C008A">
            <w:pPr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D0D0D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E2E74D"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7EC270"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935FFA"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1359B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8A065A"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119BD">
            <w:pPr>
              <w:spacing w:line="240" w:lineRule="auto"/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防火墙</w:t>
            </w:r>
          </w:p>
        </w:tc>
        <w:tc>
          <w:tcPr>
            <w:tcW w:w="3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4FF74">
            <w:pPr>
              <w:spacing w:line="240" w:lineRule="auto"/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1、双电源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10个千兆电口（4对bypass）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10个千兆光口，2个万兆光口，64G 固态硬盘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2、性能规格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  <w:t>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网络吞吐量20G，应用层吞吐10G，最大并发数400万，新建连接数25万；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3、支持SSL VPN功能，SSL VPN用户数无限制；L2TP VPN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4、支持IEC104，Modbus、CIP等工业协议；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5、支持下一代防火墙访问控制、入侵防御、网络防病毒、上网行为及URL分类管理、流控和IPSec VPN模块；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6、提供3年入侵防御、网络防病毒、上网行为及URL分类管理特征库升级服务；</w:t>
            </w:r>
          </w:p>
        </w:tc>
        <w:tc>
          <w:tcPr>
            <w:tcW w:w="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489C58">
            <w:pPr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43FC12">
            <w:pPr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C5CAAE">
            <w:pPr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AABE92"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C5E076"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F3E03F"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19474A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5BFB57"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2C737">
            <w:pPr>
              <w:spacing w:line="240" w:lineRule="auto"/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无线AP</w:t>
            </w:r>
          </w:p>
        </w:tc>
        <w:tc>
          <w:tcPr>
            <w:tcW w:w="3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E2066">
            <w:pPr>
              <w:spacing w:line="240" w:lineRule="auto"/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支持802.11a/b/g/n/ac/ac Wave2标准；支持2.4GHz/5GHz双频段同时工作；1000M双频吸顶式企业级无线接入点</w:t>
            </w:r>
          </w:p>
        </w:tc>
        <w:tc>
          <w:tcPr>
            <w:tcW w:w="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7DBC06">
            <w:pPr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193D7E">
            <w:pPr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EB0A4D">
            <w:pPr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DDE595"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D65C03"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EBF998"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137F52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4" w:hRule="atLeas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5DF5BE"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84573">
            <w:pPr>
              <w:spacing w:line="240" w:lineRule="auto"/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无线控制器AC</w:t>
            </w:r>
          </w:p>
        </w:tc>
        <w:tc>
          <w:tcPr>
            <w:tcW w:w="3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B1FDA">
            <w:pPr>
              <w:spacing w:line="240" w:lineRule="auto"/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端口：10 x GE + 2 x 10GE SFP+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电源：AC/DC电源适配器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转发能力：10Gbps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最大可管理AP的数量：512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无线用户接入能力：4096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AP与AC间组网方式：支持L2/L3层网络拓扑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转发模式：支持直接转发/隧道转发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AC冗余备份：支持1+1热备/N+1备份方式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无线协议：802.11 a/b/g/n/ac/ac wave2/ax/be</w:t>
            </w:r>
          </w:p>
        </w:tc>
        <w:tc>
          <w:tcPr>
            <w:tcW w:w="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5AA3BF">
            <w:pPr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F383E9">
            <w:pPr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48E6D3">
            <w:pPr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437A8B"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D6C9B2"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A5CFB8"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460932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F3AE3E"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2FB7D">
            <w:pPr>
              <w:spacing w:line="240" w:lineRule="auto"/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bidi="ar"/>
              </w:rPr>
              <w:t>视频监控</w:t>
            </w:r>
          </w:p>
        </w:tc>
        <w:tc>
          <w:tcPr>
            <w:tcW w:w="3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97629">
            <w:pPr>
              <w:spacing w:line="240" w:lineRule="auto"/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D0D0D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bidi="ar"/>
              </w:rPr>
              <w:t>摄像头20个，SMART3=265</w:t>
            </w: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eastAsia="zh-CN" w:bidi="ar"/>
              </w:rPr>
              <w:t>，</w:t>
            </w: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bidi="ar"/>
              </w:rPr>
              <w:t>移动侦测</w:t>
            </w: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bidi="ar"/>
              </w:rPr>
              <w:t>存储支持RAID-6, 可用容量不少于15TB，数据中心级别磁盘</w:t>
            </w:r>
          </w:p>
        </w:tc>
        <w:tc>
          <w:tcPr>
            <w:tcW w:w="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3F5CF8">
            <w:pPr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B96477">
            <w:pPr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B09192">
            <w:pPr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D0D0D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437F64"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8CA523"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CC2463"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34347E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BED68A"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B117A">
            <w:pPr>
              <w:spacing w:line="240" w:lineRule="auto"/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许可服务工作站</w:t>
            </w:r>
          </w:p>
        </w:tc>
        <w:tc>
          <w:tcPr>
            <w:tcW w:w="3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6A1F0">
            <w:pPr>
              <w:spacing w:line="240" w:lineRule="auto"/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优于或等同于配置：英特尔至强处理器 W-2223/64G/512G+4T/RTX 4000 8G</w:t>
            </w:r>
          </w:p>
        </w:tc>
        <w:tc>
          <w:tcPr>
            <w:tcW w:w="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1D1F20">
            <w:pPr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B371B1">
            <w:pPr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E65EE7">
            <w:pPr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AA2C1F"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EBBB50"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EE7EA1"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4D0480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BFA93A"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28922">
            <w:pPr>
              <w:spacing w:line="240" w:lineRule="auto"/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ATS</w:t>
            </w:r>
          </w:p>
        </w:tc>
        <w:tc>
          <w:tcPr>
            <w:tcW w:w="3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80162">
            <w:pPr>
              <w:spacing w:line="240" w:lineRule="auto"/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EATS16N + 网卡</w:t>
            </w:r>
          </w:p>
        </w:tc>
        <w:tc>
          <w:tcPr>
            <w:tcW w:w="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E46F87">
            <w:pPr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290DF6">
            <w:pPr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A5E420">
            <w:pPr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FE61B0"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3340D1"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44FC46"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080A8D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688B41"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C8104">
            <w:pPr>
              <w:spacing w:line="240" w:lineRule="auto"/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网络综合布线</w:t>
            </w:r>
          </w:p>
        </w:tc>
        <w:tc>
          <w:tcPr>
            <w:tcW w:w="3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84072">
            <w:pPr>
              <w:spacing w:line="240" w:lineRule="auto"/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所有网线符合 CAT6A标准，交换机数据跳线使用 20公分超短跳线。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网线与端口超过80米的情况下，需新增小机柜分支</w:t>
            </w:r>
          </w:p>
        </w:tc>
        <w:tc>
          <w:tcPr>
            <w:tcW w:w="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B4D4C5">
            <w:pPr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F81517">
            <w:pPr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3D567E">
            <w:pPr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910273"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D80031"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B1AEB1"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7A8EF8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5CE630"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F28AE">
            <w:pPr>
              <w:spacing w:line="240" w:lineRule="auto"/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Windows Server 2022 License Package</w:t>
            </w:r>
          </w:p>
        </w:tc>
        <w:tc>
          <w:tcPr>
            <w:tcW w:w="3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5E40C">
            <w:pPr>
              <w:spacing w:line="240" w:lineRule="auto"/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配套服务器购买Windows server 2022 企业版，独立Windows 虚拟机 （Vsphere 平台下）</w:t>
            </w:r>
          </w:p>
        </w:tc>
        <w:tc>
          <w:tcPr>
            <w:tcW w:w="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9F9D1F">
            <w:pPr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E044F1">
            <w:pPr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D590F2">
            <w:pPr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2E9AFA"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2F6D20"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76141E"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60DD25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5261A3"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C9B4A">
            <w:pPr>
              <w:spacing w:line="240" w:lineRule="auto"/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Redhat Linux Server</w:t>
            </w:r>
          </w:p>
        </w:tc>
        <w:tc>
          <w:tcPr>
            <w:tcW w:w="3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A2962">
            <w:pPr>
              <w:spacing w:line="240" w:lineRule="auto"/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服务器操作系统</w:t>
            </w:r>
          </w:p>
        </w:tc>
        <w:tc>
          <w:tcPr>
            <w:tcW w:w="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FF54C1">
            <w:pPr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6A1A79">
            <w:pPr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1BD90F">
            <w:pPr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0F2A22"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DE019B"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1B50A0"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69C96A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48759A"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687ED">
            <w:pPr>
              <w:spacing w:line="240" w:lineRule="auto"/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Oracle</w:t>
            </w:r>
          </w:p>
        </w:tc>
        <w:tc>
          <w:tcPr>
            <w:tcW w:w="3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C6E5E">
            <w:pPr>
              <w:spacing w:line="240" w:lineRule="auto"/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D0D0D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bidi="ar"/>
              </w:rPr>
              <w:t>数据库系统 19C</w:t>
            </w:r>
          </w:p>
        </w:tc>
        <w:tc>
          <w:tcPr>
            <w:tcW w:w="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3388D4">
            <w:pPr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17033C">
            <w:pPr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5A6E4B">
            <w:pPr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BEC000"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C23BAA"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7359B3"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369F56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72A383"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ABB3A">
            <w:pPr>
              <w:spacing w:line="240" w:lineRule="auto"/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bidi="ar"/>
              </w:rPr>
              <w:t>Vmware虚拟化软件</w:t>
            </w:r>
          </w:p>
        </w:tc>
        <w:tc>
          <w:tcPr>
            <w:tcW w:w="3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3C001">
            <w:pPr>
              <w:spacing w:line="240" w:lineRule="auto"/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D0D0D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bidi="ar"/>
              </w:rPr>
              <w:t>VMware Cloud Foundation 包含每台主机64核心，每台主机38T vsan容量  总计8台主机的授权（订阅）</w:t>
            </w:r>
          </w:p>
        </w:tc>
        <w:tc>
          <w:tcPr>
            <w:tcW w:w="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8DBF4E">
            <w:pPr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bidi="ar"/>
              </w:rPr>
              <w:t>年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EC4F1C">
            <w:pPr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75F22C">
            <w:pPr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D0D0D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6310A9"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815425"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A9E8FD"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50103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28340E"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74C36">
            <w:pPr>
              <w:spacing w:line="240" w:lineRule="auto"/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堡垒机</w:t>
            </w:r>
          </w:p>
        </w:tc>
        <w:tc>
          <w:tcPr>
            <w:tcW w:w="3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A3913A3">
            <w:pPr>
              <w:spacing w:line="240" w:lineRule="auto"/>
              <w:ind w:firstLine="0" w:firstLineChars="0"/>
              <w:jc w:val="left"/>
              <w:textAlignment w:val="top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支持200个资产接入授权，最大可扩展资产数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  <w:t>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1000，图形运维最大并发数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  <w:t>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200，字符运维最大并发数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  <w:t>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350。含3年维保</w:t>
            </w:r>
          </w:p>
        </w:tc>
        <w:tc>
          <w:tcPr>
            <w:tcW w:w="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6A8A44">
            <w:pPr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E6639C">
            <w:pPr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4EA843">
            <w:pPr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D0D0D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DD48F2"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B8A47F"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F5CF25"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0B1DF5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54B0D4"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70B57">
            <w:pPr>
              <w:spacing w:line="240" w:lineRule="auto"/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日志审计</w:t>
            </w:r>
          </w:p>
        </w:tc>
        <w:tc>
          <w:tcPr>
            <w:tcW w:w="3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C5E35A2">
            <w:pPr>
              <w:spacing w:line="240" w:lineRule="auto"/>
              <w:ind w:firstLine="0" w:firstLineChars="0"/>
              <w:jc w:val="left"/>
              <w:textAlignment w:val="top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默认包含主机审计许可证书数量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  <w:t>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200，最大可扩展审计主机许可数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  <w:t>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450，含3年维保</w:t>
            </w:r>
          </w:p>
        </w:tc>
        <w:tc>
          <w:tcPr>
            <w:tcW w:w="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768904">
            <w:pPr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B9E2D2">
            <w:pPr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EB7592">
            <w:pPr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D0D0D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930A86"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062F69"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3679AD"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6B4EAC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9849B3"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ABBC2">
            <w:pPr>
              <w:spacing w:line="240" w:lineRule="auto"/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主机防病毒</w:t>
            </w:r>
          </w:p>
        </w:tc>
        <w:tc>
          <w:tcPr>
            <w:tcW w:w="3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16A4816">
            <w:pPr>
              <w:spacing w:line="240" w:lineRule="auto"/>
              <w:ind w:firstLine="0" w:firstLineChars="0"/>
              <w:jc w:val="left"/>
              <w:textAlignment w:val="top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代理模式，支持windows 以及 linux的主机防病毒，支持100个主机接入，病毒库更新服务</w:t>
            </w:r>
          </w:p>
        </w:tc>
        <w:tc>
          <w:tcPr>
            <w:tcW w:w="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E9B3AE">
            <w:pPr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85E40B">
            <w:pPr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9BB50D">
            <w:pPr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D0D0D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6D4359"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4375CC"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9DE485"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2442A6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D36A85"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40FA4">
            <w:pPr>
              <w:spacing w:line="240" w:lineRule="auto"/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Veeam备份软件</w:t>
            </w:r>
          </w:p>
        </w:tc>
        <w:tc>
          <w:tcPr>
            <w:tcW w:w="3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E6A9D5A">
            <w:pPr>
              <w:spacing w:line="240" w:lineRule="auto"/>
              <w:ind w:firstLine="0" w:firstLineChars="0"/>
              <w:jc w:val="left"/>
              <w:textAlignment w:val="top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Veeam 备份与复制通用许可证。包含企业增强版功能。——1 年期订阅，预付费，并提供 7*24 小时支持。</w:t>
            </w:r>
          </w:p>
        </w:tc>
        <w:tc>
          <w:tcPr>
            <w:tcW w:w="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9EB3FC">
            <w:pPr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2B4DAF">
            <w:pPr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4C0A40">
            <w:pPr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D0D0D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D8AE4A"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A5DCBC"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4D2D9E"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 w14:paraId="678929AD">
      <w:pPr>
        <w:widowControl w:val="0"/>
        <w:autoSpaceDE w:val="0"/>
        <w:autoSpaceDN w:val="0"/>
        <w:adjustRightInd w:val="0"/>
        <w:snapToGrid w:val="0"/>
        <w:ind w:firstLine="0" w:firstLineChars="0"/>
        <w:jc w:val="left"/>
        <w:rPr>
          <w:rFonts w:ascii="仿宋" w:hAnsi="仿宋" w:eastAsia="仿宋" w:cs="仿宋"/>
          <w:sz w:val="32"/>
          <w:szCs w:val="32"/>
          <w:u w:val="single"/>
        </w:rPr>
      </w:pPr>
    </w:p>
    <w:p w14:paraId="299FB141">
      <w:pPr>
        <w:widowControl w:val="0"/>
        <w:autoSpaceDE w:val="0"/>
        <w:autoSpaceDN w:val="0"/>
        <w:adjustRightInd w:val="0"/>
        <w:snapToGrid w:val="0"/>
        <w:ind w:firstLine="0" w:firstLineChars="0"/>
        <w:jc w:val="left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重要提示：</w:t>
      </w:r>
    </w:p>
    <w:p w14:paraId="672B888A">
      <w:pPr>
        <w:widowControl w:val="0"/>
        <w:autoSpaceDE w:val="0"/>
        <w:autoSpaceDN w:val="0"/>
        <w:adjustRightInd w:val="0"/>
        <w:snapToGrid w:val="0"/>
        <w:ind w:firstLine="0" w:firstLineChars="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此表格式可扩展。</w:t>
      </w:r>
    </w:p>
    <w:p w14:paraId="305FAD48">
      <w:pPr>
        <w:widowControl w:val="0"/>
        <w:autoSpaceDE w:val="0"/>
        <w:autoSpaceDN w:val="0"/>
        <w:adjustRightInd w:val="0"/>
        <w:snapToGrid w:val="0"/>
        <w:ind w:firstLine="0" w:firstLineChars="0"/>
        <w:jc w:val="left"/>
        <w:rPr>
          <w:rFonts w:ascii="仿宋" w:hAnsi="仿宋" w:eastAsia="仿宋" w:cs="仿宋"/>
          <w:b/>
          <w:sz w:val="32"/>
          <w:szCs w:val="32"/>
        </w:rPr>
      </w:pPr>
    </w:p>
    <w:p w14:paraId="16E56F19">
      <w:pPr>
        <w:widowControl w:val="0"/>
        <w:autoSpaceDE w:val="0"/>
        <w:autoSpaceDN w:val="0"/>
        <w:adjustRightInd w:val="0"/>
        <w:snapToGrid w:val="0"/>
        <w:ind w:firstLine="0" w:firstLineChars="0"/>
        <w:jc w:val="left"/>
        <w:rPr>
          <w:rFonts w:ascii="仿宋" w:hAnsi="仿宋" w:eastAsia="仿宋" w:cs="仿宋"/>
          <w:b/>
          <w:sz w:val="32"/>
          <w:szCs w:val="32"/>
        </w:rPr>
      </w:pPr>
    </w:p>
    <w:p w14:paraId="66AD49DF">
      <w:pPr>
        <w:widowControl w:val="0"/>
        <w:autoSpaceDE w:val="0"/>
        <w:autoSpaceDN w:val="0"/>
        <w:adjustRightInd w:val="0"/>
        <w:snapToGrid w:val="0"/>
        <w:ind w:firstLine="0" w:firstLineChars="0"/>
        <w:jc w:val="left"/>
        <w:rPr>
          <w:rFonts w:ascii="仿宋" w:hAnsi="仿宋" w:eastAsia="仿宋" w:cs="仿宋"/>
          <w:b/>
          <w:sz w:val="32"/>
          <w:szCs w:val="32"/>
        </w:rPr>
      </w:pPr>
    </w:p>
    <w:p w14:paraId="42B382C2">
      <w:pPr>
        <w:widowControl w:val="0"/>
        <w:autoSpaceDE w:val="0"/>
        <w:autoSpaceDN w:val="0"/>
        <w:adjustRightInd w:val="0"/>
        <w:snapToGrid w:val="0"/>
        <w:ind w:firstLine="0" w:firstLineChars="0"/>
        <w:jc w:val="left"/>
        <w:rPr>
          <w:rFonts w:ascii="仿宋" w:hAnsi="仿宋" w:eastAsia="仿宋" w:cs="仿宋"/>
          <w:b/>
          <w:sz w:val="32"/>
          <w:szCs w:val="32"/>
        </w:rPr>
      </w:pPr>
    </w:p>
    <w:p w14:paraId="78B38F94">
      <w:pPr>
        <w:widowControl w:val="0"/>
        <w:autoSpaceDE w:val="0"/>
        <w:autoSpaceDN w:val="0"/>
        <w:adjustRightInd w:val="0"/>
        <w:snapToGrid w:val="0"/>
        <w:ind w:firstLine="0" w:firstLineChars="0"/>
        <w:jc w:val="left"/>
        <w:rPr>
          <w:rFonts w:ascii="仿宋" w:hAnsi="仿宋" w:eastAsia="仿宋" w:cs="仿宋"/>
          <w:b/>
          <w:sz w:val="32"/>
          <w:szCs w:val="32"/>
        </w:rPr>
      </w:pPr>
    </w:p>
    <w:p w14:paraId="1667F5D2">
      <w:pPr>
        <w:widowControl w:val="0"/>
        <w:autoSpaceDE w:val="0"/>
        <w:autoSpaceDN w:val="0"/>
        <w:adjustRightInd w:val="0"/>
        <w:snapToGrid w:val="0"/>
        <w:ind w:firstLine="0" w:firstLineChars="0"/>
        <w:jc w:val="left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二、系统硬件集成报价（含施工）：</w:t>
      </w:r>
    </w:p>
    <w:tbl>
      <w:tblPr>
        <w:tblStyle w:val="5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7"/>
        <w:gridCol w:w="1553"/>
      </w:tblGrid>
      <w:tr w14:paraId="1F40B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" w:hRule="atLeast"/>
          <w:jc w:val="center"/>
        </w:trPr>
        <w:tc>
          <w:tcPr>
            <w:tcW w:w="4088" w:type="pct"/>
            <w:tcBorders>
              <w:left w:val="single" w:color="auto" w:sz="2" w:space="0"/>
            </w:tcBorders>
            <w:shd w:val="clear" w:color="auto" w:fill="DBE5F1"/>
            <w:vAlign w:val="center"/>
          </w:tcPr>
          <w:p w14:paraId="2EFD3CF2"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 w:cs="仿宋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</w:rPr>
              <w:t>系统硬件集成报价（含施工）（含税）</w:t>
            </w:r>
          </w:p>
          <w:p w14:paraId="0E3F02F6"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 w:cs="仿宋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</w:rPr>
              <w:t>（人民币/元）</w:t>
            </w:r>
          </w:p>
        </w:tc>
        <w:tc>
          <w:tcPr>
            <w:tcW w:w="911" w:type="pct"/>
            <w:shd w:val="clear" w:color="auto" w:fill="DBE5F1"/>
            <w:vAlign w:val="center"/>
          </w:tcPr>
          <w:p w14:paraId="7A5E10F3"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 w:cs="仿宋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</w:rPr>
              <w:t>备注</w:t>
            </w:r>
          </w:p>
        </w:tc>
      </w:tr>
      <w:tr w14:paraId="5DF9E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1" w:hRule="atLeast"/>
          <w:jc w:val="center"/>
        </w:trPr>
        <w:tc>
          <w:tcPr>
            <w:tcW w:w="4088" w:type="pct"/>
            <w:tcBorders>
              <w:left w:val="single" w:color="auto" w:sz="2" w:space="0"/>
            </w:tcBorders>
            <w:vAlign w:val="center"/>
          </w:tcPr>
          <w:p w14:paraId="5D8C9C84"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911" w:type="pct"/>
            <w:vAlign w:val="center"/>
          </w:tcPr>
          <w:p w14:paraId="27150551"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</w:tbl>
    <w:p w14:paraId="3B380AB4">
      <w:pPr>
        <w:widowControl w:val="0"/>
        <w:autoSpaceDE w:val="0"/>
        <w:autoSpaceDN w:val="0"/>
        <w:adjustRightInd w:val="0"/>
        <w:snapToGrid w:val="0"/>
        <w:ind w:firstLine="0" w:firstLineChars="0"/>
        <w:jc w:val="left"/>
        <w:rPr>
          <w:rFonts w:ascii="仿宋" w:hAnsi="仿宋" w:eastAsia="仿宋" w:cs="仿宋"/>
          <w:sz w:val="32"/>
          <w:szCs w:val="32"/>
        </w:rPr>
      </w:pPr>
    </w:p>
    <w:p w14:paraId="59ACF23C">
      <w:pPr>
        <w:widowControl w:val="0"/>
        <w:autoSpaceDE w:val="0"/>
        <w:autoSpaceDN w:val="0"/>
        <w:adjustRightInd w:val="0"/>
        <w:snapToGrid w:val="0"/>
        <w:ind w:firstLine="0" w:firstLineChars="0"/>
        <w:jc w:val="left"/>
        <w:rPr>
          <w:rFonts w:ascii="仿宋" w:hAnsi="仿宋" w:eastAsia="仿宋" w:cs="仿宋"/>
          <w:b/>
          <w:sz w:val="32"/>
          <w:szCs w:val="32"/>
        </w:rPr>
      </w:pPr>
    </w:p>
    <w:p w14:paraId="726A1819">
      <w:pPr>
        <w:widowControl w:val="0"/>
        <w:autoSpaceDE w:val="0"/>
        <w:autoSpaceDN w:val="0"/>
        <w:adjustRightInd w:val="0"/>
        <w:snapToGrid w:val="0"/>
        <w:ind w:firstLine="0" w:firstLineChars="0"/>
        <w:jc w:val="left"/>
        <w:rPr>
          <w:rFonts w:ascii="仿宋" w:hAnsi="仿宋" w:eastAsia="仿宋" w:cs="仿宋"/>
          <w:sz w:val="32"/>
          <w:szCs w:val="32"/>
        </w:rPr>
      </w:pPr>
      <w:bookmarkStart w:id="35" w:name="_Toc523211707"/>
    </w:p>
    <w:p w14:paraId="42E41D7C">
      <w:pPr>
        <w:widowControl w:val="0"/>
        <w:autoSpaceDE w:val="0"/>
        <w:autoSpaceDN w:val="0"/>
        <w:adjustRightInd w:val="0"/>
        <w:snapToGrid w:val="0"/>
        <w:ind w:firstLine="0" w:firstLineChars="0"/>
        <w:jc w:val="left"/>
        <w:rPr>
          <w:rFonts w:ascii="仿宋" w:hAnsi="仿宋" w:eastAsia="仿宋" w:cs="仿宋"/>
          <w:sz w:val="36"/>
          <w:szCs w:val="44"/>
        </w:rPr>
      </w:pPr>
      <w:r>
        <w:rPr>
          <w:rFonts w:hint="eastAsia" w:ascii="仿宋" w:hAnsi="仿宋" w:eastAsia="仿宋" w:cs="仿宋"/>
          <w:sz w:val="32"/>
          <w:szCs w:val="32"/>
        </w:rPr>
        <w:t>投标人（盖章）：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</w:t>
      </w:r>
      <w:r>
        <w:rPr>
          <w:rFonts w:hint="eastAsia" w:ascii="仿宋" w:hAnsi="仿宋" w:eastAsia="仿宋" w:cs="仿宋"/>
          <w:sz w:val="36"/>
          <w:szCs w:val="36"/>
          <w:u w:val="single"/>
        </w:rPr>
        <w:t xml:space="preserve">         </w:t>
      </w:r>
      <w:bookmarkEnd w:id="3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VjMTVmYTdjM2IyZTNhYzM3NzgwMDZmODZkNzRiZTMifQ=="/>
  </w:docVars>
  <w:rsids>
    <w:rsidRoot w:val="00416FA7"/>
    <w:rsid w:val="001C7658"/>
    <w:rsid w:val="00416FA7"/>
    <w:rsid w:val="004F4FB2"/>
    <w:rsid w:val="00852AE7"/>
    <w:rsid w:val="00937516"/>
    <w:rsid w:val="00ED0BE2"/>
    <w:rsid w:val="00EF799B"/>
    <w:rsid w:val="03E43483"/>
    <w:rsid w:val="06CB56C5"/>
    <w:rsid w:val="0F9336BA"/>
    <w:rsid w:val="15694810"/>
    <w:rsid w:val="15C350FC"/>
    <w:rsid w:val="17C4348D"/>
    <w:rsid w:val="1ECE002B"/>
    <w:rsid w:val="211717D8"/>
    <w:rsid w:val="242A2CE1"/>
    <w:rsid w:val="26A74B38"/>
    <w:rsid w:val="28E96637"/>
    <w:rsid w:val="2CD82310"/>
    <w:rsid w:val="33E365F1"/>
    <w:rsid w:val="35B7766A"/>
    <w:rsid w:val="377C65CC"/>
    <w:rsid w:val="3991278E"/>
    <w:rsid w:val="3B2B1978"/>
    <w:rsid w:val="3C6C4A42"/>
    <w:rsid w:val="3FEB48FE"/>
    <w:rsid w:val="429C1EC8"/>
    <w:rsid w:val="455B2B1D"/>
    <w:rsid w:val="4B797C65"/>
    <w:rsid w:val="4BC11FE7"/>
    <w:rsid w:val="50AC6291"/>
    <w:rsid w:val="5B1F1C3A"/>
    <w:rsid w:val="5CC9222D"/>
    <w:rsid w:val="6122664B"/>
    <w:rsid w:val="62360C05"/>
    <w:rsid w:val="629D5157"/>
    <w:rsid w:val="636A324C"/>
    <w:rsid w:val="64472BAC"/>
    <w:rsid w:val="67942D9E"/>
    <w:rsid w:val="7151758B"/>
    <w:rsid w:val="76FF3472"/>
    <w:rsid w:val="79241338"/>
    <w:rsid w:val="7A38654D"/>
    <w:rsid w:val="7C4C6319"/>
    <w:rsid w:val="7CEF3AE0"/>
    <w:rsid w:val="7E05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8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link w:val="7"/>
    <w:qFormat/>
    <w:uiPriority w:val="0"/>
    <w:pPr>
      <w:ind w:firstLine="640"/>
    </w:pPr>
    <w:rPr>
      <w:rFonts w:eastAsia="仿宋_GB2312"/>
      <w:sz w:val="32"/>
    </w:rPr>
  </w:style>
  <w:style w:type="paragraph" w:styleId="4">
    <w:name w:val="Balloon Text"/>
    <w:basedOn w:val="1"/>
    <w:link w:val="9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character" w:customStyle="1" w:styleId="7">
    <w:name w:val="正文文本缩进 2 字符"/>
    <w:basedOn w:val="6"/>
    <w:link w:val="3"/>
    <w:qFormat/>
    <w:uiPriority w:val="0"/>
    <w:rPr>
      <w:rFonts w:ascii="Times New Roman" w:hAnsi="Times New Roman" w:eastAsia="仿宋_GB2312" w:cs="Times New Roman"/>
      <w:sz w:val="32"/>
      <w:szCs w:val="24"/>
    </w:rPr>
  </w:style>
  <w:style w:type="character" w:customStyle="1" w:styleId="8">
    <w:name w:val="标题 2 字符"/>
    <w:basedOn w:val="6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9">
    <w:name w:val="批注框文本 字符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1766</Words>
  <Characters>2566</Characters>
  <Lines>22</Lines>
  <Paragraphs>6</Paragraphs>
  <TotalTime>2</TotalTime>
  <ScaleCrop>false</ScaleCrop>
  <LinksUpToDate>false</LinksUpToDate>
  <CharactersWithSpaces>2813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2024-11-07T08:23:00Z</dcterms:created>
  <dc:creator>Microsoft 帐户</dc:creator>
  <cp:lastModifiedBy>张琦</cp:lastModifiedBy>
  <dcterms:modified xsi:type="dcterms:W3CDTF">2024-12-31T01:46:42Z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2B8510B8EDA944C09C301BCD02EEB025_13</vt:lpwstr>
  </property>
  <property fmtid="{D5CDD505-2E9C-101B-9397-08002B2CF9AE}" pid="4" name="KSOTemplateDocerSaveRecord">
    <vt:lpwstr>eyJoZGlkIjoiZjYxZTUyYjc1MzQwNWRmNjlmMWQyYmQ2NmM1M2U4MmMiLCJ1c2VySWQiOiIyNjEzMjU1OTEifQ==</vt:lpwstr>
  </property>
</Properties>
</file>