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CC1C2">
      <w:pPr>
        <w:pStyle w:val="2"/>
        <w:spacing w:before="58" w:line="214" w:lineRule="auto"/>
        <w:rPr>
          <w:rFonts w:hint="eastAsia"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pacing w:val="0"/>
          <w:sz w:val="30"/>
          <w:szCs w:val="30"/>
          <w:lang w:val="en-US" w:eastAsia="zh-CN"/>
        </w:rPr>
        <w:t>附件二：</w:t>
      </w:r>
      <w:r>
        <w:rPr>
          <w:rFonts w:hint="eastAsia" w:ascii="仿宋_GB2312" w:eastAsia="仿宋_GB2312"/>
          <w:b/>
          <w:bCs/>
          <w:spacing w:val="0"/>
          <w:sz w:val="30"/>
          <w:szCs w:val="30"/>
        </w:rPr>
        <w:t>综合评分表</w:t>
      </w:r>
    </w:p>
    <w:p w14:paraId="6919E66D">
      <w:pPr>
        <w:spacing w:before="114" w:line="294" w:lineRule="auto"/>
        <w:ind w:left="0" w:right="271" w:firstLine="0"/>
        <w:jc w:val="center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6"/>
          <w:sz w:val="35"/>
          <w:szCs w:val="35"/>
        </w:rPr>
        <w:t>综合评分表</w:t>
      </w:r>
    </w:p>
    <w:tbl>
      <w:tblPr>
        <w:tblStyle w:val="9"/>
        <w:tblW w:w="8481" w:type="dxa"/>
        <w:tblInd w:w="13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5"/>
        <w:gridCol w:w="867"/>
        <w:gridCol w:w="3513"/>
        <w:gridCol w:w="1344"/>
        <w:gridCol w:w="1188"/>
        <w:gridCol w:w="944"/>
      </w:tblGrid>
      <w:tr w14:paraId="05AE3E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625" w:type="dxa"/>
            <w:shd w:val="clear" w:color="auto" w:fill="DEEAF6"/>
            <w:textDirection w:val="tbRlV"/>
            <w:vAlign w:val="top"/>
          </w:tcPr>
          <w:p w14:paraId="660E297F">
            <w:pPr>
              <w:pStyle w:val="8"/>
              <w:spacing w:before="206" w:line="218" w:lineRule="auto"/>
              <w:ind w:left="141"/>
            </w:pPr>
            <w:bookmarkStart w:id="0" w:name="OLE_LINK5"/>
            <w:r>
              <w:rPr>
                <w:b/>
                <w:bCs/>
                <w:spacing w:val="6"/>
              </w:rPr>
              <w:t>序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号</w:t>
            </w:r>
          </w:p>
        </w:tc>
        <w:tc>
          <w:tcPr>
            <w:tcW w:w="867" w:type="dxa"/>
            <w:shd w:val="clear" w:color="auto" w:fill="DEEAF6"/>
            <w:vAlign w:val="top"/>
          </w:tcPr>
          <w:p w14:paraId="63BFFA01">
            <w:pPr>
              <w:pStyle w:val="8"/>
              <w:spacing w:before="142" w:line="239" w:lineRule="auto"/>
              <w:ind w:left="223" w:right="219" w:hanging="4"/>
            </w:pPr>
            <w:r>
              <w:rPr>
                <w:rFonts w:hint="eastAsia"/>
                <w:b/>
                <w:bCs/>
                <w:spacing w:val="4"/>
                <w:lang w:val="en-US" w:eastAsia="zh-CN"/>
              </w:rPr>
              <w:t>评</w:t>
            </w:r>
            <w:r>
              <w:rPr>
                <w:b/>
                <w:bCs/>
                <w:spacing w:val="4"/>
              </w:rPr>
              <w:t>审</w:t>
            </w:r>
            <w:r>
              <w:t xml:space="preserve"> </w:t>
            </w:r>
            <w:r>
              <w:rPr>
                <w:b/>
                <w:bCs/>
                <w:spacing w:val="2"/>
              </w:rPr>
              <w:t>项目</w:t>
            </w:r>
          </w:p>
        </w:tc>
        <w:tc>
          <w:tcPr>
            <w:tcW w:w="3513" w:type="dxa"/>
            <w:shd w:val="clear" w:color="auto" w:fill="DEEAF6"/>
            <w:vAlign w:val="top"/>
          </w:tcPr>
          <w:p w14:paraId="13C8F872">
            <w:pPr>
              <w:pStyle w:val="8"/>
              <w:spacing w:before="278" w:line="228" w:lineRule="auto"/>
              <w:ind w:left="1342"/>
            </w:pPr>
            <w:r>
              <w:rPr>
                <w:b/>
                <w:bCs/>
                <w:spacing w:val="6"/>
              </w:rPr>
              <w:t>评审标准</w:t>
            </w:r>
          </w:p>
        </w:tc>
        <w:tc>
          <w:tcPr>
            <w:tcW w:w="1344" w:type="dxa"/>
            <w:shd w:val="clear" w:color="auto" w:fill="DEEAF6"/>
            <w:vAlign w:val="top"/>
          </w:tcPr>
          <w:p w14:paraId="7ADEEE5D">
            <w:pPr>
              <w:pStyle w:val="8"/>
              <w:spacing w:before="278" w:line="227" w:lineRule="auto"/>
              <w:ind w:left="256"/>
            </w:pPr>
            <w:r>
              <w:rPr>
                <w:b/>
                <w:bCs/>
                <w:spacing w:val="6"/>
              </w:rPr>
              <w:t>证明材料</w:t>
            </w:r>
          </w:p>
        </w:tc>
        <w:tc>
          <w:tcPr>
            <w:tcW w:w="1188" w:type="dxa"/>
            <w:shd w:val="clear" w:color="auto" w:fill="DEEAF6"/>
            <w:vAlign w:val="top"/>
          </w:tcPr>
          <w:p w14:paraId="74976725">
            <w:pPr>
              <w:pStyle w:val="8"/>
              <w:spacing w:before="278" w:line="228" w:lineRule="auto"/>
              <w:ind w:left="391"/>
            </w:pPr>
            <w:r>
              <w:rPr>
                <w:b/>
                <w:bCs/>
                <w:spacing w:val="2"/>
              </w:rPr>
              <w:t>分值</w:t>
            </w:r>
          </w:p>
        </w:tc>
        <w:tc>
          <w:tcPr>
            <w:tcW w:w="944" w:type="dxa"/>
            <w:shd w:val="clear" w:color="auto" w:fill="DEEAF6"/>
            <w:vAlign w:val="top"/>
          </w:tcPr>
          <w:p w14:paraId="221917F9">
            <w:pPr>
              <w:rPr>
                <w:rFonts w:ascii="Arial"/>
                <w:sz w:val="21"/>
              </w:rPr>
            </w:pPr>
          </w:p>
        </w:tc>
      </w:tr>
      <w:tr w14:paraId="4E60C9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0" w:hRule="atLeast"/>
        </w:trPr>
        <w:tc>
          <w:tcPr>
            <w:tcW w:w="625" w:type="dxa"/>
            <w:vAlign w:val="top"/>
          </w:tcPr>
          <w:p w14:paraId="3678ADA7">
            <w:pPr>
              <w:spacing w:line="270" w:lineRule="auto"/>
              <w:rPr>
                <w:rFonts w:ascii="Arial"/>
                <w:sz w:val="21"/>
              </w:rPr>
            </w:pPr>
          </w:p>
          <w:p w14:paraId="4DB4180A">
            <w:pPr>
              <w:spacing w:line="270" w:lineRule="auto"/>
              <w:rPr>
                <w:rFonts w:ascii="Arial"/>
                <w:sz w:val="21"/>
              </w:rPr>
            </w:pPr>
          </w:p>
          <w:p w14:paraId="3503FBAE">
            <w:pPr>
              <w:spacing w:line="270" w:lineRule="auto"/>
              <w:rPr>
                <w:rFonts w:ascii="Arial"/>
                <w:sz w:val="21"/>
              </w:rPr>
            </w:pPr>
          </w:p>
          <w:p w14:paraId="348792E4">
            <w:pPr>
              <w:pStyle w:val="8"/>
              <w:spacing w:before="65" w:line="189" w:lineRule="auto"/>
              <w:ind w:left="280"/>
            </w:pPr>
            <w:r>
              <w:t>1</w:t>
            </w:r>
          </w:p>
        </w:tc>
        <w:tc>
          <w:tcPr>
            <w:tcW w:w="867" w:type="dxa"/>
            <w:vAlign w:val="top"/>
          </w:tcPr>
          <w:p w14:paraId="212994BA">
            <w:pPr>
              <w:spacing w:line="322" w:lineRule="auto"/>
              <w:rPr>
                <w:rFonts w:ascii="Arial"/>
                <w:sz w:val="21"/>
              </w:rPr>
            </w:pPr>
          </w:p>
          <w:p w14:paraId="743E10F9">
            <w:pPr>
              <w:spacing w:line="322" w:lineRule="auto"/>
              <w:rPr>
                <w:rFonts w:ascii="Arial"/>
                <w:sz w:val="21"/>
              </w:rPr>
            </w:pPr>
          </w:p>
          <w:p w14:paraId="6650E3F1">
            <w:pPr>
              <w:pStyle w:val="8"/>
              <w:spacing w:before="65" w:line="239" w:lineRule="auto"/>
              <w:ind w:left="221" w:right="221" w:hanging="2"/>
            </w:pPr>
            <w:r>
              <w:rPr>
                <w:spacing w:val="5"/>
              </w:rPr>
              <w:t>报价</w:t>
            </w:r>
            <w:r>
              <w:t xml:space="preserve"> </w:t>
            </w:r>
            <w:r>
              <w:rPr>
                <w:spacing w:val="4"/>
              </w:rPr>
              <w:t>得分</w:t>
            </w:r>
          </w:p>
        </w:tc>
        <w:tc>
          <w:tcPr>
            <w:tcW w:w="3513" w:type="dxa"/>
            <w:vAlign w:val="top"/>
          </w:tcPr>
          <w:p w14:paraId="043A90A9">
            <w:pPr>
              <w:pStyle w:val="8"/>
              <w:spacing w:before="26" w:line="234" w:lineRule="auto"/>
              <w:ind w:left="115" w:right="108" w:firstLine="15"/>
              <w:rPr>
                <w:rFonts w:hint="default"/>
                <w:spacing w:val="5"/>
              </w:rPr>
            </w:pPr>
            <w:bookmarkStart w:id="1" w:name="OLE_LINK7"/>
            <w:r>
              <w:rPr>
                <w:rFonts w:hint="default"/>
                <w:spacing w:val="5"/>
              </w:rPr>
              <w:t>价格分计算方法：报价为平均数的为最高分即满分。</w:t>
            </w:r>
          </w:p>
          <w:p w14:paraId="57553FF0">
            <w:pPr>
              <w:pStyle w:val="8"/>
              <w:spacing w:before="26" w:line="234" w:lineRule="auto"/>
              <w:ind w:left="115" w:right="108" w:firstLine="15"/>
              <w:rPr>
                <w:rFonts w:hint="default"/>
                <w:spacing w:val="5"/>
              </w:rPr>
            </w:pPr>
            <w:r>
              <w:rPr>
                <w:rFonts w:hint="default"/>
                <w:spacing w:val="5"/>
              </w:rPr>
              <w:t>假设供应商的报价结果分别为 B1、 B2、B3……Bn，</w:t>
            </w:r>
          </w:p>
          <w:p w14:paraId="75D8BE4B">
            <w:pPr>
              <w:pStyle w:val="8"/>
              <w:spacing w:before="26" w:line="234" w:lineRule="auto"/>
              <w:ind w:left="115" w:right="108" w:firstLine="15"/>
            </w:pPr>
            <w:r>
              <w:rPr>
                <w:rFonts w:hint="default"/>
                <w:spacing w:val="5"/>
              </w:rPr>
              <w:t>则报价的平均数为 C=[B1＋B2＋B3＋……＋Bn]÷n，供应商 n 的报价得分=20× {1-( ∣Bn－C ∣) ÷C}</w:t>
            </w:r>
            <w:bookmarkEnd w:id="1"/>
          </w:p>
        </w:tc>
        <w:tc>
          <w:tcPr>
            <w:tcW w:w="1344" w:type="dxa"/>
            <w:vAlign w:val="top"/>
          </w:tcPr>
          <w:p w14:paraId="1F99D1F5">
            <w:pPr>
              <w:pStyle w:val="8"/>
              <w:spacing w:before="65" w:line="238" w:lineRule="auto"/>
              <w:ind w:left="0" w:right="144" w:firstLine="0"/>
              <w:jc w:val="center"/>
              <w:rPr>
                <w:spacing w:val="7"/>
              </w:rPr>
            </w:pPr>
          </w:p>
          <w:p w14:paraId="4242F7DE">
            <w:pPr>
              <w:pStyle w:val="8"/>
              <w:spacing w:before="65" w:line="238" w:lineRule="auto"/>
              <w:ind w:left="0" w:right="144" w:firstLine="0"/>
              <w:jc w:val="center"/>
              <w:rPr>
                <w:spacing w:val="7"/>
              </w:rPr>
            </w:pPr>
          </w:p>
          <w:p w14:paraId="7E3D81C0">
            <w:pPr>
              <w:pStyle w:val="8"/>
              <w:spacing w:before="65" w:line="238" w:lineRule="auto"/>
              <w:ind w:left="0" w:right="144" w:firstLine="0"/>
              <w:jc w:val="center"/>
            </w:pPr>
            <w:r>
              <w:rPr>
                <w:spacing w:val="7"/>
              </w:rPr>
              <w:t>提供响应报</w:t>
            </w:r>
            <w:r>
              <w:rPr>
                <w:spacing w:val="3"/>
              </w:rPr>
              <w:t xml:space="preserve"> </w:t>
            </w:r>
            <w:r>
              <w:t>价</w:t>
            </w:r>
          </w:p>
        </w:tc>
        <w:tc>
          <w:tcPr>
            <w:tcW w:w="1188" w:type="dxa"/>
            <w:vAlign w:val="top"/>
          </w:tcPr>
          <w:p w14:paraId="51C3A0FF">
            <w:pPr>
              <w:spacing w:line="259" w:lineRule="auto"/>
              <w:rPr>
                <w:rFonts w:ascii="Arial"/>
                <w:sz w:val="21"/>
              </w:rPr>
            </w:pPr>
          </w:p>
          <w:p w14:paraId="09C0AC7E">
            <w:pPr>
              <w:spacing w:line="259" w:lineRule="auto"/>
              <w:rPr>
                <w:rFonts w:ascii="Arial"/>
                <w:sz w:val="21"/>
              </w:rPr>
            </w:pPr>
          </w:p>
          <w:p w14:paraId="6459F80F">
            <w:pPr>
              <w:spacing w:line="260" w:lineRule="auto"/>
              <w:rPr>
                <w:rFonts w:ascii="Arial"/>
                <w:sz w:val="21"/>
              </w:rPr>
            </w:pPr>
          </w:p>
          <w:p w14:paraId="7C3601C9">
            <w:pPr>
              <w:pStyle w:val="8"/>
              <w:spacing w:before="65" w:line="228" w:lineRule="auto"/>
              <w:ind w:left="368"/>
            </w:pPr>
            <w:r>
              <w:rPr>
                <w:rFonts w:hint="eastAsia"/>
                <w:spacing w:val="-38"/>
                <w:lang w:val="en-US" w:eastAsia="zh-CN"/>
              </w:rPr>
              <w:t>2</w:t>
            </w:r>
            <w:r>
              <w:rPr>
                <w:rFonts w:hint="eastAsia"/>
                <w:spacing w:val="-1"/>
                <w:lang w:val="en-US" w:eastAsia="zh-CN"/>
              </w:rPr>
              <w:t>0</w:t>
            </w:r>
            <w:r>
              <w:rPr>
                <w:spacing w:val="-1"/>
              </w:rPr>
              <w:t>分</w:t>
            </w:r>
          </w:p>
        </w:tc>
        <w:tc>
          <w:tcPr>
            <w:tcW w:w="944" w:type="dxa"/>
            <w:vAlign w:val="top"/>
          </w:tcPr>
          <w:p w14:paraId="4714EFCE">
            <w:pPr>
              <w:rPr>
                <w:rFonts w:ascii="Arial"/>
                <w:sz w:val="21"/>
              </w:rPr>
            </w:pPr>
          </w:p>
        </w:tc>
      </w:tr>
      <w:tr w14:paraId="0941F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625" w:type="dxa"/>
            <w:vAlign w:val="top"/>
          </w:tcPr>
          <w:p w14:paraId="20597286">
            <w:pPr>
              <w:spacing w:line="424" w:lineRule="auto"/>
              <w:rPr>
                <w:rFonts w:ascii="Arial"/>
                <w:sz w:val="21"/>
              </w:rPr>
            </w:pPr>
          </w:p>
          <w:p w14:paraId="3CBC9CD8">
            <w:pPr>
              <w:pStyle w:val="8"/>
              <w:spacing w:before="65" w:line="189" w:lineRule="auto"/>
              <w:ind w:left="267"/>
            </w:pPr>
            <w:r>
              <w:t>2</w:t>
            </w:r>
          </w:p>
        </w:tc>
        <w:tc>
          <w:tcPr>
            <w:tcW w:w="867" w:type="dxa"/>
            <w:vAlign w:val="top"/>
          </w:tcPr>
          <w:p w14:paraId="21F6C17D">
            <w:pPr>
              <w:spacing w:line="256" w:lineRule="auto"/>
              <w:rPr>
                <w:rFonts w:ascii="Arial"/>
                <w:sz w:val="21"/>
              </w:rPr>
            </w:pPr>
          </w:p>
          <w:p w14:paraId="209D5EAC">
            <w:pPr>
              <w:pStyle w:val="8"/>
              <w:spacing w:before="65" w:line="239" w:lineRule="auto"/>
              <w:ind w:left="120" w:right="113" w:firstLine="17"/>
            </w:pPr>
            <w:r>
              <w:t xml:space="preserve">同类业 </w:t>
            </w:r>
            <w:r>
              <w:rPr>
                <w:spacing w:val="5"/>
              </w:rPr>
              <w:t>绩情况</w:t>
            </w:r>
          </w:p>
        </w:tc>
        <w:tc>
          <w:tcPr>
            <w:tcW w:w="3513" w:type="dxa"/>
            <w:vAlign w:val="top"/>
          </w:tcPr>
          <w:p w14:paraId="01C767C6">
            <w:pPr>
              <w:spacing w:line="392" w:lineRule="auto"/>
              <w:rPr>
                <w:rFonts w:ascii="Arial"/>
                <w:sz w:val="21"/>
              </w:rPr>
            </w:pPr>
          </w:p>
          <w:p w14:paraId="7AC604CF">
            <w:pPr>
              <w:pStyle w:val="8"/>
              <w:spacing w:before="65" w:line="228" w:lineRule="auto"/>
              <w:ind w:left="137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6"/>
                <w:lang w:val="en-US" w:eastAsia="zh-CN"/>
              </w:rPr>
              <w:t>每个案例得5分，最高10分</w:t>
            </w:r>
          </w:p>
        </w:tc>
        <w:tc>
          <w:tcPr>
            <w:tcW w:w="1344" w:type="dxa"/>
            <w:vAlign w:val="top"/>
          </w:tcPr>
          <w:p w14:paraId="5286952F">
            <w:pPr>
              <w:pStyle w:val="8"/>
              <w:spacing w:before="183" w:line="244" w:lineRule="auto"/>
              <w:ind w:left="0" w:right="103" w:firstLine="0"/>
              <w:jc w:val="center"/>
            </w:pPr>
            <w:r>
              <w:rPr>
                <w:spacing w:val="23"/>
              </w:rPr>
              <w:t>提供相应合</w:t>
            </w:r>
            <w:r>
              <w:rPr>
                <w:spacing w:val="3"/>
              </w:rPr>
              <w:t xml:space="preserve"> </w:t>
            </w:r>
            <w:r>
              <w:rPr>
                <w:spacing w:val="23"/>
              </w:rPr>
              <w:t>同文件或成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果文件</w:t>
            </w:r>
          </w:p>
        </w:tc>
        <w:tc>
          <w:tcPr>
            <w:tcW w:w="1188" w:type="dxa"/>
            <w:vAlign w:val="top"/>
          </w:tcPr>
          <w:p w14:paraId="75A15754">
            <w:pPr>
              <w:spacing w:line="392" w:lineRule="auto"/>
              <w:rPr>
                <w:rFonts w:ascii="Arial"/>
                <w:sz w:val="21"/>
              </w:rPr>
            </w:pPr>
          </w:p>
          <w:p w14:paraId="09039FD0">
            <w:pPr>
              <w:pStyle w:val="8"/>
              <w:spacing w:before="65" w:line="228" w:lineRule="auto"/>
              <w:ind w:left="367"/>
            </w:pPr>
            <w:r>
              <w:rPr>
                <w:rFonts w:hint="eastAsia"/>
                <w:spacing w:val="-1"/>
                <w:lang w:val="en-US" w:eastAsia="zh-CN"/>
              </w:rPr>
              <w:t>10</w:t>
            </w:r>
            <w:r>
              <w:rPr>
                <w:spacing w:val="-1"/>
              </w:rPr>
              <w:t>分</w:t>
            </w:r>
          </w:p>
        </w:tc>
        <w:tc>
          <w:tcPr>
            <w:tcW w:w="944" w:type="dxa"/>
            <w:vAlign w:val="top"/>
          </w:tcPr>
          <w:p w14:paraId="631C5566">
            <w:pPr>
              <w:rPr>
                <w:rFonts w:ascii="Arial"/>
                <w:sz w:val="21"/>
              </w:rPr>
            </w:pPr>
          </w:p>
        </w:tc>
      </w:tr>
      <w:tr w14:paraId="23AF9E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625" w:type="dxa"/>
            <w:vAlign w:val="top"/>
          </w:tcPr>
          <w:p w14:paraId="0225F2BC">
            <w:pPr>
              <w:spacing w:line="424" w:lineRule="auto"/>
              <w:rPr>
                <w:rFonts w:ascii="Arial"/>
                <w:sz w:val="21"/>
              </w:rPr>
            </w:pPr>
          </w:p>
          <w:p w14:paraId="47B3F224">
            <w:pPr>
              <w:pStyle w:val="8"/>
              <w:spacing w:before="65" w:line="189" w:lineRule="auto"/>
              <w:ind w:left="269"/>
            </w:pPr>
            <w:r>
              <w:t>3</w:t>
            </w:r>
          </w:p>
        </w:tc>
        <w:tc>
          <w:tcPr>
            <w:tcW w:w="867" w:type="dxa"/>
            <w:vAlign w:val="top"/>
          </w:tcPr>
          <w:p w14:paraId="40A2957E">
            <w:pPr>
              <w:spacing w:line="257" w:lineRule="auto"/>
              <w:rPr>
                <w:rFonts w:ascii="Arial"/>
                <w:sz w:val="21"/>
              </w:rPr>
            </w:pPr>
          </w:p>
          <w:p w14:paraId="6205CD1C">
            <w:pPr>
              <w:pStyle w:val="8"/>
              <w:spacing w:before="65"/>
              <w:ind w:left="125" w:right="113" w:firstLine="10"/>
            </w:pPr>
            <w:r>
              <w:t>团队成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员配置</w:t>
            </w:r>
          </w:p>
        </w:tc>
        <w:tc>
          <w:tcPr>
            <w:tcW w:w="3513" w:type="dxa"/>
            <w:vAlign w:val="top"/>
          </w:tcPr>
          <w:p w14:paraId="393DF210">
            <w:pPr>
              <w:pStyle w:val="8"/>
              <w:spacing w:before="65" w:line="239" w:lineRule="auto"/>
              <w:ind w:left="151" w:right="106" w:hanging="14"/>
              <w:rPr>
                <w:rFonts w:hint="eastAsia"/>
                <w:spacing w:val="4"/>
                <w:lang w:eastAsia="zh-CN"/>
              </w:rPr>
            </w:pPr>
            <w:r>
              <w:rPr>
                <w:rFonts w:hint="eastAsia"/>
                <w:spacing w:val="4"/>
              </w:rPr>
              <w:t>团队成员有文旅或低空相关项目经验的，每个得5分，最高10分</w:t>
            </w:r>
            <w:r>
              <w:rPr>
                <w:rFonts w:hint="eastAsia"/>
                <w:spacing w:val="4"/>
                <w:lang w:eastAsia="zh-CN"/>
              </w:rPr>
              <w:t>。</w:t>
            </w:r>
          </w:p>
          <w:p w14:paraId="31539643">
            <w:pPr>
              <w:pStyle w:val="8"/>
              <w:spacing w:before="65" w:line="239" w:lineRule="auto"/>
              <w:ind w:left="151" w:right="106" w:hanging="14"/>
              <w:rPr>
                <w:rFonts w:hint="eastAsia"/>
                <w:spacing w:val="4"/>
              </w:rPr>
            </w:pPr>
            <w:r>
              <w:rPr>
                <w:rFonts w:hint="eastAsia"/>
                <w:spacing w:val="4"/>
              </w:rPr>
              <w:t>团队成员中有</w:t>
            </w:r>
            <w:r>
              <w:rPr>
                <w:rFonts w:hint="eastAsia"/>
                <w:spacing w:val="4"/>
                <w:lang w:val="en-US" w:eastAsia="zh-CN"/>
              </w:rPr>
              <w:t>中级及以上</w:t>
            </w:r>
            <w:r>
              <w:rPr>
                <w:rFonts w:hint="eastAsia"/>
                <w:spacing w:val="4"/>
              </w:rPr>
              <w:t>职称的，每个得 5分，最高 10分。</w:t>
            </w:r>
          </w:p>
          <w:p w14:paraId="0A5965CB">
            <w:pPr>
              <w:pStyle w:val="8"/>
              <w:spacing w:before="65" w:line="239" w:lineRule="auto"/>
              <w:ind w:left="151" w:right="106" w:hanging="14"/>
              <w:rPr>
                <w:rFonts w:hint="eastAsia"/>
                <w:spacing w:val="4"/>
              </w:rPr>
            </w:pPr>
            <w:r>
              <w:rPr>
                <w:rFonts w:hint="eastAsia"/>
                <w:spacing w:val="4"/>
              </w:rPr>
              <w:t>团队成员需</w:t>
            </w:r>
            <w:r>
              <w:rPr>
                <w:rFonts w:hint="eastAsia"/>
                <w:spacing w:val="4"/>
                <w:lang w:val="en-US" w:eastAsia="zh-CN"/>
              </w:rPr>
              <w:t>5</w:t>
            </w:r>
            <w:r>
              <w:rPr>
                <w:rFonts w:hint="eastAsia"/>
                <w:spacing w:val="4"/>
              </w:rPr>
              <w:t>人以上，</w:t>
            </w:r>
            <w:r>
              <w:rPr>
                <w:rFonts w:hint="eastAsia"/>
                <w:spacing w:val="4"/>
                <w:lang w:val="en-US" w:eastAsia="zh-CN"/>
              </w:rPr>
              <w:t>工作年限超过10年且</w:t>
            </w:r>
            <w:r>
              <w:rPr>
                <w:rFonts w:hint="eastAsia"/>
                <w:spacing w:val="4"/>
              </w:rPr>
              <w:t>本科及以上学历的</w:t>
            </w:r>
            <w:r>
              <w:rPr>
                <w:rFonts w:hint="eastAsia"/>
                <w:spacing w:val="4"/>
                <w:lang w:val="en-US" w:eastAsia="zh-CN"/>
              </w:rPr>
              <w:t>每个</w:t>
            </w:r>
            <w:r>
              <w:rPr>
                <w:rFonts w:hint="eastAsia"/>
                <w:spacing w:val="4"/>
              </w:rPr>
              <w:t>得</w:t>
            </w:r>
            <w:r>
              <w:rPr>
                <w:rFonts w:hint="eastAsia"/>
                <w:spacing w:val="4"/>
                <w:lang w:val="en-US" w:eastAsia="zh-CN"/>
              </w:rPr>
              <w:t>2分</w:t>
            </w:r>
            <w:r>
              <w:rPr>
                <w:rFonts w:hint="eastAsia"/>
                <w:spacing w:val="4"/>
              </w:rPr>
              <w:t xml:space="preserve"> ，最高</w:t>
            </w:r>
            <w:r>
              <w:rPr>
                <w:rFonts w:hint="eastAsia"/>
                <w:spacing w:val="4"/>
                <w:lang w:val="en-US" w:eastAsia="zh-CN"/>
              </w:rPr>
              <w:t>10</w:t>
            </w:r>
            <w:r>
              <w:rPr>
                <w:rFonts w:hint="eastAsia"/>
                <w:spacing w:val="4"/>
              </w:rPr>
              <w:t>分。</w:t>
            </w:r>
          </w:p>
          <w:p w14:paraId="7F227E21">
            <w:pPr>
              <w:pStyle w:val="8"/>
              <w:spacing w:before="65" w:line="239" w:lineRule="auto"/>
              <w:ind w:left="151" w:right="106" w:hanging="14"/>
              <w:rPr>
                <w:rFonts w:hint="default" w:eastAsia="宋体"/>
                <w:spacing w:val="4"/>
                <w:lang w:val="en-US"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本项目合计最高得25分。</w:t>
            </w:r>
          </w:p>
          <w:p w14:paraId="516E983D">
            <w:pPr>
              <w:pStyle w:val="8"/>
              <w:spacing w:before="65" w:line="239" w:lineRule="auto"/>
              <w:ind w:left="151" w:right="106" w:hanging="14"/>
            </w:pPr>
            <w:r>
              <w:rPr>
                <w:rFonts w:hint="eastAsia"/>
                <w:spacing w:val="4"/>
                <w:lang w:eastAsia="zh-CN"/>
              </w:rPr>
              <w:t>（</w:t>
            </w:r>
            <w:r>
              <w:rPr>
                <w:rFonts w:hint="eastAsia"/>
                <w:spacing w:val="4"/>
              </w:rPr>
              <w:t>提供团队成员资格证书和职称证书复印件，相关项目经验证明并加盖投标人公章，原件备查。不清晰或未供不得分。</w:t>
            </w:r>
            <w:r>
              <w:rPr>
                <w:rFonts w:hint="eastAsia"/>
                <w:spacing w:val="4"/>
                <w:lang w:eastAsia="zh-CN"/>
              </w:rPr>
              <w:t>）</w:t>
            </w:r>
          </w:p>
        </w:tc>
        <w:tc>
          <w:tcPr>
            <w:tcW w:w="1344" w:type="dxa"/>
            <w:vAlign w:val="top"/>
          </w:tcPr>
          <w:p w14:paraId="1ED68E65">
            <w:pPr>
              <w:pStyle w:val="8"/>
              <w:spacing w:before="65" w:line="239" w:lineRule="auto"/>
              <w:ind w:left="0" w:right="106"/>
              <w:jc w:val="center"/>
              <w:rPr>
                <w:spacing w:val="23"/>
              </w:rPr>
            </w:pPr>
          </w:p>
          <w:p w14:paraId="7C7AC96C">
            <w:pPr>
              <w:pStyle w:val="8"/>
              <w:spacing w:before="65" w:line="239" w:lineRule="auto"/>
              <w:ind w:left="0" w:right="106"/>
              <w:jc w:val="center"/>
            </w:pPr>
            <w:r>
              <w:rPr>
                <w:spacing w:val="23"/>
              </w:rPr>
              <w:t>提供的相应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证明材料</w:t>
            </w:r>
          </w:p>
        </w:tc>
        <w:tc>
          <w:tcPr>
            <w:tcW w:w="1188" w:type="dxa"/>
            <w:vAlign w:val="top"/>
          </w:tcPr>
          <w:p w14:paraId="410F75F6">
            <w:pPr>
              <w:spacing w:line="391" w:lineRule="auto"/>
              <w:rPr>
                <w:rFonts w:ascii="Arial"/>
                <w:sz w:val="21"/>
              </w:rPr>
            </w:pPr>
          </w:p>
          <w:p w14:paraId="057928C6">
            <w:pPr>
              <w:pStyle w:val="8"/>
              <w:spacing w:before="65" w:line="228" w:lineRule="auto"/>
              <w:ind w:left="367"/>
            </w:pPr>
            <w:r>
              <w:rPr>
                <w:spacing w:val="-1"/>
              </w:rPr>
              <w:t>25</w:t>
            </w:r>
            <w:r>
              <w:rPr>
                <w:spacing w:val="-37"/>
              </w:rPr>
              <w:t xml:space="preserve"> </w:t>
            </w:r>
            <w:r>
              <w:rPr>
                <w:spacing w:val="-1"/>
              </w:rPr>
              <w:t>分</w:t>
            </w:r>
          </w:p>
        </w:tc>
        <w:tc>
          <w:tcPr>
            <w:tcW w:w="944" w:type="dxa"/>
            <w:vAlign w:val="top"/>
          </w:tcPr>
          <w:p w14:paraId="26F974FC">
            <w:pPr>
              <w:rPr>
                <w:rFonts w:ascii="Arial"/>
                <w:sz w:val="21"/>
              </w:rPr>
            </w:pPr>
          </w:p>
        </w:tc>
      </w:tr>
      <w:tr w14:paraId="2325F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3" w:hRule="atLeast"/>
        </w:trPr>
        <w:tc>
          <w:tcPr>
            <w:tcW w:w="625" w:type="dxa"/>
            <w:vAlign w:val="top"/>
          </w:tcPr>
          <w:p w14:paraId="25C913D4">
            <w:pPr>
              <w:spacing w:line="243" w:lineRule="auto"/>
              <w:rPr>
                <w:rFonts w:ascii="Arial"/>
                <w:sz w:val="21"/>
              </w:rPr>
            </w:pPr>
          </w:p>
          <w:p w14:paraId="511FAB1D">
            <w:pPr>
              <w:spacing w:line="243" w:lineRule="auto"/>
              <w:rPr>
                <w:rFonts w:ascii="Arial"/>
                <w:sz w:val="21"/>
              </w:rPr>
            </w:pPr>
          </w:p>
          <w:p w14:paraId="7BABB1E4">
            <w:pPr>
              <w:spacing w:line="243" w:lineRule="auto"/>
              <w:rPr>
                <w:rFonts w:ascii="Arial"/>
                <w:sz w:val="21"/>
              </w:rPr>
            </w:pPr>
          </w:p>
          <w:p w14:paraId="51F48090">
            <w:pPr>
              <w:spacing w:line="243" w:lineRule="auto"/>
              <w:rPr>
                <w:rFonts w:ascii="Arial"/>
                <w:sz w:val="21"/>
              </w:rPr>
            </w:pPr>
          </w:p>
          <w:p w14:paraId="653D245A">
            <w:pPr>
              <w:pStyle w:val="8"/>
              <w:spacing w:before="65" w:line="189" w:lineRule="auto"/>
              <w:ind w:left="264"/>
            </w:pPr>
            <w:r>
              <w:t>4</w:t>
            </w:r>
          </w:p>
        </w:tc>
        <w:tc>
          <w:tcPr>
            <w:tcW w:w="867" w:type="dxa"/>
            <w:vAlign w:val="top"/>
          </w:tcPr>
          <w:p w14:paraId="63826816">
            <w:pPr>
              <w:pStyle w:val="8"/>
              <w:spacing w:before="65"/>
              <w:ind w:left="0" w:right="113" w:firstLine="0"/>
              <w:jc w:val="center"/>
              <w:rPr>
                <w:rFonts w:hint="eastAsia"/>
                <w:lang w:val="en-US" w:eastAsia="zh-CN"/>
              </w:rPr>
            </w:pPr>
          </w:p>
          <w:p w14:paraId="20232C70">
            <w:pPr>
              <w:pStyle w:val="8"/>
              <w:spacing w:before="65"/>
              <w:ind w:left="0" w:right="113" w:firstLine="0"/>
              <w:jc w:val="center"/>
              <w:rPr>
                <w:rFonts w:hint="eastAsia"/>
                <w:lang w:val="en-US" w:eastAsia="zh-CN"/>
              </w:rPr>
            </w:pPr>
          </w:p>
          <w:p w14:paraId="208E6D1A">
            <w:pPr>
              <w:pStyle w:val="8"/>
              <w:spacing w:before="65"/>
              <w:ind w:left="0" w:right="113" w:firstLine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</w:t>
            </w:r>
          </w:p>
          <w:p w14:paraId="440118D6">
            <w:pPr>
              <w:pStyle w:val="8"/>
              <w:spacing w:before="65"/>
              <w:ind w:left="0" w:right="113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方案</w:t>
            </w:r>
          </w:p>
        </w:tc>
        <w:tc>
          <w:tcPr>
            <w:tcW w:w="3513" w:type="dxa"/>
            <w:vAlign w:val="top"/>
          </w:tcPr>
          <w:p w14:paraId="3BB46D6D">
            <w:pPr>
              <w:pStyle w:val="8"/>
              <w:spacing w:before="65" w:line="239" w:lineRule="auto"/>
              <w:ind w:left="115" w:right="106" w:firstLine="22"/>
            </w:pPr>
            <w:r>
              <w:rPr>
                <w:spacing w:val="18"/>
              </w:rPr>
              <w:t>由评审人员对供应商的方案酌情打</w:t>
            </w:r>
            <w:r>
              <w:rPr>
                <w:spacing w:val="6"/>
              </w:rPr>
              <w:t>分，考虑因素：</w:t>
            </w:r>
          </w:p>
          <w:p w14:paraId="132B6E9E">
            <w:pPr>
              <w:pStyle w:val="8"/>
              <w:spacing w:before="28"/>
              <w:ind w:left="115" w:right="108" w:firstLine="12"/>
            </w:pPr>
            <w:r>
              <w:rPr>
                <w:spacing w:val="4"/>
              </w:rPr>
              <w:t>1.服务方案的完整性、合理性、可执</w:t>
            </w:r>
            <w:r>
              <w:rPr>
                <w:spacing w:val="12"/>
              </w:rPr>
              <w:t xml:space="preserve"> </w:t>
            </w:r>
            <w:r>
              <w:rPr>
                <w:spacing w:val="2"/>
              </w:rPr>
              <w:t>行性；</w:t>
            </w:r>
          </w:p>
          <w:p w14:paraId="4EF06006">
            <w:pPr>
              <w:pStyle w:val="8"/>
              <w:spacing w:before="24" w:line="239" w:lineRule="auto"/>
              <w:ind w:left="116" w:right="740" w:hanging="1"/>
              <w:rPr>
                <w:spacing w:val="4"/>
              </w:rPr>
            </w:pPr>
            <w:r>
              <w:rPr>
                <w:spacing w:val="4"/>
              </w:rPr>
              <w:t>2.工作时间、进度安排合理；</w:t>
            </w:r>
          </w:p>
          <w:p w14:paraId="5319E8C5">
            <w:pPr>
              <w:pStyle w:val="8"/>
              <w:spacing w:before="24" w:line="239" w:lineRule="auto"/>
              <w:ind w:left="116" w:right="740" w:hanging="1"/>
            </w:pPr>
            <w:r>
              <w:rPr>
                <w:spacing w:val="7"/>
              </w:rPr>
              <w:t>3.质量保证体系及措施。</w:t>
            </w:r>
          </w:p>
        </w:tc>
        <w:tc>
          <w:tcPr>
            <w:tcW w:w="1344" w:type="dxa"/>
            <w:vAlign w:val="top"/>
          </w:tcPr>
          <w:p w14:paraId="3139F7B4">
            <w:pPr>
              <w:pStyle w:val="8"/>
              <w:spacing w:before="65"/>
              <w:ind w:left="0" w:right="144" w:firstLine="0"/>
              <w:jc w:val="center"/>
              <w:rPr>
                <w:spacing w:val="7"/>
              </w:rPr>
            </w:pPr>
          </w:p>
          <w:p w14:paraId="0AEE087C">
            <w:pPr>
              <w:pStyle w:val="8"/>
              <w:spacing w:before="65"/>
              <w:ind w:left="0" w:right="144" w:firstLine="0"/>
              <w:jc w:val="center"/>
              <w:rPr>
                <w:spacing w:val="7"/>
              </w:rPr>
            </w:pPr>
          </w:p>
          <w:p w14:paraId="4A487537">
            <w:pPr>
              <w:pStyle w:val="8"/>
              <w:spacing w:before="65"/>
              <w:ind w:left="0" w:right="144" w:firstLine="0"/>
              <w:jc w:val="center"/>
              <w:rPr>
                <w:spacing w:val="7"/>
              </w:rPr>
            </w:pPr>
          </w:p>
          <w:p w14:paraId="46A8B35C">
            <w:pPr>
              <w:pStyle w:val="8"/>
              <w:spacing w:before="65"/>
              <w:ind w:left="0" w:right="144" w:firstLine="0"/>
              <w:jc w:val="center"/>
            </w:pPr>
            <w:r>
              <w:rPr>
                <w:spacing w:val="7"/>
              </w:rPr>
              <w:t>提供服务方</w:t>
            </w:r>
            <w:r>
              <w:rPr>
                <w:spacing w:val="3"/>
              </w:rPr>
              <w:t xml:space="preserve"> </w:t>
            </w:r>
            <w:r>
              <w:t>案</w:t>
            </w:r>
          </w:p>
        </w:tc>
        <w:tc>
          <w:tcPr>
            <w:tcW w:w="1188" w:type="dxa"/>
            <w:vAlign w:val="top"/>
          </w:tcPr>
          <w:p w14:paraId="186F4C96">
            <w:pPr>
              <w:spacing w:line="313" w:lineRule="auto"/>
              <w:rPr>
                <w:rFonts w:ascii="Arial"/>
                <w:sz w:val="21"/>
              </w:rPr>
            </w:pPr>
          </w:p>
          <w:p w14:paraId="3C8D8B63">
            <w:pPr>
              <w:spacing w:line="313" w:lineRule="auto"/>
              <w:rPr>
                <w:rFonts w:ascii="Arial"/>
                <w:sz w:val="21"/>
              </w:rPr>
            </w:pPr>
          </w:p>
          <w:p w14:paraId="5B405806">
            <w:pPr>
              <w:spacing w:line="314" w:lineRule="auto"/>
              <w:rPr>
                <w:rFonts w:ascii="Arial"/>
                <w:sz w:val="21"/>
              </w:rPr>
            </w:pPr>
          </w:p>
          <w:p w14:paraId="49D4C5A5">
            <w:pPr>
              <w:pStyle w:val="8"/>
              <w:spacing w:before="65" w:line="228" w:lineRule="auto"/>
              <w:ind w:left="367"/>
            </w:pPr>
            <w:r>
              <w:rPr>
                <w:rFonts w:hint="eastAsia"/>
                <w:spacing w:val="-1"/>
                <w:lang w:val="en-US" w:eastAsia="zh-CN"/>
              </w:rPr>
              <w:t>45</w:t>
            </w:r>
            <w:r>
              <w:rPr>
                <w:spacing w:val="-1"/>
              </w:rPr>
              <w:t>分</w:t>
            </w:r>
          </w:p>
        </w:tc>
        <w:tc>
          <w:tcPr>
            <w:tcW w:w="944" w:type="dxa"/>
            <w:vAlign w:val="top"/>
          </w:tcPr>
          <w:p w14:paraId="328218A3">
            <w:pPr>
              <w:rPr>
                <w:rFonts w:ascii="Arial"/>
                <w:sz w:val="21"/>
              </w:rPr>
            </w:pPr>
          </w:p>
        </w:tc>
      </w:tr>
      <w:tr w14:paraId="5A890D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6349" w:type="dxa"/>
            <w:gridSpan w:val="4"/>
            <w:vAlign w:val="top"/>
          </w:tcPr>
          <w:p w14:paraId="53E9725D">
            <w:pPr>
              <w:pStyle w:val="8"/>
              <w:spacing w:before="102" w:line="229" w:lineRule="auto"/>
              <w:ind w:left="2972"/>
            </w:pPr>
            <w:r>
              <w:rPr>
                <w:spacing w:val="4"/>
              </w:rPr>
              <w:t>合计</w:t>
            </w:r>
          </w:p>
        </w:tc>
        <w:tc>
          <w:tcPr>
            <w:tcW w:w="1188" w:type="dxa"/>
            <w:vAlign w:val="top"/>
          </w:tcPr>
          <w:p w14:paraId="05DD45F9">
            <w:pPr>
              <w:pStyle w:val="8"/>
              <w:spacing w:before="102" w:line="228" w:lineRule="auto"/>
              <w:ind w:left="327"/>
            </w:pPr>
            <w:r>
              <w:rPr>
                <w:spacing w:val="-2"/>
              </w:rPr>
              <w:t>100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分</w:t>
            </w:r>
          </w:p>
        </w:tc>
        <w:tc>
          <w:tcPr>
            <w:tcW w:w="944" w:type="dxa"/>
            <w:vAlign w:val="top"/>
          </w:tcPr>
          <w:p w14:paraId="7F00A65F">
            <w:pPr>
              <w:rPr>
                <w:rFonts w:ascii="Arial"/>
                <w:sz w:val="21"/>
              </w:rPr>
            </w:pPr>
          </w:p>
        </w:tc>
      </w:tr>
      <w:tr w14:paraId="4768BC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349" w:type="dxa"/>
            <w:gridSpan w:val="4"/>
            <w:vAlign w:val="top"/>
          </w:tcPr>
          <w:p w14:paraId="0E194DB8">
            <w:pPr>
              <w:pStyle w:val="8"/>
              <w:spacing w:before="115" w:line="227" w:lineRule="auto"/>
              <w:ind w:left="336"/>
            </w:pPr>
            <w:r>
              <w:rPr>
                <w:b/>
                <w:bCs/>
                <w:spacing w:val="8"/>
              </w:rPr>
              <w:t>拟推荐成交候选供应商（原则推荐评审综合得分最高的</w:t>
            </w:r>
            <w:r>
              <w:rPr>
                <w:b/>
                <w:bCs/>
                <w:spacing w:val="7"/>
              </w:rPr>
              <w:t>单位）</w:t>
            </w:r>
          </w:p>
        </w:tc>
        <w:tc>
          <w:tcPr>
            <w:tcW w:w="1188" w:type="dxa"/>
            <w:vAlign w:val="top"/>
          </w:tcPr>
          <w:p w14:paraId="6B12F2E3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59312202">
            <w:pPr>
              <w:rPr>
                <w:rFonts w:ascii="Arial"/>
                <w:sz w:val="21"/>
              </w:rPr>
            </w:pPr>
          </w:p>
        </w:tc>
      </w:tr>
      <w:bookmarkEnd w:id="0"/>
    </w:tbl>
    <w:p w14:paraId="61D8CD8E">
      <w:pPr>
        <w:spacing w:line="303" w:lineRule="auto"/>
        <w:rPr>
          <w:rFonts w:ascii="Arial"/>
          <w:sz w:val="21"/>
        </w:rPr>
      </w:pPr>
    </w:p>
    <w:p w14:paraId="2BD3EF28">
      <w:pPr>
        <w:spacing w:line="304" w:lineRule="auto"/>
        <w:rPr>
          <w:rFonts w:ascii="Arial"/>
          <w:sz w:val="21"/>
        </w:rPr>
      </w:pPr>
    </w:p>
    <w:p w14:paraId="3AA135AE">
      <w:pPr>
        <w:spacing w:before="65" w:line="221" w:lineRule="auto"/>
        <w:ind w:left="394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8"/>
          <w:sz w:val="20"/>
          <w:szCs w:val="20"/>
        </w:rPr>
        <w:t>备注：1.各项评审打分按照四舍五入，小数点后保留</w:t>
      </w:r>
      <w:r>
        <w:rPr>
          <w:rFonts w:ascii="黑体" w:hAnsi="黑体" w:eastAsia="黑体" w:cs="黑体"/>
          <w:spacing w:val="-29"/>
          <w:sz w:val="20"/>
          <w:szCs w:val="20"/>
        </w:rPr>
        <w:t xml:space="preserve"> </w:t>
      </w:r>
      <w:r>
        <w:rPr>
          <w:rFonts w:ascii="黑体" w:hAnsi="黑体" w:eastAsia="黑体" w:cs="黑体"/>
          <w:spacing w:val="8"/>
          <w:sz w:val="20"/>
          <w:szCs w:val="20"/>
        </w:rPr>
        <w:t>2</w:t>
      </w:r>
      <w:r>
        <w:rPr>
          <w:rFonts w:ascii="黑体" w:hAnsi="黑体" w:eastAsia="黑体" w:cs="黑体"/>
          <w:spacing w:val="-40"/>
          <w:sz w:val="20"/>
          <w:szCs w:val="20"/>
        </w:rPr>
        <w:t xml:space="preserve"> </w:t>
      </w:r>
      <w:r>
        <w:rPr>
          <w:rFonts w:ascii="黑体" w:hAnsi="黑体" w:eastAsia="黑体" w:cs="黑体"/>
          <w:spacing w:val="8"/>
          <w:sz w:val="20"/>
          <w:szCs w:val="20"/>
        </w:rPr>
        <w:t>位进行计算；</w:t>
      </w:r>
    </w:p>
    <w:p w14:paraId="7698E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textAlignment w:val="auto"/>
      </w:pPr>
      <w:r>
        <w:rPr>
          <w:rFonts w:ascii="黑体" w:hAnsi="黑体" w:eastAsia="黑体" w:cs="黑体"/>
          <w:spacing w:val="10"/>
          <w:sz w:val="20"/>
          <w:szCs w:val="20"/>
        </w:rPr>
        <w:t>2.若出现拟推荐成交候选供应商票数相同的情</w:t>
      </w:r>
      <w:r>
        <w:rPr>
          <w:rFonts w:ascii="黑体" w:hAnsi="黑体" w:eastAsia="黑体" w:cs="黑体"/>
          <w:spacing w:val="9"/>
          <w:sz w:val="20"/>
          <w:szCs w:val="20"/>
        </w:rPr>
        <w:t>况，以未推荐上述单位的评审专家对并</w:t>
      </w:r>
      <w:r>
        <w:rPr>
          <w:rFonts w:ascii="黑体" w:hAnsi="黑体" w:eastAsia="黑体" w:cs="黑体"/>
          <w:sz w:val="20"/>
          <w:szCs w:val="20"/>
        </w:rPr>
        <w:t xml:space="preserve"> </w:t>
      </w:r>
      <w:r>
        <w:rPr>
          <w:rFonts w:ascii="黑体" w:hAnsi="黑体" w:eastAsia="黑体" w:cs="黑体"/>
          <w:spacing w:val="9"/>
          <w:sz w:val="20"/>
          <w:szCs w:val="20"/>
        </w:rPr>
        <w:t>列第一的候选供应商既定打分排序作为最终选定依据。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DB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562"/>
        <w:tab w:val="left" w:pos="3372"/>
        <w:tab w:val="left" w:pos="3653"/>
      </w:tabs>
    </w:pPr>
    <w:rPr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2024-12-23T07:33:18Z</dcterms:created>
  <dc:creator>张健</dc:creator>
  <cp:lastModifiedBy>张琦</cp:lastModifiedBy>
  <dcterms:modified xsi:type="dcterms:W3CDTF">2024-12-23T07:34:27Z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B905C84449CC4D138013C4981C5F590A_12</vt:lpwstr>
  </property>
</Properties>
</file>