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仿宋_GB2312"/>
          <w:sz w:val="32"/>
          <w:highlight w:val="none"/>
          <w:u w:val="none"/>
        </w:rPr>
        <w:t>附表</w:t>
      </w:r>
      <w:r>
        <w:rPr>
          <w:rFonts w:hint="eastAsia" w:ascii="黑体" w:hAnsi="黑体" w:eastAsia="黑体" w:cs="仿宋_GB2312"/>
          <w:sz w:val="32"/>
          <w:highlight w:val="none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u w:val="none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u w:val="none"/>
          <w:lang w:eastAsia="zh-CN"/>
        </w:rPr>
        <w:t>龙岗管理局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u w:val="none"/>
        </w:rPr>
        <w:t>信用修复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u w:val="none"/>
        </w:rPr>
        <w:t>审批表</w:t>
      </w:r>
    </w:p>
    <w:tbl>
      <w:tblPr>
        <w:tblStyle w:val="3"/>
        <w:tblpPr w:leftFromText="180" w:rightFromText="180" w:vertAnchor="text" w:horzAnchor="page" w:tblpX="600" w:tblpY="758"/>
        <w:tblOverlap w:val="never"/>
        <w:tblW w:w="10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89"/>
        <w:gridCol w:w="3050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信用修复申请单位（个人）</w:t>
            </w:r>
          </w:p>
        </w:tc>
        <w:tc>
          <w:tcPr>
            <w:tcW w:w="2489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统一社会信用代码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（公民身份号码）</w:t>
            </w:r>
          </w:p>
        </w:tc>
        <w:tc>
          <w:tcPr>
            <w:tcW w:w="3185" w:type="dxa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失信记录决定书文号</w:t>
            </w:r>
          </w:p>
        </w:tc>
        <w:tc>
          <w:tcPr>
            <w:tcW w:w="872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失信记录主要内容</w:t>
            </w:r>
          </w:p>
        </w:tc>
        <w:tc>
          <w:tcPr>
            <w:tcW w:w="872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eastAsia="zh-CN"/>
              </w:rPr>
              <w:t>处罚决定书记载的违法行为</w:t>
            </w: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>调查监管部门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意见</w:t>
            </w:r>
          </w:p>
        </w:tc>
        <w:tc>
          <w:tcPr>
            <w:tcW w:w="872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 xml:space="preserve">经办人：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 xml:space="preserve">年  月  日          负责人：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>承办部门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意见</w:t>
            </w:r>
          </w:p>
        </w:tc>
        <w:tc>
          <w:tcPr>
            <w:tcW w:w="872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 xml:space="preserve">经办人：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 xml:space="preserve">年  月  日          负责人：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分管领导意见</w:t>
            </w:r>
          </w:p>
        </w:tc>
        <w:tc>
          <w:tcPr>
            <w:tcW w:w="872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eastAsia="zh-CN"/>
              </w:rPr>
              <w:t>负责人：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  <w:u w:val="none"/>
              </w:rPr>
              <w:t>备注</w:t>
            </w:r>
          </w:p>
        </w:tc>
        <w:tc>
          <w:tcPr>
            <w:tcW w:w="872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szCs w:val="21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3EBC"/>
    <w:rsid w:val="7F693EBC"/>
    <w:rsid w:val="B9AC0D25"/>
    <w:rsid w:val="DA7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深圳市生态环境局龙岗管理局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2020-06-09T17:51:00Z</dcterms:created>
  <dc:creator>向斌</dc:creator>
  <cp:lastModifiedBy>stlgg</cp:lastModifiedBy>
  <dcterms:modified xsi:type="dcterms:W3CDTF">2023-09-05T15:49:17Z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