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20" w:lineRule="atLeast"/>
        <w:jc w:val="both"/>
        <w:rPr>
          <w:rStyle w:val="4"/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附件</w:t>
      </w:r>
      <w:r>
        <w:rPr>
          <w:rStyle w:val="4"/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widowControl/>
        <w:spacing w:before="0" w:beforeAutospacing="0" w:after="0" w:afterAutospacing="0" w:line="420" w:lineRule="atLeast"/>
        <w:jc w:val="both"/>
        <w:rPr>
          <w:rStyle w:val="4"/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420" w:lineRule="atLeast"/>
        <w:jc w:val="center"/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龙岗区统计局行政执法音像记录管理制度</w:t>
      </w:r>
    </w:p>
    <w:bookmarkEnd w:id="0"/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sz w:val="21"/>
          <w:szCs w:val="21"/>
        </w:rPr>
      </w:pPr>
      <w:r>
        <w:t> 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行政执法工作，规范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执法全过程音像记录工作，结合工作实际，制定本制度。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行政执法音像记录应遵循同步摄录、集中管理、规范归档、严格保密的原则，确保视听资料的全面、客观、合法、有效。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实施执法管理活动时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龙岗区统计局行政执法全过程音像记录清单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进行音像记录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执法全过程音像记录应反映执法活动现场的地点、时间、场景、参与人员、违法违规行为等。录制内容应当重点摄录以下内容：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（一）能反映当事人名称、概貌的标志性建筑；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（二）执法人员向当事人出具执法证件及告知当事人权利和义务；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（三）涉嫌违法现场状况；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（四）对当事人进行询问过程；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（五）当事人在现场检查记录或相关执法文书上签署姓名和意见时；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（六）实施行政处罚简易程序容易引起争议时；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（七）以留置送达方式将执法文书留置在当事人的收发部门或者住所时；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）其他应当采取音像记录的情况。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执法全过程音像记录非因技术原因不得中止录制或断续录制，不得任意选择取舍或者事后补录。因设备故障、损坏，天气情况恶劣或者电量、存储空间不足，检查场所变化等客观原因而中止记录的，重新开始记录时应当对中断原因进行语音说明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行政执法音像记录资料，由承办机构统一存储和保管并明确专人负责。并按照案件名称、当事人姓名或单位名称、记录日期及存储日期等项目分类进行存储。任何人员不得对原始音像记录进行删节、修改。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音像记录制作完成后，行政执法人员不得私自保存，应当在24小时内移交至本单位管理人员，统一存储和保管。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按照《中华人民共和国档案法》规定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归档保存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行政执法音像资料的存储期限与文字材料保管时间一致。</w:t>
      </w:r>
    </w:p>
    <w:p>
      <w:pPr>
        <w:pStyle w:val="2"/>
        <w:widowControl/>
        <w:spacing w:before="0" w:beforeAutospacing="0" w:after="0" w:afterAutospacing="0" w:line="420" w:lineRule="atLeast"/>
        <w:ind w:firstLine="48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color="auto" w:fill="FFFFFF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行政执法全过程记录涉及国家秘密、商业秘密和个人信息的，应当予以保密，任何人不得擅自传播，不得用于执法活动以外的目的。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第十条</w:t>
      </w:r>
      <w:r>
        <w:rPr>
          <w:rStyle w:val="4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自印发之日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20F27"/>
    <w:rsid w:val="6ED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2019-07-25T06:07:00Z</dcterms:created>
  <dc:creator>邱彩霞</dc:creator>
  <cp:lastModifiedBy>邱彩霞</cp:lastModifiedBy>
  <dcterms:modified xsi:type="dcterms:W3CDTF">2019-07-25T06:08:23Z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