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  <w:bookmarkStart w:id="0" w:name="_GoBack"/>
      <w:bookmarkEnd w:id="0"/>
    </w:p>
    <w:tbl>
      <w:tblPr>
        <w:tblStyle w:val="3"/>
        <w:tblW w:w="9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910"/>
        <w:gridCol w:w="1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２０２０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93"/>
        <w:gridCol w:w="4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1260" w:firstLineChars="7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eastAsia"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单位所在地及区划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              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街道办事处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rPr>
          <w:rFonts w:ascii="宋体"/>
          <w:sz w:val="18"/>
          <w:szCs w:val="18"/>
        </w:rPr>
        <w:sectPr>
          <w:pgSz w:w="11906" w:h="16838"/>
          <w:pgMar w:top="1701" w:right="1531" w:bottom="1531" w:left="1531" w:header="851" w:footer="992" w:gutter="0"/>
          <w:pgNumType w:fmt="numberInDash"/>
          <w:cols w:space="720" w:num="1"/>
          <w:docGrid w:linePitch="312" w:charSpace="0"/>
        </w:sectPr>
      </w:pPr>
    </w:p>
    <w:p/>
    <w:tbl>
      <w:tblPr>
        <w:tblStyle w:val="3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开业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成立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时间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2停业(歇业) 3筹建 4当年关闭 5当年破产6当年注销7当年</w:t>
            </w:r>
            <w:r>
              <w:rPr>
                <w:rFonts w:ascii="宋体" w:hAnsi="宋体"/>
                <w:sz w:val="18"/>
                <w:szCs w:val="18"/>
              </w:rPr>
              <w:t>吊销 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  1 农林牧渔业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 5 住宿和餐饮业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 xml:space="preserve">    尚未领取统一社会信用代码的填写原组织机构代码  </w:t>
            </w:r>
            <w:r>
              <w:rPr>
                <w:rFonts w:ascii="楷体_GB2312" w:hAnsi="宋体" w:eastAsia="楷体_GB2312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零售业态（可多选，不超过3个）    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60" w:lineRule="exac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说明：新增单位填报时，表中企业主要经济指标和非企业单位主要经济指标填全年预计数。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800B7"/>
    <w:rsid w:val="1AC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2019-02-26T06:39:00Z</dcterms:created>
  <dc:creator>邱彩霞</dc:creator>
  <cp:lastModifiedBy>邱彩霞</cp:lastModifiedBy>
  <dcterms:modified xsi:type="dcterms:W3CDTF">2019-02-26T06:39:31Z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